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E3772" w:rsidRPr="008F4E27" w14:paraId="308D9FED" w14:textId="77777777" w:rsidTr="008E3772">
        <w:tc>
          <w:tcPr>
            <w:tcW w:w="9576" w:type="dxa"/>
          </w:tcPr>
          <w:p w14:paraId="7DAE5F17" w14:textId="77777777" w:rsidR="008E3772" w:rsidRPr="008F4E27" w:rsidRDefault="008E3772" w:rsidP="008E3772">
            <w:pPr>
              <w:jc w:val="center"/>
              <w:rPr>
                <w:rFonts w:asciiTheme="minorHAnsi" w:hAnsiTheme="minorHAnsi" w:cstheme="minorHAnsi"/>
                <w:b/>
                <w:bCs/>
                <w:sz w:val="22"/>
                <w:szCs w:val="22"/>
              </w:rPr>
            </w:pPr>
            <w:r w:rsidRPr="008F4E27">
              <w:rPr>
                <w:rFonts w:asciiTheme="minorHAnsi" w:hAnsiTheme="minorHAnsi" w:cstheme="minorHAnsi"/>
                <w:b/>
                <w:bCs/>
                <w:sz w:val="22"/>
                <w:szCs w:val="22"/>
              </w:rPr>
              <w:t>PROGRAM-FOR-RESULTS INFORMATION DOCUMENT (PID)</w:t>
            </w:r>
          </w:p>
          <w:p w14:paraId="2582F077" w14:textId="77777777" w:rsidR="008E3772" w:rsidRPr="008F4E27" w:rsidRDefault="008E3772" w:rsidP="008E3772">
            <w:pPr>
              <w:jc w:val="center"/>
              <w:rPr>
                <w:rFonts w:asciiTheme="minorHAnsi" w:hAnsiTheme="minorHAnsi" w:cstheme="minorHAnsi"/>
                <w:b/>
                <w:bCs/>
                <w:sz w:val="22"/>
                <w:szCs w:val="22"/>
              </w:rPr>
            </w:pPr>
            <w:r w:rsidRPr="008F4E27">
              <w:rPr>
                <w:rFonts w:asciiTheme="minorHAnsi" w:hAnsiTheme="minorHAnsi" w:cstheme="minorHAnsi"/>
                <w:b/>
                <w:bCs/>
                <w:sz w:val="22"/>
                <w:szCs w:val="22"/>
              </w:rPr>
              <w:t>APPRAISAL STAGE</w:t>
            </w:r>
          </w:p>
          <w:p w14:paraId="2B4FC97E" w14:textId="77777777" w:rsidR="008E3772" w:rsidRPr="008F4E27" w:rsidRDefault="008E3772" w:rsidP="008E3772">
            <w:pPr>
              <w:jc w:val="right"/>
              <w:rPr>
                <w:rFonts w:asciiTheme="minorHAnsi" w:hAnsiTheme="minorHAnsi" w:cstheme="minorHAnsi"/>
                <w:sz w:val="22"/>
                <w:szCs w:val="22"/>
              </w:rPr>
            </w:pPr>
            <w:r w:rsidRPr="008F4E27">
              <w:rPr>
                <w:rFonts w:asciiTheme="minorHAnsi" w:hAnsiTheme="minorHAnsi" w:cstheme="minorHAnsi"/>
                <w:sz w:val="22"/>
                <w:szCs w:val="22"/>
              </w:rPr>
              <w:t>Report No.:</w:t>
            </w:r>
            <w:r w:rsidR="00324F44" w:rsidRPr="008F4E27">
              <w:rPr>
                <w:rFonts w:asciiTheme="minorHAnsi" w:hAnsiTheme="minorHAnsi" w:cstheme="minorHAnsi"/>
                <w:sz w:val="22"/>
                <w:szCs w:val="22"/>
              </w:rPr>
              <w:t xml:space="preserve"> </w:t>
            </w:r>
            <w:r w:rsidR="00B14568" w:rsidRPr="008F4E27">
              <w:rPr>
                <w:rFonts w:asciiTheme="minorHAnsi" w:hAnsiTheme="minorHAnsi" w:cstheme="minorHAnsi"/>
                <w:sz w:val="22"/>
                <w:szCs w:val="22"/>
              </w:rPr>
              <w:t>PIDA0131205</w:t>
            </w:r>
            <w:r w:rsidRPr="008F4E27">
              <w:rPr>
                <w:rFonts w:asciiTheme="minorHAnsi" w:hAnsiTheme="minorHAnsi" w:cstheme="minorHAnsi"/>
                <w:caps/>
                <w:color w:val="000000"/>
                <w:sz w:val="22"/>
                <w:szCs w:val="22"/>
              </w:rPr>
              <w:t xml:space="preserve"> </w:t>
            </w:r>
          </w:p>
          <w:p w14:paraId="2EF1AC75" w14:textId="77777777" w:rsidR="008E3772" w:rsidRPr="008F4E27" w:rsidRDefault="008E3772" w:rsidP="008E3772">
            <w:pPr>
              <w:jc w:val="center"/>
              <w:rPr>
                <w:rFonts w:asciiTheme="minorHAnsi" w:hAnsiTheme="minorHAnsi" w:cstheme="minorHAnsi"/>
                <w:b/>
                <w:bCs/>
                <w:sz w:val="22"/>
                <w:szCs w:val="2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827"/>
            </w:tblGrid>
            <w:tr w:rsidR="008E3772" w:rsidRPr="008F4E27" w14:paraId="4597601F" w14:textId="77777777" w:rsidTr="008E3772">
              <w:tc>
                <w:tcPr>
                  <w:tcW w:w="3420" w:type="dxa"/>
                </w:tcPr>
                <w:p w14:paraId="0871DB80"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Program Name</w:t>
                  </w:r>
                </w:p>
              </w:tc>
              <w:tc>
                <w:tcPr>
                  <w:tcW w:w="5827" w:type="dxa"/>
                </w:tcPr>
                <w:p w14:paraId="12FE6C8F" w14:textId="77777777" w:rsidR="008E3772" w:rsidRPr="008F4E27" w:rsidRDefault="00324F44" w:rsidP="003634BB">
                  <w:pPr>
                    <w:ind w:right="-1039"/>
                    <w:rPr>
                      <w:rFonts w:asciiTheme="minorHAnsi" w:hAnsiTheme="minorHAnsi" w:cstheme="minorHAnsi"/>
                      <w:sz w:val="22"/>
                      <w:szCs w:val="22"/>
                    </w:rPr>
                  </w:pPr>
                  <w:r w:rsidRPr="008F4E27">
                    <w:rPr>
                      <w:rFonts w:asciiTheme="minorHAnsi" w:hAnsiTheme="minorHAnsi" w:cstheme="minorHAnsi"/>
                      <w:sz w:val="22"/>
                      <w:szCs w:val="22"/>
                    </w:rPr>
                    <w:t>Jordan Education Reform Program</w:t>
                  </w:r>
                </w:p>
              </w:tc>
            </w:tr>
            <w:tr w:rsidR="008E3772" w:rsidRPr="008F4E27" w14:paraId="06B17E08" w14:textId="77777777" w:rsidTr="008E3772">
              <w:tc>
                <w:tcPr>
                  <w:tcW w:w="3420" w:type="dxa"/>
                </w:tcPr>
                <w:p w14:paraId="5B4F6B9D"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Region</w:t>
                  </w:r>
                </w:p>
              </w:tc>
              <w:tc>
                <w:tcPr>
                  <w:tcW w:w="5827" w:type="dxa"/>
                </w:tcPr>
                <w:p w14:paraId="10E04486" w14:textId="66191927" w:rsidR="008E3772" w:rsidRPr="008F4E27" w:rsidRDefault="00C0531A" w:rsidP="003634BB">
                  <w:pPr>
                    <w:rPr>
                      <w:rFonts w:asciiTheme="minorHAnsi" w:hAnsiTheme="minorHAnsi" w:cstheme="minorHAnsi"/>
                      <w:sz w:val="22"/>
                      <w:szCs w:val="22"/>
                    </w:rPr>
                  </w:pPr>
                  <w:r w:rsidRPr="008F4E27">
                    <w:rPr>
                      <w:rFonts w:asciiTheme="minorHAnsi" w:hAnsiTheme="minorHAnsi" w:cstheme="minorHAnsi"/>
                      <w:sz w:val="22"/>
                      <w:szCs w:val="22"/>
                    </w:rPr>
                    <w:t>Middle East and North Africa</w:t>
                  </w:r>
                </w:p>
              </w:tc>
            </w:tr>
            <w:tr w:rsidR="008E3772" w:rsidRPr="008F4E27" w14:paraId="280FBD74" w14:textId="77777777" w:rsidTr="008E3772">
              <w:tc>
                <w:tcPr>
                  <w:tcW w:w="3420" w:type="dxa"/>
                </w:tcPr>
                <w:p w14:paraId="623CB8F8"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Country</w:t>
                  </w:r>
                </w:p>
              </w:tc>
              <w:tc>
                <w:tcPr>
                  <w:tcW w:w="5827" w:type="dxa"/>
                </w:tcPr>
                <w:p w14:paraId="4E90E78C" w14:textId="212CB4DB" w:rsidR="008E3772" w:rsidRPr="008F4E27" w:rsidRDefault="00C0531A" w:rsidP="003634BB">
                  <w:pPr>
                    <w:rPr>
                      <w:rFonts w:asciiTheme="minorHAnsi" w:hAnsiTheme="minorHAnsi" w:cstheme="minorHAnsi"/>
                      <w:sz w:val="22"/>
                      <w:szCs w:val="22"/>
                    </w:rPr>
                  </w:pPr>
                  <w:r w:rsidRPr="008F4E27">
                    <w:rPr>
                      <w:rFonts w:asciiTheme="minorHAnsi" w:hAnsiTheme="minorHAnsi" w:cstheme="minorHAnsi"/>
                      <w:sz w:val="22"/>
                      <w:szCs w:val="22"/>
                    </w:rPr>
                    <w:t>Jordan</w:t>
                  </w:r>
                </w:p>
              </w:tc>
            </w:tr>
            <w:tr w:rsidR="008E3772" w:rsidRPr="008F4E27" w14:paraId="6DD76C16" w14:textId="77777777" w:rsidTr="008E3772">
              <w:tc>
                <w:tcPr>
                  <w:tcW w:w="3420" w:type="dxa"/>
                </w:tcPr>
                <w:p w14:paraId="7EE3CB93"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Sector</w:t>
                  </w:r>
                </w:p>
              </w:tc>
              <w:tc>
                <w:tcPr>
                  <w:tcW w:w="5827" w:type="dxa"/>
                </w:tcPr>
                <w:p w14:paraId="0405CEB3" w14:textId="71DAF59C" w:rsidR="008E3772" w:rsidRPr="008F4E27" w:rsidRDefault="00C0531A" w:rsidP="003634BB">
                  <w:pPr>
                    <w:rPr>
                      <w:rFonts w:asciiTheme="minorHAnsi" w:hAnsiTheme="minorHAnsi" w:cstheme="minorHAnsi"/>
                      <w:sz w:val="22"/>
                      <w:szCs w:val="22"/>
                    </w:rPr>
                  </w:pPr>
                  <w:r w:rsidRPr="008F4E27">
                    <w:rPr>
                      <w:rFonts w:asciiTheme="minorHAnsi" w:hAnsiTheme="minorHAnsi" w:cstheme="minorHAnsi"/>
                      <w:sz w:val="22"/>
                      <w:szCs w:val="22"/>
                    </w:rPr>
                    <w:t>Education</w:t>
                  </w:r>
                </w:p>
              </w:tc>
            </w:tr>
            <w:tr w:rsidR="008E3772" w:rsidRPr="008F4E27" w14:paraId="3400BC1D" w14:textId="77777777" w:rsidTr="008E3772">
              <w:tc>
                <w:tcPr>
                  <w:tcW w:w="3420" w:type="dxa"/>
                </w:tcPr>
                <w:p w14:paraId="7C5A77A2"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Financing Instrument</w:t>
                  </w:r>
                </w:p>
              </w:tc>
              <w:tc>
                <w:tcPr>
                  <w:tcW w:w="5827" w:type="dxa"/>
                </w:tcPr>
                <w:p w14:paraId="35AC7491" w14:textId="77777777" w:rsidR="008E3772" w:rsidRPr="008F4E27" w:rsidRDefault="008E3772" w:rsidP="003634BB">
                  <w:pPr>
                    <w:rPr>
                      <w:rFonts w:asciiTheme="minorHAnsi" w:hAnsiTheme="minorHAnsi" w:cstheme="minorHAnsi"/>
                      <w:sz w:val="22"/>
                      <w:szCs w:val="22"/>
                    </w:rPr>
                  </w:pPr>
                  <w:r w:rsidRPr="008F4E27">
                    <w:rPr>
                      <w:rFonts w:asciiTheme="minorHAnsi" w:hAnsiTheme="minorHAnsi" w:cstheme="minorHAnsi"/>
                      <w:sz w:val="22"/>
                      <w:szCs w:val="22"/>
                    </w:rPr>
                    <w:t>Program for Results</w:t>
                  </w:r>
                </w:p>
              </w:tc>
            </w:tr>
            <w:tr w:rsidR="008E3772" w:rsidRPr="008F4E27" w14:paraId="4D72FFE9" w14:textId="77777777" w:rsidTr="008E3772">
              <w:tc>
                <w:tcPr>
                  <w:tcW w:w="3420" w:type="dxa"/>
                </w:tcPr>
                <w:p w14:paraId="1B3D6B6B"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Program ID</w:t>
                  </w:r>
                </w:p>
              </w:tc>
              <w:tc>
                <w:tcPr>
                  <w:tcW w:w="5827" w:type="dxa"/>
                </w:tcPr>
                <w:p w14:paraId="1E4EBB45" w14:textId="621FA4C3" w:rsidR="008E3772" w:rsidRPr="008F4E27" w:rsidRDefault="00C0531A" w:rsidP="003634BB">
                  <w:pPr>
                    <w:rPr>
                      <w:rFonts w:asciiTheme="minorHAnsi" w:hAnsiTheme="minorHAnsi" w:cstheme="minorHAnsi"/>
                      <w:sz w:val="22"/>
                      <w:szCs w:val="22"/>
                    </w:rPr>
                  </w:pPr>
                  <w:r w:rsidRPr="008F4E27">
                    <w:rPr>
                      <w:rFonts w:asciiTheme="minorHAnsi" w:hAnsiTheme="minorHAnsi" w:cstheme="minorHAnsi"/>
                      <w:sz w:val="22"/>
                      <w:szCs w:val="22"/>
                    </w:rPr>
                    <w:t>P162407</w:t>
                  </w:r>
                </w:p>
              </w:tc>
            </w:tr>
            <w:tr w:rsidR="008E3772" w:rsidRPr="008F4E27" w14:paraId="7648548C" w14:textId="77777777" w:rsidTr="008E3772">
              <w:tc>
                <w:tcPr>
                  <w:tcW w:w="3420" w:type="dxa"/>
                </w:tcPr>
                <w:p w14:paraId="4FD0702D"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Parent Program ID</w:t>
                  </w:r>
                </w:p>
              </w:tc>
              <w:tc>
                <w:tcPr>
                  <w:tcW w:w="5827" w:type="dxa"/>
                </w:tcPr>
                <w:p w14:paraId="0A6C42B8" w14:textId="6C5A1047" w:rsidR="008E3772" w:rsidRPr="008F4E27" w:rsidRDefault="00C0531A" w:rsidP="003634BB">
                  <w:pPr>
                    <w:rPr>
                      <w:rFonts w:asciiTheme="minorHAnsi" w:hAnsiTheme="minorHAnsi" w:cstheme="minorHAnsi"/>
                      <w:sz w:val="22"/>
                      <w:szCs w:val="22"/>
                    </w:rPr>
                  </w:pPr>
                  <w:r w:rsidRPr="008F4E27">
                    <w:rPr>
                      <w:rFonts w:asciiTheme="minorHAnsi" w:hAnsiTheme="minorHAnsi" w:cstheme="minorHAnsi"/>
                      <w:sz w:val="22"/>
                      <w:szCs w:val="22"/>
                    </w:rPr>
                    <w:t>NA</w:t>
                  </w:r>
                </w:p>
              </w:tc>
            </w:tr>
            <w:tr w:rsidR="008E3772" w:rsidRPr="008F4E27" w14:paraId="6DE923F2" w14:textId="77777777" w:rsidTr="008E3772">
              <w:tc>
                <w:tcPr>
                  <w:tcW w:w="3420" w:type="dxa"/>
                  <w:tcBorders>
                    <w:bottom w:val="single" w:sz="4" w:space="0" w:color="auto"/>
                  </w:tcBorders>
                </w:tcPr>
                <w:p w14:paraId="4FE0788B"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Borrower(s)</w:t>
                  </w:r>
                </w:p>
              </w:tc>
              <w:tc>
                <w:tcPr>
                  <w:tcW w:w="5827" w:type="dxa"/>
                  <w:tcBorders>
                    <w:bottom w:val="single" w:sz="4" w:space="0" w:color="auto"/>
                  </w:tcBorders>
                </w:tcPr>
                <w:p w14:paraId="717D45BC" w14:textId="4539C9DB" w:rsidR="008E3772" w:rsidRPr="008F4E27" w:rsidRDefault="00C0531A" w:rsidP="003634BB">
                  <w:pPr>
                    <w:rPr>
                      <w:rFonts w:asciiTheme="minorHAnsi" w:hAnsiTheme="minorHAnsi" w:cstheme="minorHAnsi"/>
                      <w:sz w:val="22"/>
                      <w:szCs w:val="22"/>
                    </w:rPr>
                  </w:pPr>
                  <w:r w:rsidRPr="008F4E27">
                    <w:rPr>
                      <w:rFonts w:asciiTheme="minorHAnsi" w:hAnsiTheme="minorHAnsi" w:cstheme="minorHAnsi"/>
                      <w:sz w:val="22"/>
                      <w:szCs w:val="22"/>
                    </w:rPr>
                    <w:t xml:space="preserve">Hashemite Kingdom of Jordan </w:t>
                  </w:r>
                </w:p>
              </w:tc>
            </w:tr>
            <w:tr w:rsidR="008E3772" w:rsidRPr="008F4E27" w14:paraId="5C304D9B" w14:textId="77777777" w:rsidTr="008E3772">
              <w:trPr>
                <w:cantSplit/>
                <w:trHeight w:val="140"/>
              </w:trPr>
              <w:tc>
                <w:tcPr>
                  <w:tcW w:w="3420" w:type="dxa"/>
                  <w:tcBorders>
                    <w:bottom w:val="nil"/>
                    <w:right w:val="single" w:sz="4" w:space="0" w:color="auto"/>
                  </w:tcBorders>
                </w:tcPr>
                <w:p w14:paraId="2414F56D"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Implementing Agency</w:t>
                  </w:r>
                </w:p>
              </w:tc>
              <w:tc>
                <w:tcPr>
                  <w:tcW w:w="5827" w:type="dxa"/>
                  <w:tcBorders>
                    <w:top w:val="single" w:sz="4" w:space="0" w:color="auto"/>
                    <w:left w:val="single" w:sz="4" w:space="0" w:color="auto"/>
                    <w:bottom w:val="nil"/>
                    <w:right w:val="single" w:sz="4" w:space="0" w:color="auto"/>
                  </w:tcBorders>
                </w:tcPr>
                <w:p w14:paraId="53180979" w14:textId="67FE946C" w:rsidR="008E3772" w:rsidRPr="008F4E27" w:rsidRDefault="00C0531A" w:rsidP="003634BB">
                  <w:pPr>
                    <w:rPr>
                      <w:rFonts w:asciiTheme="minorHAnsi" w:hAnsiTheme="minorHAnsi" w:cstheme="minorHAnsi"/>
                      <w:sz w:val="22"/>
                      <w:szCs w:val="22"/>
                    </w:rPr>
                  </w:pPr>
                  <w:bookmarkStart w:id="0" w:name="IMPLEMENTINGAGENCY"/>
                  <w:bookmarkEnd w:id="0"/>
                  <w:r w:rsidRPr="008F4E27">
                    <w:rPr>
                      <w:rFonts w:asciiTheme="minorHAnsi" w:hAnsiTheme="minorHAnsi" w:cstheme="minorHAnsi"/>
                      <w:sz w:val="22"/>
                      <w:szCs w:val="22"/>
                    </w:rPr>
                    <w:t>Ministry of Education</w:t>
                  </w:r>
                </w:p>
              </w:tc>
            </w:tr>
            <w:tr w:rsidR="008E3772" w:rsidRPr="008F4E27" w14:paraId="01DB7243" w14:textId="77777777" w:rsidTr="008E3772">
              <w:tc>
                <w:tcPr>
                  <w:tcW w:w="3420" w:type="dxa"/>
                </w:tcPr>
                <w:p w14:paraId="441E2DAB"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Date PID Prepared</w:t>
                  </w:r>
                </w:p>
              </w:tc>
              <w:tc>
                <w:tcPr>
                  <w:tcW w:w="5827" w:type="dxa"/>
                </w:tcPr>
                <w:p w14:paraId="54CAC459" w14:textId="55A1C7FB" w:rsidR="008E3772" w:rsidRPr="008F4E27" w:rsidRDefault="00302563" w:rsidP="003634BB">
                  <w:pPr>
                    <w:rPr>
                      <w:rFonts w:asciiTheme="minorHAnsi" w:hAnsiTheme="minorHAnsi" w:cstheme="minorHAnsi"/>
                      <w:sz w:val="22"/>
                      <w:szCs w:val="22"/>
                    </w:rPr>
                  </w:pPr>
                  <w:r>
                    <w:rPr>
                      <w:rFonts w:asciiTheme="minorHAnsi" w:hAnsiTheme="minorHAnsi" w:cstheme="minorHAnsi"/>
                      <w:sz w:val="22"/>
                      <w:szCs w:val="22"/>
                    </w:rPr>
                    <w:t>October 1</w:t>
                  </w:r>
                  <w:r w:rsidR="004B5DCF">
                    <w:rPr>
                      <w:rFonts w:asciiTheme="minorHAnsi" w:hAnsiTheme="minorHAnsi" w:cstheme="minorHAnsi"/>
                      <w:sz w:val="22"/>
                      <w:szCs w:val="22"/>
                    </w:rPr>
                    <w:t>7</w:t>
                  </w:r>
                  <w:r w:rsidR="00A5611A">
                    <w:rPr>
                      <w:rFonts w:asciiTheme="minorHAnsi" w:hAnsiTheme="minorHAnsi" w:cstheme="minorHAnsi"/>
                      <w:sz w:val="22"/>
                      <w:szCs w:val="22"/>
                    </w:rPr>
                    <w:t>,</w:t>
                  </w:r>
                  <w:r w:rsidR="00C0531A" w:rsidRPr="008F4E27">
                    <w:rPr>
                      <w:rFonts w:asciiTheme="minorHAnsi" w:hAnsiTheme="minorHAnsi" w:cstheme="minorHAnsi"/>
                      <w:sz w:val="22"/>
                      <w:szCs w:val="22"/>
                    </w:rPr>
                    <w:t xml:space="preserve"> 2017</w:t>
                  </w:r>
                </w:p>
              </w:tc>
            </w:tr>
            <w:tr w:rsidR="008E3772" w:rsidRPr="008F4E27" w14:paraId="52078D95" w14:textId="77777777" w:rsidTr="008E3772">
              <w:tc>
                <w:tcPr>
                  <w:tcW w:w="3420" w:type="dxa"/>
                </w:tcPr>
                <w:p w14:paraId="5ABB2557"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Estimated Date of Appraisal Completion</w:t>
                  </w:r>
                </w:p>
              </w:tc>
              <w:tc>
                <w:tcPr>
                  <w:tcW w:w="5827" w:type="dxa"/>
                </w:tcPr>
                <w:p w14:paraId="589472DE" w14:textId="719B6C3C" w:rsidR="008E3772" w:rsidRPr="008F4E27" w:rsidRDefault="00C0531A" w:rsidP="003634BB">
                  <w:pPr>
                    <w:rPr>
                      <w:rFonts w:asciiTheme="minorHAnsi" w:hAnsiTheme="minorHAnsi" w:cstheme="minorHAnsi"/>
                      <w:sz w:val="22"/>
                      <w:szCs w:val="22"/>
                    </w:rPr>
                  </w:pPr>
                  <w:r w:rsidRPr="008F4E27">
                    <w:rPr>
                      <w:rFonts w:asciiTheme="minorHAnsi" w:hAnsiTheme="minorHAnsi" w:cstheme="minorHAnsi"/>
                      <w:sz w:val="22"/>
                      <w:szCs w:val="22"/>
                    </w:rPr>
                    <w:t>September 27, 2017</w:t>
                  </w:r>
                </w:p>
              </w:tc>
            </w:tr>
            <w:tr w:rsidR="008E3772" w:rsidRPr="008F4E27" w14:paraId="0E40DBD5" w14:textId="77777777" w:rsidTr="008E3772">
              <w:tc>
                <w:tcPr>
                  <w:tcW w:w="3420" w:type="dxa"/>
                </w:tcPr>
                <w:p w14:paraId="06CF6C4B" w14:textId="77777777" w:rsidR="008E3772" w:rsidRPr="008F4E27" w:rsidRDefault="008E3772" w:rsidP="003634BB">
                  <w:pPr>
                    <w:rPr>
                      <w:rFonts w:asciiTheme="minorHAnsi" w:hAnsiTheme="minorHAnsi" w:cstheme="minorHAnsi"/>
                      <w:b/>
                      <w:bCs/>
                      <w:sz w:val="22"/>
                      <w:szCs w:val="22"/>
                    </w:rPr>
                  </w:pPr>
                  <w:r w:rsidRPr="008F4E27">
                    <w:rPr>
                      <w:rFonts w:asciiTheme="minorHAnsi" w:hAnsiTheme="minorHAnsi" w:cstheme="minorHAnsi"/>
                      <w:b/>
                      <w:bCs/>
                      <w:sz w:val="22"/>
                      <w:szCs w:val="22"/>
                    </w:rPr>
                    <w:t>Estimated Date of Board Approval</w:t>
                  </w:r>
                </w:p>
              </w:tc>
              <w:tc>
                <w:tcPr>
                  <w:tcW w:w="5827" w:type="dxa"/>
                </w:tcPr>
                <w:p w14:paraId="5E7A2095" w14:textId="5A55F401" w:rsidR="008E3772" w:rsidRPr="008F4E27" w:rsidRDefault="00C0531A" w:rsidP="003634BB">
                  <w:pPr>
                    <w:rPr>
                      <w:rFonts w:asciiTheme="minorHAnsi" w:hAnsiTheme="minorHAnsi" w:cstheme="minorHAnsi"/>
                      <w:sz w:val="22"/>
                      <w:szCs w:val="22"/>
                    </w:rPr>
                  </w:pPr>
                  <w:r w:rsidRPr="008F4E27">
                    <w:rPr>
                      <w:rFonts w:asciiTheme="minorHAnsi" w:hAnsiTheme="minorHAnsi" w:cstheme="minorHAnsi"/>
                      <w:sz w:val="22"/>
                      <w:szCs w:val="22"/>
                    </w:rPr>
                    <w:t>November 30, 2017</w:t>
                  </w:r>
                </w:p>
              </w:tc>
            </w:tr>
          </w:tbl>
          <w:p w14:paraId="693E3CD7" w14:textId="77777777" w:rsidR="008E3772" w:rsidRPr="008F4E27" w:rsidRDefault="008E3772" w:rsidP="008E3772">
            <w:pPr>
              <w:rPr>
                <w:rFonts w:asciiTheme="minorHAnsi" w:hAnsiTheme="minorHAnsi" w:cstheme="minorHAnsi"/>
                <w:sz w:val="22"/>
                <w:szCs w:val="22"/>
              </w:rPr>
            </w:pPr>
          </w:p>
          <w:p w14:paraId="46936A2F" w14:textId="4B09C930" w:rsidR="00672F47" w:rsidRPr="008F4E27" w:rsidRDefault="00672F47" w:rsidP="001321D1">
            <w:pPr>
              <w:pStyle w:val="NoSpacing"/>
              <w:numPr>
                <w:ilvl w:val="0"/>
                <w:numId w:val="45"/>
              </w:numPr>
              <w:rPr>
                <w:rFonts w:cstheme="minorHAnsi"/>
                <w:b/>
              </w:rPr>
            </w:pPr>
            <w:r w:rsidRPr="008F4E27">
              <w:rPr>
                <w:rFonts w:cstheme="minorHAnsi"/>
                <w:b/>
              </w:rPr>
              <w:t>Country Context</w:t>
            </w:r>
          </w:p>
          <w:p w14:paraId="205D58FB" w14:textId="77777777" w:rsidR="00672F47" w:rsidRPr="008F4E27" w:rsidRDefault="00672F47" w:rsidP="001321D1">
            <w:pPr>
              <w:pStyle w:val="NoSpacing"/>
              <w:ind w:left="340"/>
              <w:rPr>
                <w:rFonts w:cstheme="minorHAnsi"/>
                <w:b/>
              </w:rPr>
            </w:pPr>
          </w:p>
          <w:p w14:paraId="01B44AB4" w14:textId="77777777" w:rsidR="00302563" w:rsidRPr="00053012" w:rsidRDefault="00302563" w:rsidP="00302563">
            <w:pPr>
              <w:pStyle w:val="NoSpacing"/>
              <w:numPr>
                <w:ilvl w:val="0"/>
                <w:numId w:val="36"/>
              </w:numPr>
              <w:tabs>
                <w:tab w:val="left" w:pos="900"/>
              </w:tabs>
              <w:ind w:left="360" w:firstLine="0"/>
              <w:jc w:val="both"/>
              <w:rPr>
                <w:rFonts w:cstheme="majorBidi"/>
              </w:rPr>
            </w:pPr>
            <w:r w:rsidRPr="00053012">
              <w:rPr>
                <w:rFonts w:cstheme="majorBidi"/>
                <w:b/>
              </w:rPr>
              <w:t xml:space="preserve">Despite strong economic and social progress in previous decades, Jordan continues to face challenges that have been amplified by the Syrian crisis. </w:t>
            </w:r>
            <w:r>
              <w:rPr>
                <w:rFonts w:cstheme="majorBidi"/>
              </w:rPr>
              <w:t>E</w:t>
            </w:r>
            <w:r w:rsidRPr="00053012">
              <w:rPr>
                <w:rFonts w:cstheme="majorBidi"/>
              </w:rPr>
              <w:t xml:space="preserve">conomic growth has </w:t>
            </w:r>
            <w:r w:rsidRPr="009941C9">
              <w:rPr>
                <w:rFonts w:cstheme="majorBidi"/>
              </w:rPr>
              <w:t>slowed down in 2016 for the second year in a row—to an estimated 2</w:t>
            </w:r>
            <w:r>
              <w:rPr>
                <w:rFonts w:cstheme="majorBidi"/>
              </w:rPr>
              <w:t xml:space="preserve"> percent</w:t>
            </w:r>
            <w:r w:rsidRPr="009941C9">
              <w:rPr>
                <w:rFonts w:cstheme="majorBidi"/>
              </w:rPr>
              <w:t xml:space="preserve"> from 2.4</w:t>
            </w:r>
            <w:r>
              <w:rPr>
                <w:rFonts w:cstheme="majorBidi"/>
              </w:rPr>
              <w:t xml:space="preserve"> percent</w:t>
            </w:r>
            <w:r w:rsidRPr="009941C9">
              <w:rPr>
                <w:rFonts w:cstheme="majorBidi"/>
              </w:rPr>
              <w:t xml:space="preserve"> in 2015</w:t>
            </w:r>
            <w:r w:rsidRPr="00053012">
              <w:rPr>
                <w:rFonts w:cstheme="majorBidi"/>
              </w:rPr>
              <w:t xml:space="preserve">. Indicators of human development and living standards have stagnated </w:t>
            </w:r>
            <w:r>
              <w:rPr>
                <w:rFonts w:cstheme="majorBidi"/>
              </w:rPr>
              <w:t>since</w:t>
            </w:r>
            <w:r w:rsidRPr="00053012">
              <w:rPr>
                <w:rFonts w:cstheme="majorBidi"/>
              </w:rPr>
              <w:t xml:space="preserve"> 2009, </w:t>
            </w:r>
            <w:r>
              <w:rPr>
                <w:rFonts w:cstheme="majorBidi"/>
              </w:rPr>
              <w:t>after</w:t>
            </w:r>
            <w:r w:rsidRPr="00053012">
              <w:rPr>
                <w:rFonts w:cstheme="majorBidi"/>
              </w:rPr>
              <w:t xml:space="preserve"> strong improvements from 1990</w:t>
            </w:r>
            <w:r>
              <w:rPr>
                <w:rFonts w:cstheme="majorBidi"/>
              </w:rPr>
              <w:t xml:space="preserve"> to </w:t>
            </w:r>
            <w:r w:rsidRPr="00053012">
              <w:rPr>
                <w:rFonts w:cstheme="majorBidi"/>
              </w:rPr>
              <w:t>2008. The Human Development Index (HDI), which measures long-term progress in three basic dimensions of human development (a long and healthy life, access to knowledge</w:t>
            </w:r>
            <w:r>
              <w:rPr>
                <w:rFonts w:cstheme="majorBidi"/>
              </w:rPr>
              <w:t>,</w:t>
            </w:r>
            <w:r w:rsidRPr="00053012">
              <w:rPr>
                <w:rFonts w:cstheme="majorBidi"/>
              </w:rPr>
              <w:t xml:space="preserve"> and a decent standard of living), has </w:t>
            </w:r>
            <w:r>
              <w:rPr>
                <w:rFonts w:cstheme="majorBidi"/>
              </w:rPr>
              <w:t>remained</w:t>
            </w:r>
            <w:r w:rsidRPr="00053012">
              <w:rPr>
                <w:rFonts w:cstheme="majorBidi"/>
              </w:rPr>
              <w:t xml:space="preserve"> at 0.742</w:t>
            </w:r>
            <w:r>
              <w:rPr>
                <w:rFonts w:cstheme="majorBidi"/>
              </w:rPr>
              <w:t xml:space="preserve"> </w:t>
            </w:r>
            <w:r w:rsidRPr="00053012">
              <w:rPr>
                <w:rFonts w:cstheme="majorBidi"/>
              </w:rPr>
              <w:t>since 2008</w:t>
            </w:r>
            <w:r>
              <w:rPr>
                <w:rFonts w:cstheme="majorBidi"/>
              </w:rPr>
              <w:t>,</w:t>
            </w:r>
            <w:r w:rsidRPr="00053012">
              <w:rPr>
                <w:rFonts w:cstheme="majorBidi"/>
              </w:rPr>
              <w:t xml:space="preserve"> placing Jordan in the 86</w:t>
            </w:r>
            <w:r w:rsidRPr="00053012">
              <w:rPr>
                <w:rFonts w:cstheme="majorBidi"/>
                <w:vertAlign w:val="superscript"/>
              </w:rPr>
              <w:t>th</w:t>
            </w:r>
            <w:r w:rsidRPr="00053012">
              <w:rPr>
                <w:rFonts w:cstheme="majorBidi"/>
              </w:rPr>
              <w:t xml:space="preserve"> position of 188 in the HDI ranking.</w:t>
            </w:r>
            <w:r w:rsidRPr="00053012">
              <w:rPr>
                <w:rStyle w:val="FootnoteReference"/>
                <w:rFonts w:cstheme="majorBidi"/>
              </w:rPr>
              <w:footnoteReference w:id="1"/>
            </w:r>
            <w:r w:rsidRPr="00053012">
              <w:rPr>
                <w:rFonts w:cstheme="majorBidi"/>
              </w:rPr>
              <w:t xml:space="preserve"> This situation is explained by several factors: the effects </w:t>
            </w:r>
            <w:r w:rsidRPr="00053012">
              <w:rPr>
                <w:rFonts w:cstheme="majorBidi"/>
              </w:rPr>
              <w:lastRenderedPageBreak/>
              <w:t>of the Syrian crisis, the fallout from the 2007</w:t>
            </w:r>
            <w:r>
              <w:rPr>
                <w:rFonts w:cstheme="majorBidi"/>
              </w:rPr>
              <w:t>–</w:t>
            </w:r>
            <w:r w:rsidRPr="00053012">
              <w:rPr>
                <w:rFonts w:cstheme="majorBidi"/>
              </w:rPr>
              <w:t>2008 global financial crisis, among other macroeconomic challenges.</w:t>
            </w:r>
          </w:p>
          <w:p w14:paraId="7CA29827" w14:textId="77777777" w:rsidR="00302563" w:rsidRPr="00053012" w:rsidRDefault="00302563" w:rsidP="00302563">
            <w:pPr>
              <w:pStyle w:val="NoSpacing"/>
              <w:tabs>
                <w:tab w:val="left" w:pos="900"/>
              </w:tabs>
              <w:ind w:left="360"/>
              <w:jc w:val="both"/>
              <w:rPr>
                <w:rFonts w:cstheme="majorBidi"/>
              </w:rPr>
            </w:pPr>
          </w:p>
          <w:p w14:paraId="04B41C4A" w14:textId="77777777" w:rsidR="00302563" w:rsidRPr="00053012" w:rsidRDefault="00302563" w:rsidP="00302563">
            <w:pPr>
              <w:pStyle w:val="NoSpacing"/>
              <w:numPr>
                <w:ilvl w:val="0"/>
                <w:numId w:val="36"/>
              </w:numPr>
              <w:tabs>
                <w:tab w:val="left" w:pos="900"/>
              </w:tabs>
              <w:ind w:left="360" w:firstLine="0"/>
              <w:jc w:val="both"/>
              <w:rPr>
                <w:rFonts w:cstheme="majorBidi"/>
              </w:rPr>
            </w:pPr>
            <w:r w:rsidRPr="00053012">
              <w:rPr>
                <w:rFonts w:cstheme="majorBidi"/>
                <w:b/>
                <w:bCs/>
              </w:rPr>
              <w:t>Jordan faces a significant demographic challenge with the influx of large numbers of Syrian refugees.</w:t>
            </w:r>
            <w:r w:rsidRPr="00053012">
              <w:rPr>
                <w:rFonts w:cstheme="majorBidi"/>
              </w:rPr>
              <w:t xml:space="preserve"> The Syrian refugee crisis adds to the fiscal stress and puts serious strains on the </w:t>
            </w:r>
            <w:r>
              <w:rPr>
                <w:rFonts w:cstheme="majorBidi"/>
              </w:rPr>
              <w:t>g</w:t>
            </w:r>
            <w:r w:rsidRPr="00053012">
              <w:rPr>
                <w:rFonts w:cstheme="majorBidi"/>
              </w:rPr>
              <w:t>overnment’s ability to provide public services, including health and education. As of August 2017, Jordan hosts 660,582</w:t>
            </w:r>
            <w:r w:rsidRPr="00053012">
              <w:rPr>
                <w:rStyle w:val="FootnoteReference"/>
                <w:rFonts w:cstheme="majorBidi"/>
              </w:rPr>
              <w:footnoteReference w:id="2"/>
            </w:r>
            <w:r w:rsidRPr="00053012">
              <w:rPr>
                <w:rFonts w:cstheme="majorBidi"/>
              </w:rPr>
              <w:t xml:space="preserve"> registered Syrian refugees, of which 232,868</w:t>
            </w:r>
            <w:r w:rsidRPr="00053012">
              <w:rPr>
                <w:rStyle w:val="FootnoteReference"/>
                <w:rFonts w:cstheme="majorBidi"/>
              </w:rPr>
              <w:footnoteReference w:id="3"/>
            </w:r>
            <w:r w:rsidRPr="00053012">
              <w:rPr>
                <w:rFonts w:cstheme="majorBidi"/>
              </w:rPr>
              <w:t xml:space="preserve"> are school</w:t>
            </w:r>
            <w:r>
              <w:rPr>
                <w:rFonts w:cstheme="majorBidi"/>
              </w:rPr>
              <w:t>-</w:t>
            </w:r>
            <w:r w:rsidRPr="00053012">
              <w:rPr>
                <w:rFonts w:cstheme="majorBidi"/>
              </w:rPr>
              <w:t>age</w:t>
            </w:r>
            <w:r>
              <w:rPr>
                <w:rFonts w:cstheme="majorBidi"/>
              </w:rPr>
              <w:t>d</w:t>
            </w:r>
            <w:r w:rsidRPr="00053012">
              <w:rPr>
                <w:rFonts w:cstheme="majorBidi"/>
              </w:rPr>
              <w:t xml:space="preserve"> children requiring the provision of education services. </w:t>
            </w:r>
            <w:r>
              <w:rPr>
                <w:rFonts w:cstheme="majorBidi"/>
              </w:rPr>
              <w:t>Eighty</w:t>
            </w:r>
            <w:r w:rsidRPr="00053012">
              <w:rPr>
                <w:rFonts w:cstheme="majorBidi"/>
              </w:rPr>
              <w:t xml:space="preserve"> percent of refugees live in host communities, representing 10 percent of Jordan’s population, while the remaining live in dedicated refugee camps. Per the recent 2016 government census, the total number of Syrians in Jordan reached an estimated 1.265 million, representing 13.2 percent of population</w:t>
            </w:r>
            <w:r w:rsidRPr="00053012">
              <w:rPr>
                <w:rStyle w:val="FootnoteReference"/>
                <w:rFonts w:cstheme="majorBidi"/>
              </w:rPr>
              <w:footnoteReference w:id="4"/>
            </w:r>
            <w:r w:rsidRPr="00053012">
              <w:rPr>
                <w:rFonts w:cstheme="majorBidi"/>
              </w:rPr>
              <w:t>.</w:t>
            </w:r>
            <w:r>
              <w:rPr>
                <w:rFonts w:cstheme="majorBidi"/>
              </w:rPr>
              <w:t xml:space="preserve"> Jordan has been committed to integrating Syrian refugee children in the public formal sector, and as of June 2017, approximately 10 percent of children in public schools were Syrian refugees. Therefore, it is important that </w:t>
            </w:r>
            <w:r w:rsidRPr="00701E95">
              <w:rPr>
                <w:rFonts w:cstheme="majorBidi"/>
              </w:rPr>
              <w:t>e</w:t>
            </w:r>
            <w:r w:rsidRPr="00053012">
              <w:rPr>
                <w:rFonts w:cstheme="majorBidi"/>
              </w:rPr>
              <w:t xml:space="preserve">ducation services to refugee children </w:t>
            </w:r>
            <w:r>
              <w:rPr>
                <w:rFonts w:cstheme="majorBidi"/>
              </w:rPr>
              <w:t xml:space="preserve">in Jordan </w:t>
            </w:r>
            <w:r w:rsidRPr="00053012">
              <w:rPr>
                <w:rFonts w:cstheme="majorBidi"/>
              </w:rPr>
              <w:t>respond to the nature of the challenges they face in the education system.</w:t>
            </w:r>
          </w:p>
          <w:p w14:paraId="0CAE00B4" w14:textId="77777777" w:rsidR="00302563" w:rsidRPr="00053012" w:rsidRDefault="00302563" w:rsidP="00302563">
            <w:pPr>
              <w:pStyle w:val="NoSpacing"/>
              <w:tabs>
                <w:tab w:val="left" w:pos="900"/>
              </w:tabs>
              <w:jc w:val="both"/>
              <w:rPr>
                <w:rFonts w:cstheme="majorBidi"/>
              </w:rPr>
            </w:pPr>
          </w:p>
          <w:p w14:paraId="0A5DA740" w14:textId="77777777" w:rsidR="00302563" w:rsidRPr="00053012" w:rsidRDefault="00302563" w:rsidP="00302563">
            <w:pPr>
              <w:pStyle w:val="NoSpacing"/>
              <w:numPr>
                <w:ilvl w:val="0"/>
                <w:numId w:val="36"/>
              </w:numPr>
              <w:tabs>
                <w:tab w:val="left" w:pos="900"/>
              </w:tabs>
              <w:ind w:left="360" w:firstLine="0"/>
              <w:jc w:val="both"/>
              <w:rPr>
                <w:rFonts w:cstheme="majorBidi"/>
              </w:rPr>
            </w:pPr>
            <w:r w:rsidRPr="00053012">
              <w:rPr>
                <w:rFonts w:cstheme="majorBidi"/>
                <w:b/>
              </w:rPr>
              <w:t xml:space="preserve">Jordan’s economic development hinges on the existence of an education system that provides students with the cognitive and socioemotional skills needed to succeed in the labor market. </w:t>
            </w:r>
            <w:r w:rsidRPr="00053012">
              <w:rPr>
                <w:rFonts w:cstheme="majorBidi"/>
              </w:rPr>
              <w:t>Realizing the full potential of educational investments for economic prosperity requires improving access and quality of education for both girls and boys.</w:t>
            </w:r>
            <w:r w:rsidRPr="00053012">
              <w:rPr>
                <w:rStyle w:val="FootnoteReference"/>
                <w:rFonts w:cstheme="majorBidi"/>
              </w:rPr>
              <w:footnoteReference w:id="5"/>
            </w:r>
            <w:r w:rsidRPr="00053012">
              <w:rPr>
                <w:rFonts w:cstheme="majorBidi"/>
              </w:rPr>
              <w:t xml:space="preserve"> Additionally, the cost of not educating refugee children is high in terms of loss of human capital for regional economic development, as well as for the long-term processes of peace, stability, and reconstruction.</w:t>
            </w:r>
            <w:r w:rsidRPr="00053012">
              <w:rPr>
                <w:rFonts w:ascii="Times New Roman" w:eastAsiaTheme="minorEastAsia" w:hAnsi="Times New Roman" w:cs="Times New Roman"/>
              </w:rPr>
              <w:t xml:space="preserve"> </w:t>
            </w:r>
            <w:r w:rsidRPr="00053012">
              <w:rPr>
                <w:rFonts w:cstheme="majorBidi"/>
              </w:rPr>
              <w:t xml:space="preserve">It is thus necessary for the education system to be agile and address the existing education quality challenges by strengthening the system's ability to manage a growing number of students, including refugee and vulnerable children.  </w:t>
            </w:r>
          </w:p>
          <w:p w14:paraId="179B6C27" w14:textId="77777777" w:rsidR="00672F47" w:rsidRPr="008F4E27" w:rsidRDefault="00672F47" w:rsidP="001321D1">
            <w:pPr>
              <w:pStyle w:val="NoSpacing"/>
              <w:tabs>
                <w:tab w:val="left" w:pos="900"/>
              </w:tabs>
              <w:ind w:left="340"/>
              <w:jc w:val="both"/>
              <w:rPr>
                <w:rFonts w:cstheme="minorHAnsi"/>
              </w:rPr>
            </w:pPr>
          </w:p>
          <w:p w14:paraId="4090D14F" w14:textId="77777777" w:rsidR="00672F47" w:rsidRPr="008F4E27" w:rsidRDefault="00672F47" w:rsidP="001321D1">
            <w:pPr>
              <w:pStyle w:val="NoSpacing"/>
              <w:numPr>
                <w:ilvl w:val="0"/>
                <w:numId w:val="45"/>
              </w:numPr>
              <w:rPr>
                <w:rFonts w:cstheme="minorHAnsi"/>
              </w:rPr>
            </w:pPr>
            <w:r w:rsidRPr="008F4E27">
              <w:rPr>
                <w:rFonts w:cstheme="minorHAnsi"/>
                <w:b/>
              </w:rPr>
              <w:t xml:space="preserve"> Sectoral and Institutional Context </w:t>
            </w:r>
          </w:p>
          <w:p w14:paraId="0EBAA5EF" w14:textId="77777777" w:rsidR="00672F47" w:rsidRPr="008F4E27" w:rsidRDefault="00672F47" w:rsidP="001321D1">
            <w:pPr>
              <w:pStyle w:val="NoSpacing"/>
              <w:ind w:left="340"/>
              <w:rPr>
                <w:rFonts w:cstheme="minorHAnsi"/>
              </w:rPr>
            </w:pPr>
          </w:p>
          <w:p w14:paraId="38D0B3CE" w14:textId="77777777" w:rsidR="00302563" w:rsidRPr="00053012" w:rsidRDefault="00302563" w:rsidP="00302563">
            <w:pPr>
              <w:pStyle w:val="NoSpacing"/>
              <w:numPr>
                <w:ilvl w:val="0"/>
                <w:numId w:val="36"/>
              </w:numPr>
              <w:tabs>
                <w:tab w:val="left" w:pos="900"/>
              </w:tabs>
              <w:ind w:left="360" w:firstLine="0"/>
              <w:jc w:val="both"/>
              <w:rPr>
                <w:rFonts w:cstheme="majorBidi"/>
              </w:rPr>
            </w:pPr>
            <w:r w:rsidRPr="00053012">
              <w:rPr>
                <w:rFonts w:cstheme="majorBidi"/>
                <w:b/>
                <w:bCs/>
              </w:rPr>
              <w:t>The pre</w:t>
            </w:r>
            <w:r>
              <w:rPr>
                <w:rFonts w:cstheme="majorBidi"/>
                <w:b/>
                <w:bCs/>
              </w:rPr>
              <w:t>-</w:t>
            </w:r>
            <w:r w:rsidRPr="00053012">
              <w:rPr>
                <w:rFonts w:cstheme="majorBidi"/>
                <w:b/>
                <w:bCs/>
              </w:rPr>
              <w:t>tertiary education system in Jordan is organized in three levels</w:t>
            </w:r>
            <w:r w:rsidRPr="00053012">
              <w:rPr>
                <w:rFonts w:cstheme="majorBidi"/>
              </w:rPr>
              <w:t>: (1) early childhood education or preprimary</w:t>
            </w:r>
            <w:r>
              <w:rPr>
                <w:rFonts w:cstheme="majorBidi"/>
              </w:rPr>
              <w:t>—k</w:t>
            </w:r>
            <w:r w:rsidRPr="00053012">
              <w:rPr>
                <w:rFonts w:cstheme="majorBidi"/>
              </w:rPr>
              <w:t>indergarten (KG) 1 and 2</w:t>
            </w:r>
            <w:r>
              <w:rPr>
                <w:rFonts w:cstheme="majorBidi"/>
              </w:rPr>
              <w:t>,</w:t>
            </w:r>
            <w:r w:rsidRPr="00053012">
              <w:rPr>
                <w:rFonts w:cstheme="majorBidi"/>
              </w:rPr>
              <w:t xml:space="preserve"> (2) compulsory basic education</w:t>
            </w:r>
            <w:r>
              <w:rPr>
                <w:rFonts w:cstheme="majorBidi"/>
              </w:rPr>
              <w:t>,</w:t>
            </w:r>
            <w:r w:rsidRPr="00053012">
              <w:rPr>
                <w:rFonts w:cstheme="majorBidi"/>
              </w:rPr>
              <w:t xml:space="preserve"> comprising primary and lower secondary levels (grades 1</w:t>
            </w:r>
            <w:r>
              <w:rPr>
                <w:rFonts w:cstheme="majorBidi"/>
              </w:rPr>
              <w:t>–</w:t>
            </w:r>
            <w:r w:rsidRPr="00053012">
              <w:rPr>
                <w:rFonts w:cstheme="majorBidi"/>
              </w:rPr>
              <w:t>10</w:t>
            </w:r>
            <w:r>
              <w:rPr>
                <w:rFonts w:cstheme="majorBidi"/>
              </w:rPr>
              <w:t>),</w:t>
            </w:r>
            <w:r w:rsidRPr="00053012">
              <w:rPr>
                <w:rFonts w:cstheme="majorBidi"/>
              </w:rPr>
              <w:t xml:space="preserve"> and (3) upper secondary education comprising both academic and vocational streams (grades 11 and 12). The pre</w:t>
            </w:r>
            <w:r>
              <w:rPr>
                <w:rFonts w:cstheme="majorBidi"/>
              </w:rPr>
              <w:t>-</w:t>
            </w:r>
            <w:r w:rsidRPr="00053012">
              <w:rPr>
                <w:rFonts w:cstheme="majorBidi"/>
              </w:rPr>
              <w:t xml:space="preserve">tertiary education system is managed by the Ministry of Education (MOE), while the Ministry of Higher Education and Scientific Research (MOHESR) manages tertiary institutions (universities and vocational colleges). </w:t>
            </w:r>
          </w:p>
          <w:p w14:paraId="398EBF60" w14:textId="77777777" w:rsidR="00302563" w:rsidRPr="00053012" w:rsidRDefault="00302563" w:rsidP="00302563">
            <w:pPr>
              <w:pStyle w:val="NoSpacing"/>
              <w:tabs>
                <w:tab w:val="left" w:pos="900"/>
              </w:tabs>
              <w:jc w:val="both"/>
              <w:rPr>
                <w:rFonts w:cstheme="majorBidi"/>
                <w:b/>
                <w:bCs/>
              </w:rPr>
            </w:pPr>
          </w:p>
          <w:p w14:paraId="3450A20A" w14:textId="24F02118" w:rsidR="00302563" w:rsidRDefault="00302563" w:rsidP="00302563">
            <w:pPr>
              <w:pStyle w:val="NoSpacing"/>
              <w:numPr>
                <w:ilvl w:val="0"/>
                <w:numId w:val="36"/>
              </w:numPr>
              <w:tabs>
                <w:tab w:val="left" w:pos="900"/>
              </w:tabs>
              <w:ind w:left="360" w:firstLine="0"/>
              <w:jc w:val="both"/>
              <w:rPr>
                <w:rFonts w:cstheme="majorBidi"/>
              </w:rPr>
            </w:pPr>
            <w:r w:rsidRPr="000C48D3">
              <w:rPr>
                <w:rFonts w:cstheme="majorBidi"/>
                <w:b/>
                <w:bCs/>
              </w:rPr>
              <w:t>Over the last two decades, Jordan</w:t>
            </w:r>
            <w:r w:rsidRPr="000C48D3">
              <w:rPr>
                <w:rFonts w:cstheme="majorBidi"/>
                <w:b/>
                <w:bCs/>
                <w:iCs/>
              </w:rPr>
              <w:t xml:space="preserve"> h</w:t>
            </w:r>
            <w:r w:rsidRPr="000C48D3">
              <w:rPr>
                <w:rFonts w:cstheme="majorBidi"/>
                <w:b/>
                <w:iCs/>
              </w:rPr>
              <w:t>as made efforts to improve access to education</w:t>
            </w:r>
            <w:r w:rsidR="004B5DCF">
              <w:rPr>
                <w:rFonts w:cstheme="majorBidi"/>
                <w:b/>
                <w:iCs/>
              </w:rPr>
              <w:t xml:space="preserve"> to boys and girls</w:t>
            </w:r>
            <w:r w:rsidRPr="000C48D3">
              <w:rPr>
                <w:rFonts w:cstheme="majorBidi"/>
                <w:b/>
                <w:iCs/>
              </w:rPr>
              <w:t xml:space="preserve">, and to increase the efficiency of its education system. </w:t>
            </w:r>
            <w:r w:rsidRPr="000C48D3">
              <w:rPr>
                <w:rFonts w:cstheme="majorBidi"/>
                <w:bCs/>
                <w:iCs/>
              </w:rPr>
              <w:t xml:space="preserve">The country has spent many years pursuing reforms towards a knowledge economy. Through multi-donor development programs such as the </w:t>
            </w:r>
            <w:r w:rsidRPr="000C48D3">
              <w:rPr>
                <w:rFonts w:ascii="Calibri" w:hAnsi="Calibri" w:cs="Calibri"/>
              </w:rPr>
              <w:t>“Education Reform for Knowledge Economy” (ERFKE),</w:t>
            </w:r>
            <w:r w:rsidR="00AC054A">
              <w:rPr>
                <w:rFonts w:ascii="Calibri" w:hAnsi="Calibri" w:cs="Calibri"/>
              </w:rPr>
              <w:t xml:space="preserve"> </w:t>
            </w:r>
            <w:r w:rsidRPr="000C48D3">
              <w:rPr>
                <w:rFonts w:cstheme="majorBidi"/>
              </w:rPr>
              <w:t>Jordan made impressive strides in terms of schooling access and attainment and enrollment rates: under the first phase of ERfKE, the primary gross enrollment ratio increased from 71 percent in 1994 to 99 percent in 2010</w:t>
            </w:r>
            <w:r w:rsidR="00667364">
              <w:rPr>
                <w:rFonts w:cstheme="majorBidi"/>
              </w:rPr>
              <w:t xml:space="preserve"> </w:t>
            </w:r>
            <w:r w:rsidR="00667364" w:rsidRPr="00667364">
              <w:rPr>
                <w:rFonts w:cstheme="majorBidi"/>
              </w:rPr>
              <w:t>(98 percent for girls and 99 percent for boys)</w:t>
            </w:r>
            <w:r w:rsidRPr="00667364">
              <w:rPr>
                <w:rFonts w:cstheme="majorBidi"/>
              </w:rPr>
              <w:t>,</w:t>
            </w:r>
            <w:r w:rsidRPr="000C48D3">
              <w:rPr>
                <w:rFonts w:cstheme="majorBidi"/>
              </w:rPr>
              <w:t xml:space="preserve"> and the transition rate to secondary school increased from 63 percent to 98 percent </w:t>
            </w:r>
            <w:r w:rsidR="00667364">
              <w:rPr>
                <w:rFonts w:cstheme="majorBidi"/>
              </w:rPr>
              <w:t>(</w:t>
            </w:r>
            <w:r w:rsidR="00667364" w:rsidRPr="00667364">
              <w:rPr>
                <w:rFonts w:cstheme="majorBidi"/>
              </w:rPr>
              <w:t>98 percent for both girls and boys)</w:t>
            </w:r>
            <w:r w:rsidR="00667364" w:rsidRPr="000C48D3">
              <w:rPr>
                <w:rFonts w:cstheme="majorBidi"/>
              </w:rPr>
              <w:t xml:space="preserve"> </w:t>
            </w:r>
            <w:r w:rsidRPr="000C48D3">
              <w:rPr>
                <w:rFonts w:cstheme="majorBidi"/>
              </w:rPr>
              <w:t>over the same period.</w:t>
            </w:r>
            <w:r w:rsidRPr="00053012">
              <w:rPr>
                <w:rStyle w:val="FootnoteReference"/>
                <w:rFonts w:cstheme="majorBidi"/>
              </w:rPr>
              <w:footnoteReference w:id="6"/>
            </w:r>
            <w:r w:rsidRPr="000C48D3">
              <w:rPr>
                <w:rFonts w:cstheme="majorBidi"/>
              </w:rPr>
              <w:t xml:space="preserve"> The transition rate between grades is relatively stable above 96 percent from grades 1–8;  however, in grade 9, there is a marked drop down to 90 percent and a corresponding surge in dropout up to 7 percent. Repetition peaks at 3 percent in grade 10, but it is comparatively lower than in many other MENA countries and beyond. </w:t>
            </w:r>
          </w:p>
          <w:p w14:paraId="14651D25" w14:textId="77777777" w:rsidR="00302563" w:rsidRPr="000C48D3" w:rsidRDefault="00302563" w:rsidP="00302563">
            <w:pPr>
              <w:pStyle w:val="ListParagraph"/>
              <w:rPr>
                <w:rFonts w:cstheme="majorBidi"/>
              </w:rPr>
            </w:pPr>
          </w:p>
          <w:p w14:paraId="061BE12C" w14:textId="77777777" w:rsidR="00302563" w:rsidRPr="008415FF" w:rsidRDefault="00302563" w:rsidP="00302563">
            <w:pPr>
              <w:pStyle w:val="NoSpacing"/>
              <w:numPr>
                <w:ilvl w:val="0"/>
                <w:numId w:val="36"/>
              </w:numPr>
              <w:tabs>
                <w:tab w:val="left" w:pos="900"/>
              </w:tabs>
              <w:ind w:left="360" w:firstLine="0"/>
              <w:jc w:val="both"/>
              <w:rPr>
                <w:rFonts w:cstheme="majorBidi"/>
              </w:rPr>
            </w:pPr>
            <w:r w:rsidRPr="008415FF">
              <w:rPr>
                <w:rFonts w:cstheme="majorBidi"/>
                <w:b/>
                <w:bCs/>
              </w:rPr>
              <w:t>Most Syrian refugee children have access to education services in Jordan but challenges remain.</w:t>
            </w:r>
            <w:r w:rsidRPr="008415FF">
              <w:rPr>
                <w:rFonts w:cstheme="majorBidi"/>
              </w:rPr>
              <w:t xml:space="preserve"> The Government of Jordan (GOJ) has committed to protecting Syrian children’s right to education and has provided free education services to Syrian students by accommodating them in existing classrooms and creating double-shifts to meet the demand for schooling. In 2016, the GOJ adopted the Jordan Compact</w:t>
            </w:r>
            <w:r>
              <w:rPr>
                <w:rStyle w:val="FootnoteReference"/>
                <w:rFonts w:cstheme="majorBidi"/>
              </w:rPr>
              <w:footnoteReference w:id="7"/>
            </w:r>
            <w:r w:rsidRPr="008415FF">
              <w:rPr>
                <w:rFonts w:cstheme="majorBidi"/>
              </w:rPr>
              <w:t xml:space="preserve"> </w:t>
            </w:r>
            <w:r>
              <w:rPr>
                <w:rFonts w:cstheme="majorBidi"/>
              </w:rPr>
              <w:t>in which</w:t>
            </w:r>
            <w:r w:rsidRPr="008415FF">
              <w:rPr>
                <w:rFonts w:cstheme="majorBidi"/>
              </w:rPr>
              <w:t xml:space="preserve"> several donor partners</w:t>
            </w:r>
            <w:r>
              <w:rPr>
                <w:rStyle w:val="FootnoteReference"/>
                <w:rFonts w:cstheme="majorBidi"/>
              </w:rPr>
              <w:footnoteReference w:id="8"/>
            </w:r>
            <w:r w:rsidRPr="008415FF">
              <w:rPr>
                <w:rFonts w:cstheme="majorBidi"/>
              </w:rPr>
              <w:t xml:space="preserve"> increased their support to bring more children into the public education system, notably through the “Accelerating Access to Quality Formal Education for Syrian Refugee” plan. Through </w:t>
            </w:r>
            <w:r>
              <w:rPr>
                <w:rFonts w:cstheme="majorBidi"/>
              </w:rPr>
              <w:t>its</w:t>
            </w:r>
            <w:r w:rsidRPr="008415FF">
              <w:rPr>
                <w:rFonts w:cstheme="majorBidi"/>
              </w:rPr>
              <w:t xml:space="preserve"> “Catch-up” program, </w:t>
            </w:r>
            <w:r w:rsidRPr="008415FF">
              <w:rPr>
                <w:rFonts w:cstheme="majorBidi"/>
              </w:rPr>
              <w:lastRenderedPageBreak/>
              <w:t>U</w:t>
            </w:r>
            <w:r>
              <w:rPr>
                <w:rFonts w:cstheme="majorBidi"/>
              </w:rPr>
              <w:t xml:space="preserve">nited </w:t>
            </w:r>
            <w:r w:rsidRPr="008415FF">
              <w:rPr>
                <w:rFonts w:cstheme="majorBidi"/>
              </w:rPr>
              <w:t>N</w:t>
            </w:r>
            <w:r>
              <w:rPr>
                <w:rFonts w:cstheme="majorBidi"/>
              </w:rPr>
              <w:t>ations International Children’s Emergency Fund (UNICEF)</w:t>
            </w:r>
            <w:r w:rsidRPr="008415FF">
              <w:rPr>
                <w:rFonts w:cstheme="majorBidi"/>
              </w:rPr>
              <w:t xml:space="preserve"> has also been providing Syrian refugee children 9 to 12 years old with a pathway into formal schooling.</w:t>
            </w:r>
            <w:r>
              <w:rPr>
                <w:rFonts w:cstheme="majorBidi"/>
              </w:rPr>
              <w:t xml:space="preserve"> A</w:t>
            </w:r>
            <w:r w:rsidRPr="008415FF">
              <w:rPr>
                <w:rFonts w:cstheme="majorBidi"/>
              </w:rPr>
              <w:t xml:space="preserve">pproximately 83 percent of Syrian refugee children have access to education services: 54 percent through formal public provision and an additional 29 percent through non-formal education. However, enrollment in formal education is not uniform across grade levels. </w:t>
            </w:r>
            <w:r>
              <w:rPr>
                <w:rFonts w:cstheme="majorBidi"/>
              </w:rPr>
              <w:t xml:space="preserve"> </w:t>
            </w:r>
            <w:r w:rsidRPr="008415FF">
              <w:rPr>
                <w:rFonts w:cstheme="majorBidi"/>
              </w:rPr>
              <w:t>While more than half of basic education refugee children are enrolled in formal education, less than 10 percent are enrolled in preprimary formal education. Out of 232,868 school-aged Syrian refugee children in Jordan, 83 percent have access to educational services (54 percent in the formal sector and 29 percent in the non-formal sector)</w:t>
            </w:r>
            <w:r>
              <w:rPr>
                <w:rFonts w:cstheme="majorBidi"/>
              </w:rPr>
              <w:t>.</w:t>
            </w:r>
            <w:r w:rsidRPr="00B32EF2">
              <w:rPr>
                <w:vertAlign w:val="superscript"/>
              </w:rPr>
              <w:footnoteReference w:id="9"/>
            </w:r>
            <w:r w:rsidRPr="008415FF">
              <w:rPr>
                <w:rFonts w:cstheme="majorBidi"/>
              </w:rPr>
              <w:t xml:space="preserve"> The GOJ’s </w:t>
            </w:r>
            <w:r>
              <w:rPr>
                <w:rFonts w:cstheme="majorBidi"/>
              </w:rPr>
              <w:t xml:space="preserve">recent </w:t>
            </w:r>
            <w:r w:rsidRPr="008415FF">
              <w:rPr>
                <w:rFonts w:cstheme="majorBidi"/>
              </w:rPr>
              <w:t>National Education Sector Plan (NESP) 2016</w:t>
            </w:r>
            <w:r>
              <w:rPr>
                <w:rFonts w:cstheme="majorBidi"/>
              </w:rPr>
              <w:t>–</w:t>
            </w:r>
            <w:r w:rsidRPr="008415FF">
              <w:rPr>
                <w:rFonts w:cstheme="majorBidi"/>
              </w:rPr>
              <w:t>2022 sets out clear objectives to increase the enrollment of Syrian refugee students (male and female) in public schools in formal and non-formal</w:t>
            </w:r>
            <w:r>
              <w:rPr>
                <w:rFonts w:cstheme="majorBidi"/>
              </w:rPr>
              <w:t xml:space="preserve"> sectors</w:t>
            </w:r>
            <w:r w:rsidRPr="008415FF">
              <w:rPr>
                <w:rFonts w:cstheme="majorBidi"/>
              </w:rPr>
              <w:t>, with the assistance of donors, civil society organizations</w:t>
            </w:r>
            <w:r>
              <w:rPr>
                <w:rFonts w:cstheme="majorBidi"/>
              </w:rPr>
              <w:t>,</w:t>
            </w:r>
            <w:r w:rsidRPr="008415FF">
              <w:rPr>
                <w:rFonts w:cstheme="majorBidi"/>
              </w:rPr>
              <w:t xml:space="preserve"> and U</w:t>
            </w:r>
            <w:r>
              <w:rPr>
                <w:rFonts w:cstheme="majorBidi"/>
              </w:rPr>
              <w:t>nited Nations High Commissioner for Refugees (U</w:t>
            </w:r>
            <w:r w:rsidRPr="008415FF">
              <w:rPr>
                <w:rFonts w:cstheme="majorBidi"/>
              </w:rPr>
              <w:t>NHCR</w:t>
            </w:r>
            <w:r>
              <w:rPr>
                <w:rFonts w:cstheme="majorBidi"/>
              </w:rPr>
              <w:t>)</w:t>
            </w:r>
            <w:r w:rsidRPr="008415FF">
              <w:rPr>
                <w:rFonts w:cstheme="majorBidi"/>
              </w:rPr>
              <w:t xml:space="preserve">.  </w:t>
            </w:r>
          </w:p>
          <w:p w14:paraId="769A0875" w14:textId="77777777" w:rsidR="00302563" w:rsidRPr="00053012" w:rsidRDefault="00302563" w:rsidP="00302563">
            <w:pPr>
              <w:pStyle w:val="NoSpacing"/>
              <w:tabs>
                <w:tab w:val="left" w:pos="900"/>
              </w:tabs>
              <w:ind w:left="360"/>
              <w:jc w:val="both"/>
              <w:rPr>
                <w:rFonts w:cstheme="majorBidi"/>
              </w:rPr>
            </w:pPr>
          </w:p>
          <w:p w14:paraId="0E43688B" w14:textId="24DF3777" w:rsidR="00302563" w:rsidRPr="00053012" w:rsidRDefault="00302563" w:rsidP="00302563">
            <w:pPr>
              <w:pStyle w:val="NoSpacing"/>
              <w:numPr>
                <w:ilvl w:val="0"/>
                <w:numId w:val="36"/>
              </w:numPr>
              <w:tabs>
                <w:tab w:val="left" w:pos="900"/>
              </w:tabs>
              <w:ind w:left="360" w:firstLine="0"/>
              <w:jc w:val="both"/>
              <w:rPr>
                <w:rFonts w:cstheme="majorBidi"/>
              </w:rPr>
            </w:pPr>
            <w:r w:rsidRPr="00053012">
              <w:rPr>
                <w:b/>
              </w:rPr>
              <w:t xml:space="preserve">Interventions to increase </w:t>
            </w:r>
            <w:r>
              <w:rPr>
                <w:b/>
              </w:rPr>
              <w:t xml:space="preserve">education </w:t>
            </w:r>
            <w:r w:rsidRPr="00053012">
              <w:rPr>
                <w:b/>
              </w:rPr>
              <w:t xml:space="preserve">access for refugee children should be targeted at the parts of the education system </w:t>
            </w:r>
            <w:r>
              <w:rPr>
                <w:b/>
              </w:rPr>
              <w:t>in which</w:t>
            </w:r>
            <w:r w:rsidRPr="00053012">
              <w:rPr>
                <w:b/>
              </w:rPr>
              <w:t xml:space="preserve"> </w:t>
            </w:r>
            <w:r>
              <w:rPr>
                <w:b/>
              </w:rPr>
              <w:t>there is greatest need</w:t>
            </w:r>
            <w:r w:rsidRPr="00053012">
              <w:t xml:space="preserve">. Enrollment rates for Syrians are dramatically low in </w:t>
            </w:r>
            <w:r>
              <w:t>e</w:t>
            </w:r>
            <w:r w:rsidRPr="00053012">
              <w:t xml:space="preserve">arly </w:t>
            </w:r>
            <w:r>
              <w:t>c</w:t>
            </w:r>
            <w:r w:rsidRPr="00053012">
              <w:t xml:space="preserve">hildhood </w:t>
            </w:r>
            <w:r>
              <w:t>e</w:t>
            </w:r>
            <w:r w:rsidRPr="00053012">
              <w:t xml:space="preserve">ducation (ECE), where the enrollment rate is </w:t>
            </w:r>
            <w:r>
              <w:t>less than 20 percent</w:t>
            </w:r>
            <w:r w:rsidRPr="00053012">
              <w:t xml:space="preserve">, and secondary education, where the enrollment rate reaches </w:t>
            </w:r>
            <w:r>
              <w:t>approximately 20 percent</w:t>
            </w:r>
            <w:r w:rsidRPr="00053012">
              <w:t xml:space="preserve">. While there are </w:t>
            </w:r>
            <w:r>
              <w:t>significant</w:t>
            </w:r>
            <w:r w:rsidRPr="00053012">
              <w:t xml:space="preserve"> challenges </w:t>
            </w:r>
            <w:r>
              <w:t>in</w:t>
            </w:r>
            <w:r w:rsidRPr="00053012">
              <w:t xml:space="preserve"> absorb</w:t>
            </w:r>
            <w:r>
              <w:t>ing</w:t>
            </w:r>
            <w:r w:rsidRPr="00053012">
              <w:t xml:space="preserve"> both </w:t>
            </w:r>
            <w:r>
              <w:t xml:space="preserve">Jordanian and </w:t>
            </w:r>
            <w:r w:rsidRPr="00053012">
              <w:t xml:space="preserve">Syrian refugee children in ECE, low enrollment rates in secondary education </w:t>
            </w:r>
            <w:r>
              <w:t>are</w:t>
            </w:r>
            <w:r w:rsidRPr="00053012">
              <w:t xml:space="preserve"> due to high dropout rates</w:t>
            </w:r>
            <w:r w:rsidR="004B5DCF">
              <w:t xml:space="preserve"> – often linked to early marriage for girls and to child labor for boys</w:t>
            </w:r>
            <w:r>
              <w:t>,</w:t>
            </w:r>
            <w:r w:rsidRPr="00053012">
              <w:t xml:space="preserve"> most Syrian refugees attend </w:t>
            </w:r>
            <w:r>
              <w:t xml:space="preserve">all grades of </w:t>
            </w:r>
            <w:r w:rsidRPr="00053012">
              <w:t xml:space="preserve">basic formal education. So, while it is paramount to increase the supply of education services for the youngest children, it is </w:t>
            </w:r>
            <w:r>
              <w:t>also necessary</w:t>
            </w:r>
            <w:r w:rsidRPr="00053012">
              <w:t xml:space="preserve"> to retain students in classrooms </w:t>
            </w:r>
            <w:r>
              <w:t xml:space="preserve">to the end of secondary school and provide a </w:t>
            </w:r>
            <w:r w:rsidRPr="00053012">
              <w:t>quality education</w:t>
            </w:r>
            <w:r>
              <w:t xml:space="preserve"> throughout</w:t>
            </w:r>
            <w:r w:rsidRPr="00053012">
              <w:t>.</w:t>
            </w:r>
            <w:r>
              <w:t xml:space="preserve"> </w:t>
            </w:r>
          </w:p>
          <w:p w14:paraId="4B0E4FAC" w14:textId="77777777" w:rsidR="00302563" w:rsidRPr="00053012" w:rsidRDefault="00302563" w:rsidP="00302563">
            <w:pPr>
              <w:pStyle w:val="NoSpacing"/>
              <w:tabs>
                <w:tab w:val="left" w:pos="900"/>
              </w:tabs>
              <w:ind w:left="360"/>
              <w:jc w:val="both"/>
              <w:rPr>
                <w:rFonts w:cstheme="majorBidi"/>
              </w:rPr>
            </w:pPr>
          </w:p>
          <w:p w14:paraId="7F1355A5" w14:textId="6DBA7B06" w:rsidR="00302563" w:rsidRPr="00053012" w:rsidRDefault="00302563" w:rsidP="00302563">
            <w:pPr>
              <w:pStyle w:val="NoSpacing"/>
              <w:numPr>
                <w:ilvl w:val="0"/>
                <w:numId w:val="36"/>
              </w:numPr>
              <w:tabs>
                <w:tab w:val="left" w:pos="900"/>
              </w:tabs>
              <w:ind w:left="360" w:firstLine="0"/>
              <w:jc w:val="both"/>
              <w:rPr>
                <w:rFonts w:cstheme="majorBidi"/>
              </w:rPr>
            </w:pPr>
            <w:r w:rsidRPr="00053012">
              <w:rPr>
                <w:b/>
              </w:rPr>
              <w:t>Syrian children face substantial challenges, many of which are the same as those faced by disadvantaged Jordanian children</w:t>
            </w:r>
            <w:r w:rsidRPr="00053012">
              <w:t xml:space="preserve">. Not only do </w:t>
            </w:r>
            <w:r>
              <w:t>Syrian children</w:t>
            </w:r>
            <w:r w:rsidRPr="00053012">
              <w:t xml:space="preserve"> face a limited supply of places in ECE and </w:t>
            </w:r>
            <w:r>
              <w:t>a system that fails to efficiently and effectively graduate students from the end of secondary school (as do their Jordanian counterparts)</w:t>
            </w:r>
            <w:r w:rsidRPr="00053012">
              <w:t>, but they carry the consequences of family disruption, the psychological and emotional consequences of forced displacement, and the challenges of integration in the host communities. Given this, it is important that any intervention that touches Syrian refuge</w:t>
            </w:r>
            <w:r>
              <w:t>e</w:t>
            </w:r>
            <w:r w:rsidRPr="00053012">
              <w:t xml:space="preserve"> children is accompanied by a strong component that fosters prosocial behavior, promotes respect</w:t>
            </w:r>
            <w:r>
              <w:t xml:space="preserve"> and</w:t>
            </w:r>
            <w:r w:rsidRPr="00053012">
              <w:t xml:space="preserve"> peaceful cohabitation, and reduces violence and bullying </w:t>
            </w:r>
            <w:r w:rsidRPr="00053012">
              <w:lastRenderedPageBreak/>
              <w:t>in schools</w:t>
            </w:r>
            <w:r w:rsidR="004B5DCF">
              <w:t>, which has been documented particularly in boys schools</w:t>
            </w:r>
            <w:r w:rsidRPr="00053012">
              <w:t>. These interventions would benefit both Syrian refugees and Jordanian students</w:t>
            </w:r>
            <w:r>
              <w:t>, particularly those</w:t>
            </w:r>
            <w:r w:rsidRPr="00053012">
              <w:t xml:space="preserve"> from disadvantaged backgrounds.</w:t>
            </w:r>
          </w:p>
          <w:p w14:paraId="23C984D1" w14:textId="77777777" w:rsidR="00302563" w:rsidRPr="00053012" w:rsidRDefault="00302563" w:rsidP="00302563">
            <w:pPr>
              <w:pStyle w:val="NoSpacing"/>
              <w:tabs>
                <w:tab w:val="left" w:pos="900"/>
              </w:tabs>
              <w:jc w:val="both"/>
              <w:rPr>
                <w:rFonts w:cstheme="majorBidi"/>
              </w:rPr>
            </w:pPr>
          </w:p>
          <w:p w14:paraId="04F912BB" w14:textId="77777777" w:rsidR="00302563" w:rsidRPr="00053012" w:rsidRDefault="00302563" w:rsidP="00302563">
            <w:pPr>
              <w:pStyle w:val="NoSpacing"/>
              <w:numPr>
                <w:ilvl w:val="0"/>
                <w:numId w:val="36"/>
              </w:numPr>
              <w:tabs>
                <w:tab w:val="left" w:pos="900"/>
              </w:tabs>
              <w:ind w:left="360" w:firstLine="0"/>
              <w:jc w:val="both"/>
              <w:rPr>
                <w:rFonts w:cstheme="majorBidi"/>
                <w:color w:val="000000"/>
              </w:rPr>
            </w:pPr>
            <w:r w:rsidRPr="00053012">
              <w:rPr>
                <w:rFonts w:cstheme="majorBidi"/>
                <w:b/>
                <w:bCs/>
                <w:color w:val="000000"/>
              </w:rPr>
              <w:t xml:space="preserve">The expansion of </w:t>
            </w:r>
            <w:r>
              <w:rPr>
                <w:rFonts w:cstheme="majorBidi"/>
                <w:b/>
                <w:bCs/>
                <w:color w:val="000000"/>
              </w:rPr>
              <w:t xml:space="preserve">education </w:t>
            </w:r>
            <w:r w:rsidRPr="00053012">
              <w:rPr>
                <w:rFonts w:cstheme="majorBidi"/>
                <w:b/>
                <w:bCs/>
                <w:color w:val="000000"/>
              </w:rPr>
              <w:t>access to Syrian refugees has exacerbated challenges in maintaining and improving the quality of education.</w:t>
            </w:r>
            <w:r w:rsidRPr="00053012">
              <w:rPr>
                <w:rFonts w:cstheme="majorBidi"/>
                <w:color w:val="000000"/>
              </w:rPr>
              <w:t xml:space="preserve"> While the </w:t>
            </w:r>
            <w:r>
              <w:rPr>
                <w:rFonts w:cstheme="majorBidi"/>
                <w:color w:val="000000"/>
              </w:rPr>
              <w:t>immediate focus of</w:t>
            </w:r>
            <w:r w:rsidRPr="00053012">
              <w:rPr>
                <w:rFonts w:cstheme="majorBidi"/>
                <w:color w:val="000000"/>
              </w:rPr>
              <w:t xml:space="preserve"> the MOE </w:t>
            </w:r>
            <w:r>
              <w:rPr>
                <w:rFonts w:cstheme="majorBidi"/>
                <w:color w:val="000000"/>
              </w:rPr>
              <w:t>has been on</w:t>
            </w:r>
            <w:r w:rsidRPr="00053012">
              <w:rPr>
                <w:rFonts w:cstheme="majorBidi"/>
                <w:color w:val="000000"/>
              </w:rPr>
              <w:t xml:space="preserve"> its ability to provide additional classrooms or school buildings, including furniture and textbooks, the most concerning impact of the crisis </w:t>
            </w:r>
            <w:r>
              <w:rPr>
                <w:rFonts w:cstheme="majorBidi"/>
                <w:color w:val="000000"/>
              </w:rPr>
              <w:t>is</w:t>
            </w:r>
            <w:r w:rsidRPr="00053012">
              <w:rPr>
                <w:rFonts w:cstheme="majorBidi"/>
                <w:color w:val="000000"/>
              </w:rPr>
              <w:t xml:space="preserve"> the protracted deterioration of the quality of education that jeopardiz</w:t>
            </w:r>
            <w:r>
              <w:rPr>
                <w:rFonts w:cstheme="majorBidi"/>
                <w:color w:val="000000"/>
              </w:rPr>
              <w:t>es</w:t>
            </w:r>
            <w:r w:rsidRPr="00053012">
              <w:rPr>
                <w:rFonts w:cstheme="majorBidi"/>
                <w:color w:val="000000"/>
              </w:rPr>
              <w:t xml:space="preserve"> the delivery of services. The introduction of double shifts in schools is restraining instructional time </w:t>
            </w:r>
            <w:r>
              <w:rPr>
                <w:rFonts w:cstheme="majorBidi"/>
                <w:color w:val="000000"/>
              </w:rPr>
              <w:t>for</w:t>
            </w:r>
            <w:r w:rsidRPr="00053012">
              <w:rPr>
                <w:rFonts w:cstheme="majorBidi"/>
                <w:color w:val="000000"/>
              </w:rPr>
              <w:t xml:space="preserve"> students in both shifts. Additionally, </w:t>
            </w:r>
            <w:r>
              <w:rPr>
                <w:rFonts w:cstheme="majorBidi"/>
                <w:color w:val="000000"/>
              </w:rPr>
              <w:t>newly</w:t>
            </w:r>
            <w:r w:rsidRPr="00053012">
              <w:rPr>
                <w:rFonts w:cstheme="majorBidi"/>
                <w:color w:val="000000"/>
              </w:rPr>
              <w:t xml:space="preserve"> recruited teachers are insufficiently trained, and are expected to manage large class sizes, making the school environment less conducive for learning.</w:t>
            </w:r>
          </w:p>
          <w:p w14:paraId="62504A60" w14:textId="77777777" w:rsidR="00302563" w:rsidRPr="00053012" w:rsidRDefault="00302563" w:rsidP="00302563">
            <w:pPr>
              <w:pStyle w:val="NoSpacing"/>
              <w:ind w:left="360"/>
              <w:jc w:val="both"/>
              <w:rPr>
                <w:rFonts w:cstheme="majorBidi"/>
              </w:rPr>
            </w:pPr>
          </w:p>
          <w:p w14:paraId="25D56C27" w14:textId="77777777" w:rsidR="005B1A39" w:rsidRDefault="00302563" w:rsidP="00302563">
            <w:pPr>
              <w:pStyle w:val="NoSpacing"/>
              <w:numPr>
                <w:ilvl w:val="0"/>
                <w:numId w:val="36"/>
              </w:numPr>
              <w:tabs>
                <w:tab w:val="left" w:pos="900"/>
              </w:tabs>
              <w:ind w:left="360" w:firstLine="0"/>
              <w:jc w:val="both"/>
              <w:rPr>
                <w:rFonts w:cstheme="majorBidi"/>
              </w:rPr>
            </w:pPr>
            <w:r w:rsidRPr="004B5DCF">
              <w:rPr>
                <w:rFonts w:cstheme="majorBidi"/>
                <w:b/>
                <w:bCs/>
              </w:rPr>
              <w:t>Jordan</w:t>
            </w:r>
            <w:r w:rsidRPr="004B5DCF">
              <w:rPr>
                <w:rFonts w:cstheme="majorBidi"/>
                <w:b/>
              </w:rPr>
              <w:t xml:space="preserve"> needs to improve learning outcomes and make its education system more resilient to shocks by deepening and implementing quality- and access-enhancing policies</w:t>
            </w:r>
            <w:r w:rsidRPr="004B5DCF">
              <w:rPr>
                <w:rFonts w:cstheme="majorBidi"/>
              </w:rPr>
              <w:t>. The main underlying challenges that significantly impact the performance of the education system, as outlined below, are low access to quality early childhood education (ECE) and its impact on school readiness, and a learning crisis attributable to the existing learning environment, teaching quality, and the student assessment and examination system. Any intervention that increases the quality of education would impact not only all Jordanian children in the system, but also all Syrian refugees.</w:t>
            </w:r>
          </w:p>
          <w:p w14:paraId="30897726" w14:textId="0D8C5731" w:rsidR="00302563" w:rsidRPr="004B5DCF" w:rsidRDefault="00302563" w:rsidP="005B1A39">
            <w:pPr>
              <w:pStyle w:val="NoSpacing"/>
              <w:tabs>
                <w:tab w:val="left" w:pos="900"/>
              </w:tabs>
              <w:jc w:val="both"/>
              <w:rPr>
                <w:rFonts w:cstheme="majorBidi"/>
              </w:rPr>
            </w:pPr>
            <w:r w:rsidRPr="004B5DCF">
              <w:rPr>
                <w:rFonts w:cstheme="majorBidi"/>
              </w:rPr>
              <w:t xml:space="preserve">  </w:t>
            </w:r>
          </w:p>
          <w:p w14:paraId="24ACB783" w14:textId="77777777" w:rsidR="00302563" w:rsidRPr="00053012" w:rsidRDefault="00302563" w:rsidP="00302563">
            <w:pPr>
              <w:pStyle w:val="NoSpacing"/>
              <w:numPr>
                <w:ilvl w:val="0"/>
                <w:numId w:val="36"/>
              </w:numPr>
              <w:tabs>
                <w:tab w:val="left" w:pos="900"/>
              </w:tabs>
              <w:ind w:left="360" w:firstLine="0"/>
              <w:jc w:val="both"/>
              <w:rPr>
                <w:rFonts w:cstheme="majorBidi"/>
              </w:rPr>
            </w:pPr>
            <w:r>
              <w:rPr>
                <w:rFonts w:cstheme="majorBidi"/>
                <w:b/>
                <w:bCs/>
              </w:rPr>
              <w:t>A key</w:t>
            </w:r>
            <w:r w:rsidRPr="00053012">
              <w:rPr>
                <w:rFonts w:cstheme="majorBidi"/>
                <w:b/>
                <w:bCs/>
              </w:rPr>
              <w:t xml:space="preserve"> challenge facing the</w:t>
            </w:r>
            <w:r>
              <w:rPr>
                <w:rFonts w:cstheme="majorBidi"/>
                <w:b/>
                <w:bCs/>
              </w:rPr>
              <w:t xml:space="preserve"> education</w:t>
            </w:r>
            <w:r w:rsidRPr="00053012">
              <w:rPr>
                <w:rFonts w:cstheme="majorBidi"/>
                <w:b/>
                <w:bCs/>
              </w:rPr>
              <w:t xml:space="preserve"> system is the low</w:t>
            </w:r>
            <w:r w:rsidRPr="00053012">
              <w:rPr>
                <w:rFonts w:cstheme="majorBidi"/>
                <w:b/>
              </w:rPr>
              <w:t xml:space="preserve"> access to quality ECE services that leads to poor school readiness, particularly for children from poorer and disadvantaged backgrounds, including Syrian refugee children</w:t>
            </w:r>
            <w:r w:rsidRPr="00053012">
              <w:rPr>
                <w:rFonts w:cstheme="majorBidi"/>
              </w:rPr>
              <w:t xml:space="preserve">. High-quality ECE yields numerous benefits for children that affect them well into adulthood, including </w:t>
            </w:r>
            <w:r>
              <w:rPr>
                <w:rFonts w:cstheme="majorBidi"/>
              </w:rPr>
              <w:t>improved</w:t>
            </w:r>
            <w:r w:rsidRPr="00053012">
              <w:rPr>
                <w:rFonts w:cstheme="majorBidi"/>
              </w:rPr>
              <w:t xml:space="preserve"> school performance, lower repetition rates, fewer dropouts, and better outcomes in the labor market.</w:t>
            </w:r>
            <w:r w:rsidRPr="00053012">
              <w:rPr>
                <w:rStyle w:val="FootnoteReference"/>
                <w:rFonts w:cstheme="majorBidi"/>
              </w:rPr>
              <w:footnoteReference w:id="10"/>
            </w:r>
            <w:r w:rsidRPr="00053012">
              <w:rPr>
                <w:rFonts w:cstheme="majorBidi"/>
              </w:rPr>
              <w:t xml:space="preserve"> Yet, enrollment in the first and second years of KG remains low at 13 and 59 percent, respectively, in sharp contrast to the universal enrollment rates achieved for primary and secondary. With KG enrol</w:t>
            </w:r>
            <w:r>
              <w:rPr>
                <w:rFonts w:cstheme="majorBidi"/>
              </w:rPr>
              <w:t>l</w:t>
            </w:r>
            <w:r w:rsidRPr="00053012">
              <w:rPr>
                <w:rFonts w:cstheme="majorBidi"/>
              </w:rPr>
              <w:t>ment strongly associated with family income</w:t>
            </w:r>
            <w:r>
              <w:rPr>
                <w:rFonts w:cstheme="majorBidi"/>
              </w:rPr>
              <w:t>,</w:t>
            </w:r>
            <w:r w:rsidRPr="00053012">
              <w:rPr>
                <w:rStyle w:val="FootnoteReference"/>
                <w:rFonts w:cstheme="majorBidi"/>
              </w:rPr>
              <w:footnoteReference w:id="11"/>
            </w:r>
            <w:r w:rsidRPr="00053012">
              <w:rPr>
                <w:rFonts w:cstheme="majorBidi"/>
              </w:rPr>
              <w:t xml:space="preserve"> it is estimated that most children from the two bottom income quintiles are deprived from the benefits of an early childhood education. Far from leveling the playing </w:t>
            </w:r>
            <w:r w:rsidRPr="00053012">
              <w:rPr>
                <w:rFonts w:cstheme="majorBidi"/>
              </w:rPr>
              <w:lastRenderedPageBreak/>
              <w:t>field for all children, this enrol</w:t>
            </w:r>
            <w:r>
              <w:rPr>
                <w:rFonts w:cstheme="majorBidi"/>
              </w:rPr>
              <w:t>l</w:t>
            </w:r>
            <w:r w:rsidRPr="00053012">
              <w:rPr>
                <w:rFonts w:cstheme="majorBidi"/>
              </w:rPr>
              <w:t>ment structure is likely to widen the school readiness gap across socioeconomic lines in the first years of primary school</w:t>
            </w:r>
            <w:r>
              <w:rPr>
                <w:rStyle w:val="FootnoteReference"/>
                <w:rFonts w:cstheme="majorBidi"/>
              </w:rPr>
              <w:footnoteReference w:id="12"/>
            </w:r>
            <w:r w:rsidRPr="00053012">
              <w:rPr>
                <w:rFonts w:cstheme="majorBidi"/>
              </w:rPr>
              <w:t xml:space="preserve">. Limited specialized in-service training opportunities and pedagogical support constraint KG teachers’ ability to structure learning around age-appropriate and play-based activities that stimulate child development and early noncognitive skills. This, coupled with a lack of an efficient quality assurance system for KGs that does not monitor progress nor incentivizes continuous quality improvements, is likely to be limiting ECE’s contribution to children’s school readiness in the country. The 2014 Early Development Instrument, for example, revealed that a </w:t>
            </w:r>
            <w:r>
              <w:rPr>
                <w:rFonts w:cstheme="majorBidi"/>
              </w:rPr>
              <w:t>quarter</w:t>
            </w:r>
            <w:r w:rsidRPr="00053012">
              <w:rPr>
                <w:rFonts w:cstheme="majorBidi"/>
              </w:rPr>
              <w:t xml:space="preserve"> of children enrolled in public KG2 in Jordan are “not ready to learn”, mainly due to inadequate levels of socioemotional development. As such, expanding access and ensuring quality in the provision of KG are likely to transform Jordanian and non-Jordanian student</w:t>
            </w:r>
            <w:r>
              <w:rPr>
                <w:rFonts w:cstheme="majorBidi"/>
              </w:rPr>
              <w:t>'</w:t>
            </w:r>
            <w:r w:rsidRPr="00053012">
              <w:rPr>
                <w:rFonts w:cstheme="majorBidi"/>
              </w:rPr>
              <w:t>s</w:t>
            </w:r>
            <w:r>
              <w:rPr>
                <w:rFonts w:cstheme="majorBidi"/>
              </w:rPr>
              <w:t>’</w:t>
            </w:r>
            <w:r w:rsidRPr="00053012">
              <w:rPr>
                <w:rFonts w:cstheme="majorBidi"/>
              </w:rPr>
              <w:t xml:space="preserve"> ability to learn and succeed in school.</w:t>
            </w:r>
          </w:p>
          <w:p w14:paraId="1108D3BE" w14:textId="77777777" w:rsidR="00302563" w:rsidRPr="00053012" w:rsidRDefault="00302563" w:rsidP="00302563">
            <w:pPr>
              <w:pStyle w:val="NoSpacing"/>
              <w:ind w:left="360"/>
              <w:jc w:val="both"/>
              <w:rPr>
                <w:rFonts w:cstheme="majorBidi"/>
              </w:rPr>
            </w:pPr>
          </w:p>
          <w:p w14:paraId="1AAFC783" w14:textId="18369036" w:rsidR="00302563" w:rsidRPr="00053012" w:rsidRDefault="00302563" w:rsidP="00302563">
            <w:pPr>
              <w:pStyle w:val="NoSpacing"/>
              <w:numPr>
                <w:ilvl w:val="0"/>
                <w:numId w:val="36"/>
              </w:numPr>
              <w:tabs>
                <w:tab w:val="left" w:pos="900"/>
              </w:tabs>
              <w:ind w:left="360" w:firstLine="0"/>
              <w:jc w:val="both"/>
              <w:rPr>
                <w:rFonts w:cstheme="majorBidi"/>
              </w:rPr>
            </w:pPr>
            <w:r w:rsidRPr="00053012">
              <w:rPr>
                <w:rFonts w:cstheme="majorBidi"/>
                <w:b/>
              </w:rPr>
              <w:t xml:space="preserve">Poor student learning outcomes at all levels are at a crisis level in Jordan. </w:t>
            </w:r>
            <w:r w:rsidRPr="00053012">
              <w:rPr>
                <w:rFonts w:cstheme="majorBidi"/>
              </w:rPr>
              <w:t>One in five students in grade 2 cannot read a single word from a reading passage, while nearly half are unable to answer a single subtraction task correctly, thus lacking the foundational literacy and numeracy skills that enable further cognitive skill development.</w:t>
            </w:r>
            <w:r w:rsidRPr="00053012">
              <w:rPr>
                <w:rStyle w:val="FootnoteReference"/>
                <w:rFonts w:cstheme="majorBidi"/>
              </w:rPr>
              <w:footnoteReference w:id="13"/>
            </w:r>
            <w:r w:rsidRPr="00053012">
              <w:rPr>
                <w:rFonts w:cstheme="majorBidi"/>
              </w:rPr>
              <w:t xml:space="preserve"> With a weak start, skill</w:t>
            </w:r>
            <w:r>
              <w:rPr>
                <w:rFonts w:cstheme="majorBidi"/>
              </w:rPr>
              <w:t>s</w:t>
            </w:r>
            <w:r w:rsidRPr="00053012">
              <w:rPr>
                <w:rFonts w:cstheme="majorBidi"/>
              </w:rPr>
              <w:t xml:space="preserve"> deficits compound such that by age 15, two</w:t>
            </w:r>
            <w:r>
              <w:rPr>
                <w:rFonts w:cstheme="majorBidi"/>
              </w:rPr>
              <w:t>-</w:t>
            </w:r>
            <w:r w:rsidRPr="00053012">
              <w:rPr>
                <w:rFonts w:cstheme="majorBidi"/>
              </w:rPr>
              <w:t xml:space="preserve">thirds of students do not meet the most basic level of proficiency in mathematics, and half are below basic proficiency in reading and science, as measured by the 2015 Program for International Student Assessment (PISA). </w:t>
            </w:r>
            <w:r w:rsidR="004B5DCF" w:rsidRPr="007F796C">
              <w:rPr>
                <w:rFonts w:cstheme="majorBidi"/>
              </w:rPr>
              <w:t>Furthermore, learning outcome data show a reverse gender gap with girls performing better than boys in reading, math, and science</w:t>
            </w:r>
            <w:r w:rsidR="004B5DCF">
              <w:rPr>
                <w:rFonts w:cstheme="majorBidi"/>
              </w:rPr>
              <w:t>.</w:t>
            </w:r>
            <w:r w:rsidR="004B5DCF" w:rsidRPr="007F796C">
              <w:rPr>
                <w:rFonts w:cstheme="majorBidi"/>
              </w:rPr>
              <w:t xml:space="preserve">  </w:t>
            </w:r>
            <w:r w:rsidRPr="00053012">
              <w:rPr>
                <w:rFonts w:cstheme="majorBidi"/>
              </w:rPr>
              <w:t xml:space="preserve">International comparisons place Jordan in the bottom 20 percent of PISA-participating countries and economies, substantially below average in mathematics, reading, and science; this is equivalent </w:t>
            </w:r>
            <w:r>
              <w:rPr>
                <w:rFonts w:cstheme="majorBidi"/>
              </w:rPr>
              <w:t>to</w:t>
            </w:r>
            <w:r w:rsidRPr="00053012">
              <w:rPr>
                <w:rFonts w:cstheme="majorBidi"/>
              </w:rPr>
              <w:t xml:space="preserve"> three years of schooling below the OECD average.</w:t>
            </w:r>
            <w:r w:rsidRPr="00053012">
              <w:rPr>
                <w:rStyle w:val="FootnoteReference"/>
                <w:rFonts w:cstheme="majorBidi"/>
              </w:rPr>
              <w:footnoteReference w:id="14"/>
            </w:r>
          </w:p>
          <w:p w14:paraId="6485BBDD" w14:textId="77777777" w:rsidR="00302563" w:rsidRPr="00053012" w:rsidRDefault="00302563" w:rsidP="00302563">
            <w:pPr>
              <w:pStyle w:val="NoSpacing"/>
              <w:tabs>
                <w:tab w:val="left" w:pos="900"/>
              </w:tabs>
              <w:ind w:left="360"/>
              <w:jc w:val="both"/>
              <w:rPr>
                <w:rFonts w:cstheme="majorBidi"/>
              </w:rPr>
            </w:pPr>
          </w:p>
          <w:p w14:paraId="7984EDDD" w14:textId="77777777" w:rsidR="00302563" w:rsidRPr="00053012" w:rsidRDefault="00302563" w:rsidP="00302563">
            <w:pPr>
              <w:pStyle w:val="NoSpacing"/>
              <w:numPr>
                <w:ilvl w:val="0"/>
                <w:numId w:val="36"/>
              </w:numPr>
              <w:tabs>
                <w:tab w:val="left" w:pos="900"/>
              </w:tabs>
              <w:ind w:left="360" w:firstLine="0"/>
              <w:jc w:val="both"/>
              <w:rPr>
                <w:rFonts w:ascii="Calibri" w:hAnsi="Calibri"/>
              </w:rPr>
            </w:pPr>
            <w:r w:rsidRPr="00053012">
              <w:rPr>
                <w:rFonts w:cstheme="majorBidi"/>
                <w:b/>
                <w:bCs/>
              </w:rPr>
              <w:t>A</w:t>
            </w:r>
            <w:r w:rsidRPr="00053012">
              <w:rPr>
                <w:b/>
                <w:bCs/>
              </w:rPr>
              <w:t xml:space="preserve"> key contributor </w:t>
            </w:r>
            <w:r>
              <w:rPr>
                <w:b/>
                <w:bCs/>
              </w:rPr>
              <w:t>to</w:t>
            </w:r>
            <w:r w:rsidRPr="00053012">
              <w:rPr>
                <w:b/>
                <w:bCs/>
              </w:rPr>
              <w:t xml:space="preserve"> the learning crisis is the misalignment of policies related to teacher selection, preparation, management, and pedagogical practices.</w:t>
            </w:r>
            <w:r w:rsidRPr="00053012">
              <w:t xml:space="preserve"> Teachers in Jordan are ill prepared for the challenges of classroom teaching. This is largely</w:t>
            </w:r>
            <w:r>
              <w:t xml:space="preserve"> because</w:t>
            </w:r>
            <w:r w:rsidRPr="00053012">
              <w:t xml:space="preserve"> they receive insufficient and highly theoretical preservice training, limited in-service training, and often suffer from weaknesses in subject specific knowledge and skills to advance </w:t>
            </w:r>
            <w:r w:rsidRPr="00053012">
              <w:lastRenderedPageBreak/>
              <w:t>the potential of children irrespective of their gender and socioeconomic background. The profession attracts poor</w:t>
            </w:r>
            <w:r>
              <w:t>-</w:t>
            </w:r>
            <w:r w:rsidRPr="00053012">
              <w:t>performing students (despite comparatively higher salaries and working conditions) and does not have sufficient professional development mechanisms to nurture novice entrants into the profession. Moreover, high</w:t>
            </w:r>
            <w:r>
              <w:t>-</w:t>
            </w:r>
            <w:r w:rsidRPr="00053012">
              <w:t>performing teachers are not recognized in the system,</w:t>
            </w:r>
            <w:r>
              <w:t xml:space="preserve"> and</w:t>
            </w:r>
            <w:r w:rsidRPr="00053012">
              <w:t xml:space="preserve"> incentives to motivate improved performance do not exist and are hard to assess given the absence of teacher professional standards. Teacher career paths are still dependent on seniority and offer </w:t>
            </w:r>
            <w:r>
              <w:t>few</w:t>
            </w:r>
            <w:r w:rsidRPr="00053012">
              <w:t xml:space="preserve"> avenues for teachers to explore</w:t>
            </w:r>
            <w:r>
              <w:t xml:space="preserve"> possible</w:t>
            </w:r>
            <w:r w:rsidRPr="00053012">
              <w:t xml:space="preserve"> promotion based on performance outcomes.   </w:t>
            </w:r>
          </w:p>
          <w:p w14:paraId="7BA63CA7" w14:textId="77777777" w:rsidR="00302563" w:rsidRPr="00053012" w:rsidRDefault="00302563" w:rsidP="00302563">
            <w:pPr>
              <w:pStyle w:val="NoSpacing"/>
              <w:tabs>
                <w:tab w:val="left" w:pos="900"/>
              </w:tabs>
              <w:ind w:left="360"/>
              <w:jc w:val="both"/>
              <w:rPr>
                <w:rFonts w:ascii="Calibri" w:hAnsi="Calibri"/>
              </w:rPr>
            </w:pPr>
          </w:p>
          <w:p w14:paraId="3371DF29" w14:textId="77777777" w:rsidR="00302563" w:rsidRPr="00053012" w:rsidRDefault="00302563" w:rsidP="00302563">
            <w:pPr>
              <w:pStyle w:val="NoSpacing"/>
              <w:numPr>
                <w:ilvl w:val="0"/>
                <w:numId w:val="36"/>
              </w:numPr>
              <w:tabs>
                <w:tab w:val="left" w:pos="900"/>
              </w:tabs>
              <w:ind w:left="360" w:firstLine="0"/>
              <w:jc w:val="both"/>
              <w:rPr>
                <w:rFonts w:ascii="Calibri" w:hAnsi="Calibri"/>
              </w:rPr>
            </w:pPr>
            <w:r w:rsidRPr="00053012">
              <w:rPr>
                <w:b/>
                <w:bCs/>
              </w:rPr>
              <w:t>The MOE has been working toward the development and implementation of a comprehensive and integrated National Teacher Policy and Strategic Framework (NTP</w:t>
            </w:r>
            <w:r>
              <w:rPr>
                <w:b/>
                <w:bCs/>
              </w:rPr>
              <w:t>S</w:t>
            </w:r>
            <w:r w:rsidRPr="00053012">
              <w:rPr>
                <w:b/>
                <w:bCs/>
              </w:rPr>
              <w:t>F).</w:t>
            </w:r>
            <w:r w:rsidRPr="00053012">
              <w:t xml:space="preserve"> The framework </w:t>
            </w:r>
            <w:r>
              <w:t>will</w:t>
            </w:r>
            <w:r w:rsidRPr="00053012">
              <w:t xml:space="preserve"> outline policies for teacher preparation, selection, utilization, development, performance evaluation</w:t>
            </w:r>
            <w:r>
              <w:t>,</w:t>
            </w:r>
            <w:r w:rsidRPr="00053012">
              <w:t xml:space="preserve"> and career path. Despite wide </w:t>
            </w:r>
            <w:r>
              <w:t>agreement with</w:t>
            </w:r>
            <w:r w:rsidRPr="00053012">
              <w:t xml:space="preserve"> the NTPFS, the MOE has only been able to implement a few of its initiatives over the last seven years, mostly due to the prioritization of other activities and budget constraints. This has hindered the ability of MOE to attract high-performing candidates to the teaching profession and to effectively manage teachers to improve teacher classroom practices. With renewed political commitment, along with the directives posed in the National Human Resource Development Strategy (NHRDS)(2016</w:t>
            </w:r>
            <w:r>
              <w:t>–</w:t>
            </w:r>
            <w:r w:rsidRPr="00053012">
              <w:t>2025), the MOE is working toward formalizing and implementing the NTP</w:t>
            </w:r>
            <w:r>
              <w:t>S</w:t>
            </w:r>
            <w:r w:rsidRPr="00053012">
              <w:t>F. The overall aim of the NTPSF 2016 is to tackle the low status, social prestige</w:t>
            </w:r>
            <w:r>
              <w:t>,</w:t>
            </w:r>
            <w:r w:rsidRPr="00053012">
              <w:t xml:space="preserve"> and quality of the professional performance of Jordanian teaching staff, and expand preservice. This will be achieved by integrating all significant policies related to the teaching profession into a consistent and coherent vision that is inclusive of (1) </w:t>
            </w:r>
            <w:r>
              <w:t xml:space="preserve">the </w:t>
            </w:r>
            <w:r w:rsidRPr="00053012">
              <w:t>National Teacher Professional Standar</w:t>
            </w:r>
            <w:r>
              <w:t>ds, including a code of conduct;</w:t>
            </w:r>
            <w:r w:rsidRPr="00053012">
              <w:t xml:space="preserve"> (2) </w:t>
            </w:r>
            <w:r>
              <w:t xml:space="preserve">the </w:t>
            </w:r>
            <w:r w:rsidRPr="00053012">
              <w:t>National Pro</w:t>
            </w:r>
            <w:r>
              <w:t>fessional Development Framework;</w:t>
            </w:r>
            <w:r w:rsidRPr="00053012">
              <w:t xml:space="preserve"> (3) </w:t>
            </w:r>
            <w:r>
              <w:t>a n</w:t>
            </w:r>
            <w:r w:rsidRPr="00053012">
              <w:t xml:space="preserve">ational </w:t>
            </w:r>
            <w:r>
              <w:t>t</w:t>
            </w:r>
            <w:r w:rsidRPr="00053012">
              <w:t xml:space="preserve">eacher </w:t>
            </w:r>
            <w:r>
              <w:t>e</w:t>
            </w:r>
            <w:r w:rsidRPr="00053012">
              <w:t xml:space="preserve">valuation and </w:t>
            </w:r>
            <w:r>
              <w:t>a</w:t>
            </w:r>
            <w:r w:rsidRPr="00053012">
              <w:t xml:space="preserve">ppraisal </w:t>
            </w:r>
            <w:r>
              <w:t>f</w:t>
            </w:r>
            <w:r w:rsidRPr="00053012">
              <w:t xml:space="preserve">ramework; and (4) </w:t>
            </w:r>
            <w:r>
              <w:t>a n</w:t>
            </w:r>
            <w:r w:rsidRPr="00053012">
              <w:t xml:space="preserve">ational </w:t>
            </w:r>
            <w:r>
              <w:t>t</w:t>
            </w:r>
            <w:r w:rsidRPr="00053012">
              <w:t xml:space="preserve">eacher </w:t>
            </w:r>
            <w:r>
              <w:t>c</w:t>
            </w:r>
            <w:r w:rsidRPr="00053012">
              <w:t xml:space="preserve">areer </w:t>
            </w:r>
            <w:r>
              <w:t>p</w:t>
            </w:r>
            <w:r w:rsidRPr="00053012">
              <w:t xml:space="preserve">ath and </w:t>
            </w:r>
            <w:r>
              <w:t>r</w:t>
            </w:r>
            <w:r w:rsidRPr="00053012">
              <w:t xml:space="preserve">anking </w:t>
            </w:r>
            <w:r>
              <w:t>f</w:t>
            </w:r>
            <w:r w:rsidRPr="00053012">
              <w:t xml:space="preserve">ramework.  </w:t>
            </w:r>
          </w:p>
          <w:p w14:paraId="328AF18D" w14:textId="77777777" w:rsidR="00302563" w:rsidRPr="00053012" w:rsidRDefault="00302563" w:rsidP="00302563">
            <w:pPr>
              <w:pStyle w:val="NoSpacing"/>
              <w:tabs>
                <w:tab w:val="left" w:pos="900"/>
              </w:tabs>
              <w:jc w:val="both"/>
              <w:rPr>
                <w:rFonts w:cstheme="majorBidi"/>
              </w:rPr>
            </w:pPr>
          </w:p>
          <w:p w14:paraId="176176E8" w14:textId="5B714EFD" w:rsidR="00302563" w:rsidRDefault="00302563" w:rsidP="00302563">
            <w:pPr>
              <w:pStyle w:val="NoSpacing"/>
              <w:numPr>
                <w:ilvl w:val="0"/>
                <w:numId w:val="36"/>
              </w:numPr>
              <w:tabs>
                <w:tab w:val="left" w:pos="900"/>
              </w:tabs>
              <w:ind w:left="360" w:firstLine="0"/>
              <w:jc w:val="both"/>
              <w:rPr>
                <w:rFonts w:cstheme="majorBidi"/>
              </w:rPr>
            </w:pPr>
            <w:r>
              <w:rPr>
                <w:rFonts w:cstheme="majorBidi"/>
                <w:b/>
              </w:rPr>
              <w:t>T</w:t>
            </w:r>
            <w:r w:rsidRPr="00053012">
              <w:rPr>
                <w:rFonts w:cstheme="majorBidi"/>
                <w:b/>
              </w:rPr>
              <w:t xml:space="preserve">he significant expansion in access to education, coupled with </w:t>
            </w:r>
            <w:r>
              <w:rPr>
                <w:rFonts w:cstheme="majorBidi"/>
                <w:b/>
              </w:rPr>
              <w:t xml:space="preserve">a </w:t>
            </w:r>
            <w:r w:rsidRPr="00053012">
              <w:rPr>
                <w:rFonts w:cstheme="majorBidi"/>
                <w:b/>
              </w:rPr>
              <w:t>weak maintenance system, has put serious strains on the education system</w:t>
            </w:r>
            <w:r>
              <w:rPr>
                <w:rFonts w:cstheme="majorBidi"/>
                <w:b/>
              </w:rPr>
              <w:t>’s</w:t>
            </w:r>
            <w:r w:rsidRPr="00053012">
              <w:rPr>
                <w:rFonts w:cstheme="majorBidi"/>
                <w:b/>
              </w:rPr>
              <w:t xml:space="preserve"> infrastructure.</w:t>
            </w:r>
            <w:r w:rsidRPr="00053012">
              <w:rPr>
                <w:rFonts w:cstheme="majorBidi"/>
              </w:rPr>
              <w:t xml:space="preserve"> Schools d</w:t>
            </w:r>
            <w:r w:rsidR="004B5DCF">
              <w:rPr>
                <w:rFonts w:cstheme="majorBidi"/>
              </w:rPr>
              <w:t xml:space="preserve">o not prepare maintenance plans, </w:t>
            </w:r>
            <w:r w:rsidRPr="00053012">
              <w:rPr>
                <w:rFonts w:cstheme="majorBidi"/>
              </w:rPr>
              <w:t>do not conduct preventive</w:t>
            </w:r>
            <w:r>
              <w:rPr>
                <w:rFonts w:cstheme="majorBidi"/>
              </w:rPr>
              <w:t xml:space="preserve"> maintenance</w:t>
            </w:r>
            <w:r w:rsidR="004B5DCF">
              <w:rPr>
                <w:rFonts w:cstheme="majorBidi"/>
              </w:rPr>
              <w:t xml:space="preserve"> and in many cases, there are significant differences between the way girls</w:t>
            </w:r>
            <w:r w:rsidR="00AC054A">
              <w:rPr>
                <w:rFonts w:cstheme="majorBidi"/>
              </w:rPr>
              <w:t>’</w:t>
            </w:r>
            <w:r w:rsidR="004B5DCF">
              <w:rPr>
                <w:rFonts w:cstheme="majorBidi"/>
              </w:rPr>
              <w:t xml:space="preserve"> and boys</w:t>
            </w:r>
            <w:r w:rsidR="00AC054A">
              <w:rPr>
                <w:rFonts w:cstheme="majorBidi"/>
              </w:rPr>
              <w:t>’</w:t>
            </w:r>
            <w:r w:rsidR="004B5DCF">
              <w:rPr>
                <w:rFonts w:cstheme="majorBidi"/>
              </w:rPr>
              <w:t xml:space="preserve"> schools are managed</w:t>
            </w:r>
            <w:r>
              <w:rPr>
                <w:rFonts w:cstheme="majorBidi"/>
              </w:rPr>
              <w:t xml:space="preserve">. Additionally, the ceiling for maintenance works conducted by the school is low and does not exceed 200 Jordanian Dinars (JOD) per transaction (approximately US$282). For maintenance works exceeding the ceiling, schools are required to request the works to be conducted by the regional offices (for works not exceeding 10,000 JOD) or the central office of MOE (for works exceeding JOD 10,000 and below JOD 250,000). The school-level ceiling has not increased with the Syrian refugee crisis, even for schools that are </w:t>
            </w:r>
            <w:r>
              <w:rPr>
                <w:rFonts w:cstheme="majorBidi"/>
              </w:rPr>
              <w:lastRenderedPageBreak/>
              <w:t xml:space="preserve">enrolling a larger number of students and for the approximately 200 schools that are operating double shifts. In contrast, the average number of maintenance requests from schools to MOE has increased by 8.8 percent in the 3-year period 2013–2015 compared to the period 2010–2012, which predates the Syrian refugee crisis. In parallel, total spending by MOE on maintenance has nearly doubled over this same period, reaching an increase of 92.5 percent. </w:t>
            </w:r>
          </w:p>
          <w:p w14:paraId="111B5D1A" w14:textId="77777777" w:rsidR="00302563" w:rsidRDefault="00302563" w:rsidP="00302563">
            <w:pPr>
              <w:pStyle w:val="NoSpacing"/>
              <w:tabs>
                <w:tab w:val="left" w:pos="900"/>
              </w:tabs>
              <w:ind w:left="360"/>
              <w:jc w:val="both"/>
              <w:rPr>
                <w:rFonts w:cstheme="majorBidi"/>
              </w:rPr>
            </w:pPr>
          </w:p>
          <w:p w14:paraId="61CF7879" w14:textId="77777777" w:rsidR="00302563" w:rsidRPr="00117FDC" w:rsidRDefault="00302563" w:rsidP="00302563">
            <w:pPr>
              <w:pStyle w:val="ListParagraph"/>
              <w:numPr>
                <w:ilvl w:val="0"/>
                <w:numId w:val="36"/>
              </w:numPr>
              <w:ind w:left="360"/>
              <w:jc w:val="both"/>
              <w:rPr>
                <w:rFonts w:asciiTheme="minorHAnsi" w:hAnsiTheme="minorHAnsi" w:cstheme="majorBidi"/>
                <w:sz w:val="22"/>
                <w:szCs w:val="22"/>
              </w:rPr>
            </w:pPr>
            <w:r w:rsidRPr="00117FDC">
              <w:rPr>
                <w:rFonts w:asciiTheme="minorHAnsi" w:hAnsiTheme="minorHAnsi" w:cstheme="majorBidi"/>
                <w:b/>
                <w:sz w:val="22"/>
                <w:szCs w:val="22"/>
              </w:rPr>
              <w:t>Competition for scarce resources between Jordanian and Syrian students is increasing social tensions and cases of school based violence.</w:t>
            </w:r>
            <w:r>
              <w:rPr>
                <w:rFonts w:asciiTheme="majorBidi" w:hAnsiTheme="majorBidi" w:cstheme="majorBidi"/>
              </w:rPr>
              <w:t xml:space="preserve"> </w:t>
            </w:r>
            <w:r w:rsidRPr="00117FDC">
              <w:rPr>
                <w:rFonts w:asciiTheme="minorHAnsi" w:hAnsiTheme="minorHAnsi" w:cstheme="majorBidi"/>
                <w:sz w:val="22"/>
                <w:szCs w:val="22"/>
              </w:rPr>
              <w:t xml:space="preserve">Tensions between Syrian and Jordanian students are visible and have been a matter of concern for teachers and school leaders who have limited capacity and support to manage violent and disruptive behaviors in a positive and constructive manner. It is estimated that 70 percent of Syrian students are bullied or verbally abused in schools (UNICEF 2016). While 78 percent of parents state their children are subject to physical violence from teachers (UNICEF 2016). </w:t>
            </w:r>
            <w:r>
              <w:rPr>
                <w:rFonts w:asciiTheme="minorHAnsi" w:hAnsiTheme="minorHAnsi" w:cstheme="majorBidi"/>
                <w:sz w:val="22"/>
                <w:szCs w:val="22"/>
              </w:rPr>
              <w:t>Syrian s</w:t>
            </w:r>
            <w:r w:rsidRPr="00117FDC">
              <w:rPr>
                <w:rFonts w:asciiTheme="minorHAnsi" w:hAnsiTheme="minorHAnsi" w:cstheme="majorBidi"/>
                <w:sz w:val="22"/>
                <w:szCs w:val="22"/>
              </w:rPr>
              <w:t xml:space="preserve">tudents are reported to leave school (1,600 students left due to bullying in 2016), or not enter at all, to preserve their safety and self-respect. </w:t>
            </w:r>
          </w:p>
          <w:p w14:paraId="6F4DA57A" w14:textId="77777777" w:rsidR="00302563" w:rsidRDefault="00302563" w:rsidP="00302563">
            <w:pPr>
              <w:pStyle w:val="NoSpacing"/>
              <w:tabs>
                <w:tab w:val="left" w:pos="900"/>
              </w:tabs>
              <w:ind w:left="360"/>
              <w:jc w:val="both"/>
              <w:rPr>
                <w:rFonts w:cstheme="majorBidi"/>
              </w:rPr>
            </w:pPr>
          </w:p>
          <w:p w14:paraId="10D22C43" w14:textId="77777777" w:rsidR="00302563" w:rsidRPr="005E44A7" w:rsidRDefault="00302563" w:rsidP="00302563">
            <w:pPr>
              <w:pStyle w:val="NoSpacing"/>
              <w:numPr>
                <w:ilvl w:val="0"/>
                <w:numId w:val="36"/>
              </w:numPr>
              <w:tabs>
                <w:tab w:val="left" w:pos="900"/>
              </w:tabs>
              <w:ind w:left="360" w:firstLine="0"/>
              <w:jc w:val="both"/>
              <w:rPr>
                <w:rFonts w:cstheme="majorBidi"/>
              </w:rPr>
            </w:pPr>
            <w:r w:rsidRPr="00117FDC">
              <w:rPr>
                <w:rFonts w:cstheme="majorBidi"/>
                <w:b/>
                <w:bCs/>
              </w:rPr>
              <w:t>Teachers and school leaders are poorly trained to handle violence and disruptive behaviors.</w:t>
            </w:r>
            <w:r w:rsidRPr="00117FDC">
              <w:rPr>
                <w:rFonts w:cstheme="majorBidi"/>
              </w:rPr>
              <w:t xml:space="preserve"> They have limited capacity to manage negative behaviors in a positive and constructive manner. Rather, teachers themselves are still prone to use aggressive means for managing classrooms and disciplining students. In the 2015-2016 school year, 18 percent of children report experiencing verbal violence in schools and 11 percent report experiencing corporal punishment</w:t>
            </w:r>
            <w:r>
              <w:rPr>
                <w:rFonts w:cstheme="majorBidi"/>
              </w:rPr>
              <w:t>.</w:t>
            </w:r>
            <w:r w:rsidRPr="00117FDC">
              <w:rPr>
                <w:rFonts w:cstheme="majorBidi"/>
              </w:rPr>
              <w:t xml:space="preserve"> </w:t>
            </w:r>
            <w:r>
              <w:rPr>
                <w:rFonts w:cstheme="majorBidi"/>
              </w:rPr>
              <w:t>Serious c</w:t>
            </w:r>
            <w:r w:rsidRPr="00B31D68">
              <w:rPr>
                <w:rFonts w:cstheme="majorBidi"/>
              </w:rPr>
              <w:t>oncerns</w:t>
            </w:r>
            <w:r>
              <w:rPr>
                <w:rFonts w:cstheme="majorBidi"/>
              </w:rPr>
              <w:t xml:space="preserve"> also exist</w:t>
            </w:r>
            <w:r w:rsidRPr="00B31D68">
              <w:rPr>
                <w:rFonts w:cstheme="majorBidi"/>
              </w:rPr>
              <w:t xml:space="preserve"> </w:t>
            </w:r>
            <w:r>
              <w:rPr>
                <w:rFonts w:cstheme="majorBidi"/>
              </w:rPr>
              <w:t>about</w:t>
            </w:r>
            <w:r w:rsidRPr="00B31D68">
              <w:rPr>
                <w:rFonts w:cstheme="majorBidi"/>
              </w:rPr>
              <w:t xml:space="preserve"> the increase </w:t>
            </w:r>
            <w:r>
              <w:rPr>
                <w:rFonts w:cstheme="majorBidi"/>
              </w:rPr>
              <w:t>in</w:t>
            </w:r>
            <w:r w:rsidRPr="00B31D68">
              <w:rPr>
                <w:rFonts w:cstheme="majorBidi"/>
              </w:rPr>
              <w:t xml:space="preserve"> student-to-student violence and disruptive behaviors (particularly in schools with Syrian refugees)</w:t>
            </w:r>
            <w:r>
              <w:rPr>
                <w:rFonts w:cstheme="majorBidi"/>
              </w:rPr>
              <w:t xml:space="preserve">, </w:t>
            </w:r>
            <w:r w:rsidRPr="005E44A7">
              <w:rPr>
                <w:rFonts w:cstheme="majorBidi"/>
              </w:rPr>
              <w:t>including vandalism, harassment, bullying and gender-based violence</w:t>
            </w:r>
            <w:r>
              <w:rPr>
                <w:rFonts w:cstheme="majorBidi"/>
              </w:rPr>
              <w:t xml:space="preserve">. </w:t>
            </w:r>
            <w:r w:rsidRPr="00B31D68">
              <w:rPr>
                <w:rFonts w:cstheme="majorBidi"/>
              </w:rPr>
              <w:t xml:space="preserve">The </w:t>
            </w:r>
            <w:r>
              <w:rPr>
                <w:rFonts w:cstheme="majorBidi"/>
              </w:rPr>
              <w:t>MOE</w:t>
            </w:r>
            <w:r w:rsidRPr="00B31D68">
              <w:rPr>
                <w:rFonts w:cstheme="majorBidi"/>
              </w:rPr>
              <w:t xml:space="preserve"> has </w:t>
            </w:r>
            <w:r>
              <w:rPr>
                <w:rFonts w:cstheme="majorBidi"/>
              </w:rPr>
              <w:t>made</w:t>
            </w:r>
            <w:r w:rsidRPr="00B31D68">
              <w:rPr>
                <w:rFonts w:cstheme="majorBidi"/>
              </w:rPr>
              <w:t xml:space="preserve"> concerted efforts</w:t>
            </w:r>
            <w:r>
              <w:rPr>
                <w:rFonts w:cstheme="majorBidi"/>
              </w:rPr>
              <w:t>, including the introduction of the school-based program Ma’an,</w:t>
            </w:r>
            <w:r w:rsidRPr="00B31D68">
              <w:rPr>
                <w:rFonts w:cstheme="majorBidi"/>
              </w:rPr>
              <w:t xml:space="preserve"> to promote nonviolent</w:t>
            </w:r>
            <w:r>
              <w:rPr>
                <w:rFonts w:cstheme="majorBidi"/>
              </w:rPr>
              <w:t xml:space="preserve"> and positive</w:t>
            </w:r>
            <w:r w:rsidRPr="00B31D68">
              <w:rPr>
                <w:rFonts w:cstheme="majorBidi"/>
              </w:rPr>
              <w:t xml:space="preserve"> student discipline. The</w:t>
            </w:r>
            <w:r>
              <w:rPr>
                <w:rFonts w:cstheme="majorBidi"/>
              </w:rPr>
              <w:t xml:space="preserve"> MOE has</w:t>
            </w:r>
            <w:r w:rsidRPr="00B31D68">
              <w:rPr>
                <w:rFonts w:cstheme="majorBidi"/>
              </w:rPr>
              <w:t xml:space="preserve"> also inst</w:t>
            </w:r>
            <w:r>
              <w:rPr>
                <w:rFonts w:cstheme="majorBidi"/>
              </w:rPr>
              <w:t>ig</w:t>
            </w:r>
            <w:r w:rsidRPr="00B31D68">
              <w:rPr>
                <w:rFonts w:cstheme="majorBidi"/>
              </w:rPr>
              <w:t>ated monthly violence surveys that act as deterrents for teachers from using violence and help keep</w:t>
            </w:r>
            <w:r>
              <w:rPr>
                <w:rFonts w:cstheme="majorBidi"/>
              </w:rPr>
              <w:t>ing</w:t>
            </w:r>
            <w:r w:rsidRPr="00B31D68">
              <w:rPr>
                <w:rFonts w:cstheme="majorBidi"/>
              </w:rPr>
              <w:t xml:space="preserve"> all actors accountable for their actions.</w:t>
            </w:r>
            <w:r w:rsidRPr="005E44A7">
              <w:rPr>
                <w:rFonts w:cstheme="majorBidi"/>
              </w:rPr>
              <w:t xml:space="preserve"> </w:t>
            </w:r>
            <w:r>
              <w:rPr>
                <w:rFonts w:cstheme="majorBidi"/>
              </w:rPr>
              <w:t xml:space="preserve">However, further efforts are needed to support cohesive safe school environments. </w:t>
            </w:r>
          </w:p>
          <w:p w14:paraId="69F8D264" w14:textId="77777777" w:rsidR="00302563" w:rsidRPr="005E44A7" w:rsidRDefault="00302563" w:rsidP="00302563">
            <w:pPr>
              <w:pStyle w:val="NoSpacing"/>
              <w:tabs>
                <w:tab w:val="left" w:pos="900"/>
              </w:tabs>
              <w:ind w:left="360"/>
              <w:jc w:val="both"/>
              <w:rPr>
                <w:rFonts w:cstheme="majorBidi"/>
              </w:rPr>
            </w:pPr>
          </w:p>
          <w:p w14:paraId="09AC2E2F" w14:textId="5A326896" w:rsidR="00302563" w:rsidRPr="00106560" w:rsidRDefault="00302563" w:rsidP="00302563">
            <w:pPr>
              <w:pStyle w:val="NoSpacing"/>
              <w:numPr>
                <w:ilvl w:val="0"/>
                <w:numId w:val="36"/>
              </w:numPr>
              <w:tabs>
                <w:tab w:val="left" w:pos="900"/>
              </w:tabs>
              <w:ind w:left="360" w:firstLine="0"/>
              <w:jc w:val="both"/>
              <w:rPr>
                <w:rFonts w:cstheme="majorBidi"/>
              </w:rPr>
            </w:pPr>
            <w:r w:rsidRPr="00106560">
              <w:rPr>
                <w:rFonts w:cstheme="majorBidi"/>
                <w:b/>
              </w:rPr>
              <w:t xml:space="preserve">Jordan faces an additional major challenge in relation to its student assessment system. </w:t>
            </w:r>
            <w:r w:rsidRPr="00106560">
              <w:rPr>
                <w:rFonts w:cstheme="majorBidi"/>
                <w:bCs/>
              </w:rPr>
              <w:t>Jordan administers several census and sample-based student assessments that appear to have weak feedback loops and therefore fail to inform the system</w:t>
            </w:r>
            <w:r>
              <w:rPr>
                <w:rFonts w:cstheme="majorBidi"/>
                <w:bCs/>
              </w:rPr>
              <w:t xml:space="preserve"> on it</w:t>
            </w:r>
            <w:r w:rsidRPr="00106560">
              <w:rPr>
                <w:rFonts w:cstheme="majorBidi"/>
                <w:bCs/>
              </w:rPr>
              <w:t>s performance early and effectively</w:t>
            </w:r>
            <w:r w:rsidRPr="00106560">
              <w:rPr>
                <w:rFonts w:cstheme="majorBidi"/>
              </w:rPr>
              <w:t xml:space="preserve">. </w:t>
            </w:r>
            <w:r w:rsidRPr="00106560">
              <w:t>There are three major national student assessments: (</w:t>
            </w:r>
            <w:r>
              <w:t>a</w:t>
            </w:r>
            <w:r w:rsidRPr="00106560">
              <w:t xml:space="preserve">) census-based national tests for </w:t>
            </w:r>
            <w:r>
              <w:t>g</w:t>
            </w:r>
            <w:r w:rsidRPr="00106560">
              <w:t>rade 4, 8, and 10 in four core subjects</w:t>
            </w:r>
            <w:r>
              <w:t xml:space="preserve"> (</w:t>
            </w:r>
            <w:r w:rsidRPr="00106560">
              <w:t>Ar</w:t>
            </w:r>
            <w:r>
              <w:t>abic, mathematics, science, and English);</w:t>
            </w:r>
            <w:r w:rsidRPr="00106560">
              <w:t xml:space="preserve"> (</w:t>
            </w:r>
            <w:r>
              <w:t>b</w:t>
            </w:r>
            <w:r w:rsidRPr="00106560">
              <w:t>) the sample-based National Assessment for Knowledge Economy (NA</w:t>
            </w:r>
            <w:r>
              <w:t>F</w:t>
            </w:r>
            <w:r w:rsidRPr="00106560">
              <w:t xml:space="preserve">KE) </w:t>
            </w:r>
            <w:r w:rsidRPr="00106560">
              <w:lastRenderedPageBreak/>
              <w:t xml:space="preserve">for </w:t>
            </w:r>
            <w:r>
              <w:t>g</w:t>
            </w:r>
            <w:r w:rsidRPr="00106560">
              <w:t xml:space="preserve">rades 5, 9, and 11 </w:t>
            </w:r>
            <w:r>
              <w:t>(</w:t>
            </w:r>
            <w:r w:rsidRPr="00106560">
              <w:t>in Ar</w:t>
            </w:r>
            <w:r>
              <w:t>abic, mathematics, and science</w:t>
            </w:r>
            <w:r w:rsidR="00720447">
              <w:t>)</w:t>
            </w:r>
            <w:r>
              <w:t>;</w:t>
            </w:r>
            <w:r w:rsidRPr="00106560">
              <w:t xml:space="preserve"> and (</w:t>
            </w:r>
            <w:r>
              <w:t>c</w:t>
            </w:r>
            <w:r w:rsidRPr="00106560">
              <w:t xml:space="preserve">) the </w:t>
            </w:r>
            <w:r w:rsidRPr="00106560">
              <w:rPr>
                <w:rFonts w:cstheme="majorBidi"/>
              </w:rPr>
              <w:t>general Secondary Certificate Examination (</w:t>
            </w:r>
            <w:r w:rsidRPr="00106560">
              <w:rPr>
                <w:rFonts w:cstheme="majorBidi"/>
                <w:i/>
                <w:iCs/>
              </w:rPr>
              <w:t>Tawjihi)</w:t>
            </w:r>
            <w:r w:rsidRPr="00106560">
              <w:t xml:space="preserve">, which serves the double function of secondary education graduation and competitive screening for university admission. </w:t>
            </w:r>
            <w:r>
              <w:t xml:space="preserve">The </w:t>
            </w:r>
            <w:r>
              <w:rPr>
                <w:i/>
              </w:rPr>
              <w:t>Tawjihi</w:t>
            </w:r>
            <w:r w:rsidRPr="00106560">
              <w:t xml:space="preserve"> is administered twice a year </w:t>
            </w:r>
            <w:r>
              <w:t>to</w:t>
            </w:r>
            <w:r w:rsidRPr="00106560">
              <w:t xml:space="preserve"> </w:t>
            </w:r>
            <w:r>
              <w:t>g</w:t>
            </w:r>
            <w:r w:rsidRPr="00106560">
              <w:t>rade 12 students, although any Jordanian having completed grade</w:t>
            </w:r>
            <w:r>
              <w:t xml:space="preserve"> 12</w:t>
            </w:r>
            <w:r w:rsidRPr="00106560">
              <w:t xml:space="preserve"> is entitled to sit the exam</w:t>
            </w:r>
            <w:r>
              <w:t>ination</w:t>
            </w:r>
            <w:r w:rsidRPr="00106560">
              <w:t>. In addition, Jordan has participat</w:t>
            </w:r>
            <w:r>
              <w:t>ed</w:t>
            </w:r>
            <w:r w:rsidRPr="00106560">
              <w:t xml:space="preserve"> in </w:t>
            </w:r>
            <w:r>
              <w:t>the Trends in International Mathematics and Science Study (</w:t>
            </w:r>
            <w:r w:rsidRPr="00106560">
              <w:t>TIMSS</w:t>
            </w:r>
            <w:r>
              <w:t>)</w:t>
            </w:r>
            <w:r w:rsidRPr="00106560">
              <w:t xml:space="preserve"> for </w:t>
            </w:r>
            <w:r>
              <w:t>g</w:t>
            </w:r>
            <w:r w:rsidRPr="00106560">
              <w:t xml:space="preserve">rade 8 in </w:t>
            </w:r>
            <w:r>
              <w:t>m</w:t>
            </w:r>
            <w:r w:rsidRPr="00106560">
              <w:t>ath</w:t>
            </w:r>
            <w:r>
              <w:t>ematics</w:t>
            </w:r>
            <w:r w:rsidRPr="00106560">
              <w:t xml:space="preserve"> and </w:t>
            </w:r>
            <w:r>
              <w:t>s</w:t>
            </w:r>
            <w:r w:rsidRPr="00106560">
              <w:t>cience since 1999</w:t>
            </w:r>
            <w:r>
              <w:t>,</w:t>
            </w:r>
            <w:r w:rsidRPr="00106560">
              <w:t xml:space="preserve"> and PISA for 15-year-olds in reading, math</w:t>
            </w:r>
            <w:r>
              <w:t>ematics,</w:t>
            </w:r>
            <w:r w:rsidRPr="00106560">
              <w:t xml:space="preserve"> and science since 2006</w:t>
            </w:r>
            <w:r w:rsidRPr="00106560">
              <w:rPr>
                <w:rStyle w:val="FootnoteReference"/>
              </w:rPr>
              <w:footnoteReference w:id="15"/>
            </w:r>
            <w:r w:rsidRPr="00106560">
              <w:t>. Jordan also recently started administering the Early Grade Reading and Math Assessments (EGRA and EGMA)</w:t>
            </w:r>
            <w:r w:rsidRPr="00106560">
              <w:rPr>
                <w:rStyle w:val="FootnoteReference"/>
              </w:rPr>
              <w:footnoteReference w:id="16"/>
            </w:r>
            <w:r w:rsidRPr="00106560">
              <w:t xml:space="preserve"> for </w:t>
            </w:r>
            <w:r>
              <w:t>g</w:t>
            </w:r>
            <w:r w:rsidRPr="00106560">
              <w:t xml:space="preserve">rades 2 and 3 students, although this assessment is run by external donors and has not been institutionalized.    </w:t>
            </w:r>
          </w:p>
          <w:p w14:paraId="2D746B1C" w14:textId="77777777" w:rsidR="00302563" w:rsidRPr="00106560" w:rsidRDefault="00302563" w:rsidP="00302563">
            <w:pPr>
              <w:pStyle w:val="NoSpacing"/>
              <w:tabs>
                <w:tab w:val="left" w:pos="900"/>
              </w:tabs>
              <w:ind w:left="360"/>
              <w:jc w:val="both"/>
              <w:rPr>
                <w:rFonts w:cstheme="majorBidi"/>
              </w:rPr>
            </w:pPr>
          </w:p>
          <w:p w14:paraId="663DE730" w14:textId="3ED91E95" w:rsidR="00302563" w:rsidRPr="00053012" w:rsidRDefault="00302563" w:rsidP="00302563">
            <w:pPr>
              <w:pStyle w:val="NoSpacing"/>
              <w:numPr>
                <w:ilvl w:val="0"/>
                <w:numId w:val="36"/>
              </w:numPr>
              <w:tabs>
                <w:tab w:val="left" w:pos="900"/>
              </w:tabs>
              <w:ind w:left="360" w:firstLine="0"/>
              <w:jc w:val="both"/>
              <w:rPr>
                <w:rFonts w:cstheme="majorBidi"/>
              </w:rPr>
            </w:pPr>
            <w:r w:rsidRPr="00106560">
              <w:rPr>
                <w:rFonts w:cstheme="majorBidi"/>
                <w:b/>
              </w:rPr>
              <w:t>The general Secondary Certificate Examination (</w:t>
            </w:r>
            <w:r w:rsidRPr="00106560">
              <w:rPr>
                <w:rFonts w:cstheme="majorBidi"/>
                <w:b/>
                <w:i/>
                <w:iCs/>
              </w:rPr>
              <w:t>Tawjihi</w:t>
            </w:r>
            <w:r w:rsidRPr="00106560">
              <w:rPr>
                <w:rFonts w:cstheme="majorBidi"/>
                <w:b/>
              </w:rPr>
              <w:t xml:space="preserve">) is the single most influential and decisive </w:t>
            </w:r>
            <w:r>
              <w:rPr>
                <w:rFonts w:cstheme="majorBidi"/>
                <w:b/>
              </w:rPr>
              <w:t>high-stakes exam in</w:t>
            </w:r>
            <w:r w:rsidRPr="00106560">
              <w:rPr>
                <w:rFonts w:cstheme="majorBidi"/>
                <w:b/>
              </w:rPr>
              <w:t xml:space="preserve"> Jordan’s education system.</w:t>
            </w:r>
            <w:r w:rsidRPr="00106560">
              <w:rPr>
                <w:rFonts w:cstheme="majorBidi"/>
              </w:rPr>
              <w:t xml:space="preserve"> This examination has been used for many decades with the </w:t>
            </w:r>
            <w:r>
              <w:rPr>
                <w:rFonts w:cstheme="majorBidi"/>
              </w:rPr>
              <w:t>dual</w:t>
            </w:r>
            <w:r w:rsidRPr="00106560">
              <w:rPr>
                <w:rFonts w:cstheme="majorBidi"/>
              </w:rPr>
              <w:t xml:space="preserve"> purpose of </w:t>
            </w:r>
            <w:r>
              <w:rPr>
                <w:rFonts w:cstheme="majorBidi"/>
              </w:rPr>
              <w:t xml:space="preserve">a gateway to high </w:t>
            </w:r>
            <w:r w:rsidRPr="00106560">
              <w:rPr>
                <w:rFonts w:cstheme="majorBidi"/>
              </w:rPr>
              <w:t>school (upon achieving a pass</w:t>
            </w:r>
            <w:r>
              <w:rPr>
                <w:rFonts w:cstheme="majorBidi"/>
              </w:rPr>
              <w:t>ing score</w:t>
            </w:r>
            <w:r w:rsidRPr="00106560">
              <w:rPr>
                <w:rFonts w:cstheme="majorBidi"/>
              </w:rPr>
              <w:t xml:space="preserve">), and </w:t>
            </w:r>
            <w:r>
              <w:rPr>
                <w:rFonts w:cstheme="majorBidi"/>
              </w:rPr>
              <w:t>to determine the</w:t>
            </w:r>
            <w:r w:rsidRPr="00106560">
              <w:rPr>
                <w:rFonts w:cstheme="majorBidi"/>
              </w:rPr>
              <w:t xml:space="preserve"> admissions </w:t>
            </w:r>
            <w:r>
              <w:rPr>
                <w:rFonts w:cstheme="majorBidi"/>
              </w:rPr>
              <w:t xml:space="preserve">track </w:t>
            </w:r>
            <w:r w:rsidRPr="00106560">
              <w:rPr>
                <w:rFonts w:cstheme="majorBidi"/>
              </w:rPr>
              <w:t>to higher education</w:t>
            </w:r>
            <w:r>
              <w:rPr>
                <w:rFonts w:cstheme="majorBidi"/>
              </w:rPr>
              <w:t xml:space="preserve">. Results from </w:t>
            </w:r>
            <w:r w:rsidR="00295C0C">
              <w:rPr>
                <w:rFonts w:cstheme="majorBidi"/>
              </w:rPr>
              <w:t xml:space="preserve">the </w:t>
            </w:r>
            <w:r>
              <w:rPr>
                <w:rFonts w:cstheme="majorBidi"/>
              </w:rPr>
              <w:t xml:space="preserve">exam split students into either </w:t>
            </w:r>
            <w:r w:rsidRPr="00106560">
              <w:rPr>
                <w:rFonts w:cstheme="majorBidi"/>
              </w:rPr>
              <w:t>technical education and vocational training (TVET) tertiary colleges or universities (with extremely demanding cut-off scores to access the most sought-after faculties and programs</w:t>
            </w:r>
            <w:r>
              <w:rPr>
                <w:rFonts w:cstheme="majorBidi"/>
              </w:rPr>
              <w:t>)</w:t>
            </w:r>
            <w:r w:rsidRPr="00106560">
              <w:rPr>
                <w:rFonts w:cstheme="majorBidi"/>
              </w:rPr>
              <w:t>. Since</w:t>
            </w:r>
            <w:r>
              <w:rPr>
                <w:rFonts w:cstheme="majorBidi"/>
              </w:rPr>
              <w:t xml:space="preserve"> approximately</w:t>
            </w:r>
            <w:r w:rsidRPr="00106560">
              <w:rPr>
                <w:rFonts w:cstheme="majorBidi"/>
              </w:rPr>
              <w:t xml:space="preserve"> half the students who sit for the </w:t>
            </w:r>
            <w:r w:rsidRPr="00106560">
              <w:rPr>
                <w:rFonts w:cstheme="majorBidi"/>
                <w:i/>
                <w:iCs/>
              </w:rPr>
              <w:t>Tawjihi</w:t>
            </w:r>
            <w:r w:rsidRPr="00106560">
              <w:rPr>
                <w:rFonts w:cstheme="majorBidi"/>
              </w:rPr>
              <w:t xml:space="preserve"> do not obtain a pass</w:t>
            </w:r>
            <w:r>
              <w:rPr>
                <w:rFonts w:cstheme="majorBidi"/>
              </w:rPr>
              <w:t>ing score</w:t>
            </w:r>
            <w:r w:rsidRPr="00106560">
              <w:rPr>
                <w:rFonts w:cstheme="majorBidi"/>
              </w:rPr>
              <w:t xml:space="preserve"> and a further 20</w:t>
            </w:r>
            <w:r>
              <w:rPr>
                <w:rFonts w:cstheme="majorBidi"/>
              </w:rPr>
              <w:t>–</w:t>
            </w:r>
            <w:r w:rsidRPr="00106560">
              <w:rPr>
                <w:rFonts w:cstheme="majorBidi"/>
              </w:rPr>
              <w:t>25 percent simply do not show up for the exam</w:t>
            </w:r>
            <w:r>
              <w:rPr>
                <w:rFonts w:cstheme="majorBidi"/>
              </w:rPr>
              <w:t>ination</w:t>
            </w:r>
            <w:r w:rsidRPr="00106560">
              <w:rPr>
                <w:rFonts w:cstheme="majorBidi"/>
              </w:rPr>
              <w:t xml:space="preserve">, the issue of graduation and certification </w:t>
            </w:r>
            <w:r>
              <w:rPr>
                <w:rFonts w:cstheme="majorBidi"/>
              </w:rPr>
              <w:t xml:space="preserve">for secondary school </w:t>
            </w:r>
            <w:r w:rsidRPr="00106560">
              <w:rPr>
                <w:rFonts w:cstheme="majorBidi"/>
              </w:rPr>
              <w:t>remains un</w:t>
            </w:r>
            <w:r>
              <w:rPr>
                <w:rFonts w:cstheme="majorBidi"/>
              </w:rPr>
              <w:t>re</w:t>
            </w:r>
            <w:r w:rsidRPr="00106560">
              <w:rPr>
                <w:rFonts w:cstheme="majorBidi"/>
              </w:rPr>
              <w:t>solved for most students</w:t>
            </w:r>
            <w:r>
              <w:rPr>
                <w:rFonts w:cstheme="majorBidi"/>
              </w:rPr>
              <w:t>. This</w:t>
            </w:r>
            <w:r w:rsidRPr="00106560">
              <w:rPr>
                <w:rFonts w:cstheme="majorBidi"/>
              </w:rPr>
              <w:t xml:space="preserve"> leav</w:t>
            </w:r>
            <w:r>
              <w:rPr>
                <w:rFonts w:cstheme="majorBidi"/>
              </w:rPr>
              <w:t>es</w:t>
            </w:r>
            <w:r w:rsidRPr="00106560">
              <w:rPr>
                <w:rFonts w:cstheme="majorBidi"/>
              </w:rPr>
              <w:t xml:space="preserve"> them empty-handed in terms of qualifications and with just a “</w:t>
            </w:r>
            <w:r w:rsidRPr="00106560">
              <w:rPr>
                <w:rFonts w:cstheme="majorBidi"/>
                <w:i/>
                <w:iCs/>
              </w:rPr>
              <w:t>Tawjihi</w:t>
            </w:r>
            <w:r w:rsidRPr="00106560">
              <w:rPr>
                <w:rFonts w:cstheme="majorBidi"/>
              </w:rPr>
              <w:t xml:space="preserve"> failure certificate” (which, paradoxically, is required in some public-sector jobs of low qualification). In other words, the focus and prevalence of the </w:t>
            </w:r>
            <w:r w:rsidRPr="00053012">
              <w:rPr>
                <w:rFonts w:cstheme="majorBidi"/>
              </w:rPr>
              <w:t xml:space="preserve">competitive/selective function of the </w:t>
            </w:r>
            <w:r w:rsidRPr="00053012">
              <w:rPr>
                <w:rFonts w:cstheme="majorBidi"/>
                <w:i/>
                <w:iCs/>
              </w:rPr>
              <w:t xml:space="preserve">Tawjihi </w:t>
            </w:r>
            <w:r w:rsidRPr="00053012">
              <w:rPr>
                <w:rFonts w:cstheme="majorBidi"/>
              </w:rPr>
              <w:t>has a devastating exclusion effect on an overwhelming percentage of Jordanian youth. Moreover, despite the efforts of previous reforms in basic education around the integration of knowledge economy skills, the examination focuses on the memorization of facts and basic data</w:t>
            </w:r>
            <w:r w:rsidRPr="00053012">
              <w:rPr>
                <w:rFonts w:cstheme="majorBidi"/>
                <w:i/>
                <w:iCs/>
              </w:rPr>
              <w:t xml:space="preserve">, </w:t>
            </w:r>
            <w:r w:rsidRPr="00053012">
              <w:rPr>
                <w:rFonts w:cstheme="majorBidi"/>
                <w:iCs/>
              </w:rPr>
              <w:t xml:space="preserve">which means it </w:t>
            </w:r>
            <w:r w:rsidRPr="00053012">
              <w:rPr>
                <w:rFonts w:cstheme="majorBidi"/>
              </w:rPr>
              <w:t>fails to test the full range of skills required to succeed in tertiary education and in the 21st century labor market.</w:t>
            </w:r>
          </w:p>
          <w:p w14:paraId="6FDB0A5B" w14:textId="77777777" w:rsidR="00302563" w:rsidRPr="00053012" w:rsidRDefault="00302563" w:rsidP="00302563">
            <w:pPr>
              <w:pStyle w:val="NoSpacing"/>
              <w:tabs>
                <w:tab w:val="left" w:pos="900"/>
              </w:tabs>
              <w:ind w:left="360"/>
              <w:jc w:val="both"/>
              <w:rPr>
                <w:rFonts w:cstheme="majorBidi"/>
              </w:rPr>
            </w:pPr>
          </w:p>
          <w:p w14:paraId="412930CE" w14:textId="77777777" w:rsidR="00302563" w:rsidRPr="00053012" w:rsidRDefault="00302563" w:rsidP="00302563">
            <w:pPr>
              <w:pStyle w:val="NoSpacing"/>
              <w:numPr>
                <w:ilvl w:val="0"/>
                <w:numId w:val="36"/>
              </w:numPr>
              <w:tabs>
                <w:tab w:val="left" w:pos="900"/>
              </w:tabs>
              <w:ind w:left="360" w:firstLine="0"/>
              <w:jc w:val="both"/>
              <w:rPr>
                <w:rFonts w:cstheme="majorBidi"/>
              </w:rPr>
            </w:pPr>
            <w:r w:rsidRPr="00053012">
              <w:rPr>
                <w:rFonts w:cstheme="majorBidi"/>
              </w:rPr>
              <w:t xml:space="preserve"> </w:t>
            </w:r>
            <w:r w:rsidRPr="00053012">
              <w:rPr>
                <w:rFonts w:cstheme="majorBidi"/>
                <w:b/>
              </w:rPr>
              <w:t xml:space="preserve">As it stands today, the </w:t>
            </w:r>
            <w:r w:rsidRPr="00053012">
              <w:rPr>
                <w:rFonts w:cstheme="majorBidi"/>
                <w:b/>
                <w:i/>
                <w:iCs/>
              </w:rPr>
              <w:t>Tawjihi</w:t>
            </w:r>
            <w:r w:rsidRPr="00053012">
              <w:rPr>
                <w:rFonts w:cstheme="majorBidi"/>
                <w:b/>
              </w:rPr>
              <w:t xml:space="preserve"> seems to exacerbate inequality of opportunity: 81 percent of schools </w:t>
            </w:r>
            <w:r>
              <w:rPr>
                <w:rFonts w:cstheme="majorBidi"/>
                <w:b/>
              </w:rPr>
              <w:t>in which</w:t>
            </w:r>
            <w:r w:rsidRPr="00053012">
              <w:rPr>
                <w:rFonts w:cstheme="majorBidi"/>
                <w:b/>
              </w:rPr>
              <w:t xml:space="preserve"> no student passed </w:t>
            </w:r>
            <w:r w:rsidRPr="00053012">
              <w:rPr>
                <w:rFonts w:cstheme="majorBidi"/>
                <w:b/>
                <w:i/>
                <w:iCs/>
              </w:rPr>
              <w:t>Tawjihi</w:t>
            </w:r>
            <w:r w:rsidRPr="00053012">
              <w:rPr>
                <w:rFonts w:cstheme="majorBidi"/>
                <w:b/>
              </w:rPr>
              <w:t xml:space="preserve"> were in rural areas.</w:t>
            </w:r>
            <w:r w:rsidRPr="00053012">
              <w:rPr>
                <w:rFonts w:cstheme="majorBidi"/>
              </w:rPr>
              <w:t xml:space="preserve"> A fundamental reform of the </w:t>
            </w:r>
            <w:r w:rsidRPr="00053012">
              <w:rPr>
                <w:rFonts w:cstheme="majorBidi"/>
                <w:i/>
                <w:iCs/>
              </w:rPr>
              <w:t>Tawjihi</w:t>
            </w:r>
            <w:r w:rsidRPr="00053012">
              <w:rPr>
                <w:rFonts w:cstheme="majorBidi"/>
              </w:rPr>
              <w:t xml:space="preserve">, as part of a </w:t>
            </w:r>
            <w:r w:rsidRPr="00053012">
              <w:rPr>
                <w:rFonts w:cstheme="majorBidi"/>
              </w:rPr>
              <w:lastRenderedPageBreak/>
              <w:t xml:space="preserve">comprehensive and coherent redesign of all national student assessments, is an indispensable requirement for the new education reform to reach its full potential. Such reform of the </w:t>
            </w:r>
            <w:r w:rsidRPr="00053012">
              <w:rPr>
                <w:rFonts w:cstheme="majorBidi"/>
                <w:i/>
                <w:iCs/>
              </w:rPr>
              <w:t>Tawjihi</w:t>
            </w:r>
            <w:r w:rsidRPr="00053012">
              <w:rPr>
                <w:rFonts w:cstheme="majorBidi"/>
              </w:rPr>
              <w:t xml:space="preserve"> would need to be aligned with a revision of the cu</w:t>
            </w:r>
            <w:r>
              <w:rPr>
                <w:rFonts w:cstheme="majorBidi"/>
              </w:rPr>
              <w:t>rriculum of secondary education and</w:t>
            </w:r>
            <w:r w:rsidRPr="00053012">
              <w:rPr>
                <w:rFonts w:cstheme="majorBidi"/>
              </w:rPr>
              <w:t xml:space="preserve"> its implementation</w:t>
            </w:r>
            <w:r>
              <w:rPr>
                <w:rFonts w:cstheme="majorBidi"/>
              </w:rPr>
              <w:t>.</w:t>
            </w:r>
            <w:r w:rsidRPr="00053012">
              <w:rPr>
                <w:rFonts w:cstheme="majorBidi"/>
              </w:rPr>
              <w:t xml:space="preserve"> </w:t>
            </w:r>
            <w:r>
              <w:rPr>
                <w:rFonts w:cstheme="majorBidi"/>
              </w:rPr>
              <w:t xml:space="preserve">The </w:t>
            </w:r>
            <w:r w:rsidRPr="00053012">
              <w:rPr>
                <w:rFonts w:cstheme="majorBidi"/>
              </w:rPr>
              <w:t>double purpose of certification and university admission, and the</w:t>
            </w:r>
            <w:r>
              <w:rPr>
                <w:rFonts w:cstheme="majorBidi"/>
              </w:rPr>
              <w:t xml:space="preserve"> selection</w:t>
            </w:r>
            <w:r w:rsidRPr="00053012">
              <w:rPr>
                <w:rFonts w:cstheme="majorBidi"/>
              </w:rPr>
              <w:t xml:space="preserve"> criteria </w:t>
            </w:r>
            <w:r>
              <w:rPr>
                <w:rFonts w:cstheme="majorBidi"/>
              </w:rPr>
              <w:t>of</w:t>
            </w:r>
            <w:r w:rsidRPr="00053012">
              <w:rPr>
                <w:rFonts w:cstheme="majorBidi"/>
              </w:rPr>
              <w:t xml:space="preserve"> tertiary education institutions </w:t>
            </w:r>
            <w:r>
              <w:rPr>
                <w:rFonts w:cstheme="majorBidi"/>
              </w:rPr>
              <w:t xml:space="preserve">must also be simultaneously reformed to better align schools towards learning, not passing exams. </w:t>
            </w:r>
            <w:r w:rsidRPr="00053012">
              <w:rPr>
                <w:rFonts w:cstheme="majorBidi"/>
              </w:rPr>
              <w:t xml:space="preserve">The GOJ has shown commitment by creating a High Commission for the reform of the </w:t>
            </w:r>
            <w:r w:rsidRPr="00053012">
              <w:rPr>
                <w:rFonts w:cstheme="majorBidi"/>
                <w:i/>
                <w:iCs/>
              </w:rPr>
              <w:t>Tawjihi</w:t>
            </w:r>
            <w:r w:rsidRPr="00053012">
              <w:rPr>
                <w:rFonts w:cstheme="majorBidi"/>
              </w:rPr>
              <w:t>, with specific changes already to become effective in the 2017</w:t>
            </w:r>
            <w:r>
              <w:rPr>
                <w:rFonts w:cstheme="majorBidi"/>
              </w:rPr>
              <w:t>/</w:t>
            </w:r>
            <w:r w:rsidRPr="00053012">
              <w:rPr>
                <w:rFonts w:cstheme="majorBidi"/>
              </w:rPr>
              <w:t xml:space="preserve">18 school year, and by deepening the dialogue with the </w:t>
            </w:r>
            <w:r>
              <w:rPr>
                <w:rFonts w:cstheme="majorBidi"/>
              </w:rPr>
              <w:t>MOHESR</w:t>
            </w:r>
            <w:r w:rsidRPr="00053012">
              <w:rPr>
                <w:rFonts w:cstheme="majorBidi"/>
              </w:rPr>
              <w:t xml:space="preserve">. </w:t>
            </w:r>
          </w:p>
          <w:p w14:paraId="64423077" w14:textId="77777777" w:rsidR="00302563" w:rsidRPr="00053012" w:rsidRDefault="00302563" w:rsidP="00302563">
            <w:pPr>
              <w:pStyle w:val="NoSpacing"/>
              <w:tabs>
                <w:tab w:val="left" w:pos="900"/>
              </w:tabs>
              <w:ind w:left="360"/>
              <w:jc w:val="both"/>
              <w:rPr>
                <w:rFonts w:cstheme="majorBidi"/>
                <w:b/>
                <w:bCs/>
              </w:rPr>
            </w:pPr>
          </w:p>
          <w:p w14:paraId="5A4A3911" w14:textId="77777777" w:rsidR="00302563" w:rsidRPr="00053012" w:rsidRDefault="00302563" w:rsidP="00302563">
            <w:pPr>
              <w:pStyle w:val="NoSpacing"/>
              <w:numPr>
                <w:ilvl w:val="0"/>
                <w:numId w:val="36"/>
              </w:numPr>
              <w:tabs>
                <w:tab w:val="left" w:pos="900"/>
              </w:tabs>
              <w:ind w:left="360" w:firstLine="0"/>
              <w:jc w:val="both"/>
              <w:rPr>
                <w:rFonts w:cstheme="majorBidi"/>
                <w:b/>
                <w:bCs/>
              </w:rPr>
            </w:pPr>
            <w:r w:rsidRPr="00053012">
              <w:rPr>
                <w:rFonts w:cstheme="majorBidi"/>
                <w:b/>
                <w:bCs/>
              </w:rPr>
              <w:t>The final challenge that hinders further improvements in access and quality for all children in the education system is the MOE’s ability to manage the system efficiently, including the system’s capacity to absorb growing populations of students.</w:t>
            </w:r>
            <w:r>
              <w:rPr>
                <w:rFonts w:cstheme="majorBidi"/>
                <w:b/>
                <w:bCs/>
              </w:rPr>
              <w:t xml:space="preserve"> </w:t>
            </w:r>
            <w:r w:rsidRPr="00776C82">
              <w:rPr>
                <w:rFonts w:cstheme="majorBidi"/>
              </w:rPr>
              <w:t>Since the</w:t>
            </w:r>
            <w:r>
              <w:rPr>
                <w:rFonts w:cstheme="majorBidi"/>
                <w:b/>
                <w:bCs/>
              </w:rPr>
              <w:t xml:space="preserve"> </w:t>
            </w:r>
            <w:r w:rsidRPr="00776C82">
              <w:rPr>
                <w:rFonts w:cstheme="majorBidi"/>
              </w:rPr>
              <w:t>sta</w:t>
            </w:r>
            <w:r>
              <w:rPr>
                <w:rFonts w:cstheme="majorBidi"/>
              </w:rPr>
              <w:t>rt of the Syrian refugee crisis, Syrian refugees have accounted for an increase of more than 10 percent in the public student population</w:t>
            </w:r>
            <w:r>
              <w:rPr>
                <w:rFonts w:cstheme="majorBidi"/>
                <w:b/>
                <w:bCs/>
              </w:rPr>
              <w:t>.</w:t>
            </w:r>
            <w:r w:rsidRPr="00053012">
              <w:rPr>
                <w:rFonts w:cstheme="majorBidi"/>
                <w:b/>
                <w:bCs/>
              </w:rPr>
              <w:t xml:space="preserve"> </w:t>
            </w:r>
            <w:r w:rsidRPr="00053012">
              <w:rPr>
                <w:rFonts w:cstheme="majorBidi"/>
                <w:bCs/>
              </w:rPr>
              <w:t>Additional financial resources are</w:t>
            </w:r>
            <w:r w:rsidRPr="00053012">
              <w:rPr>
                <w:rFonts w:cstheme="majorBidi"/>
                <w:b/>
                <w:bCs/>
              </w:rPr>
              <w:t xml:space="preserve"> </w:t>
            </w:r>
            <w:r w:rsidRPr="00053012">
              <w:rPr>
                <w:rFonts w:cstheme="majorBidi"/>
                <w:bCs/>
              </w:rPr>
              <w:t xml:space="preserve">essential to cater to a growing number of students, many of them coming from vulnerable backgrounds and refugee populations, while improving and preserving gains in learning and education quality. </w:t>
            </w:r>
            <w:r w:rsidRPr="00053012">
              <w:rPr>
                <w:rFonts w:cstheme="majorBidi"/>
              </w:rPr>
              <w:t>Despite the increase in financial and technical support by international partners, the current capacity does not align with the challenges on the ground.</w:t>
            </w:r>
          </w:p>
          <w:p w14:paraId="6C7C3A55" w14:textId="77777777" w:rsidR="00302563" w:rsidRPr="00053012" w:rsidRDefault="00302563" w:rsidP="00302563">
            <w:pPr>
              <w:pStyle w:val="NoSpacing"/>
              <w:tabs>
                <w:tab w:val="left" w:pos="900"/>
              </w:tabs>
              <w:jc w:val="both"/>
              <w:rPr>
                <w:rFonts w:cstheme="majorBidi"/>
                <w:b/>
                <w:bCs/>
              </w:rPr>
            </w:pPr>
          </w:p>
          <w:p w14:paraId="1C67901C" w14:textId="6E59F4FE" w:rsidR="00672F47" w:rsidRPr="008F4E27" w:rsidRDefault="00302563" w:rsidP="00302563">
            <w:pPr>
              <w:pStyle w:val="NoSpacing"/>
              <w:numPr>
                <w:ilvl w:val="0"/>
                <w:numId w:val="36"/>
              </w:numPr>
              <w:tabs>
                <w:tab w:val="left" w:pos="900"/>
              </w:tabs>
              <w:ind w:left="340"/>
              <w:jc w:val="both"/>
              <w:rPr>
                <w:rFonts w:cstheme="minorHAnsi"/>
                <w:b/>
                <w:bCs/>
              </w:rPr>
            </w:pPr>
            <w:r w:rsidRPr="00053012">
              <w:rPr>
                <w:rFonts w:cstheme="majorBidi"/>
                <w:b/>
              </w:rPr>
              <w:t>Moreover, investments in strengthening data systems (both technical and financial) need to continue to deepen the use of data for evidence-based decision making in the sector and further improve resource allocation.</w:t>
            </w:r>
            <w:r w:rsidRPr="00053012">
              <w:rPr>
                <w:rFonts w:cstheme="majorBidi"/>
                <w:b/>
                <w:bCs/>
              </w:rPr>
              <w:t xml:space="preserve"> </w:t>
            </w:r>
            <w:r w:rsidRPr="00053012">
              <w:rPr>
                <w:rFonts w:cstheme="majorBidi"/>
              </w:rPr>
              <w:t xml:space="preserve">MOE has successfully deployed an </w:t>
            </w:r>
            <w:r>
              <w:rPr>
                <w:rFonts w:cstheme="majorBidi"/>
              </w:rPr>
              <w:t>e</w:t>
            </w:r>
            <w:r w:rsidRPr="00053012">
              <w:rPr>
                <w:rFonts w:cstheme="majorBidi"/>
              </w:rPr>
              <w:t xml:space="preserve">ducation </w:t>
            </w:r>
            <w:r>
              <w:rPr>
                <w:rFonts w:cstheme="majorBidi"/>
              </w:rPr>
              <w:t>m</w:t>
            </w:r>
            <w:r w:rsidRPr="00053012">
              <w:rPr>
                <w:rFonts w:cstheme="majorBidi"/>
              </w:rPr>
              <w:t xml:space="preserve">anagement </w:t>
            </w:r>
            <w:r>
              <w:rPr>
                <w:rFonts w:cstheme="majorBidi"/>
              </w:rPr>
              <w:t>i</w:t>
            </w:r>
            <w:r w:rsidRPr="00053012">
              <w:rPr>
                <w:rFonts w:cstheme="majorBidi"/>
              </w:rPr>
              <w:t xml:space="preserve">nformation </w:t>
            </w:r>
            <w:r>
              <w:rPr>
                <w:rFonts w:cstheme="majorBidi"/>
              </w:rPr>
              <w:t>s</w:t>
            </w:r>
            <w:r w:rsidRPr="00053012">
              <w:rPr>
                <w:rFonts w:cstheme="majorBidi"/>
              </w:rPr>
              <w:t xml:space="preserve">ystem (EMIS), which is now hosting data </w:t>
            </w:r>
            <w:r>
              <w:rPr>
                <w:rFonts w:cstheme="majorBidi"/>
              </w:rPr>
              <w:t>on</w:t>
            </w:r>
            <w:r w:rsidRPr="00053012">
              <w:rPr>
                <w:rFonts w:cstheme="majorBidi"/>
              </w:rPr>
              <w:t xml:space="preserve"> all schools and students in the system. Additional investments in a </w:t>
            </w:r>
            <w:r>
              <w:rPr>
                <w:rFonts w:cstheme="majorBidi"/>
              </w:rPr>
              <w:t>g</w:t>
            </w:r>
            <w:r w:rsidRPr="00053012">
              <w:rPr>
                <w:rFonts w:cstheme="majorBidi"/>
              </w:rPr>
              <w:t xml:space="preserve">eographical </w:t>
            </w:r>
            <w:r>
              <w:rPr>
                <w:rFonts w:cstheme="majorBidi"/>
              </w:rPr>
              <w:t>i</w:t>
            </w:r>
            <w:r w:rsidRPr="00053012">
              <w:rPr>
                <w:rFonts w:cstheme="majorBidi"/>
              </w:rPr>
              <w:t xml:space="preserve">nformation </w:t>
            </w:r>
            <w:r>
              <w:rPr>
                <w:rFonts w:cstheme="majorBidi"/>
              </w:rPr>
              <w:t>s</w:t>
            </w:r>
            <w:r w:rsidRPr="00053012">
              <w:rPr>
                <w:rFonts w:cstheme="majorBidi"/>
              </w:rPr>
              <w:t xml:space="preserve">ystem (GIS) are ongoing and will allow MOE to better plan for expansion of access across all regions in the country Leveraging the data available through the EMIS for decision making in the sector is a key opportunity for MOE which will require additional technical assistance and capacity building to materialize. In addition, the collection, analysis, and use of student learning data </w:t>
            </w:r>
            <w:r w:rsidR="004B5DCF">
              <w:rPr>
                <w:rFonts w:cstheme="majorBidi"/>
              </w:rPr>
              <w:t xml:space="preserve">and disaggregated and gender-sensitive data </w:t>
            </w:r>
            <w:r w:rsidRPr="00053012">
              <w:rPr>
                <w:rFonts w:cstheme="majorBidi"/>
              </w:rPr>
              <w:t>is essential for monitoring, targeting pedagogical interventions, and improving teacher practices in the classroom</w:t>
            </w:r>
            <w:r w:rsidR="00672F47" w:rsidRPr="008F4E27">
              <w:rPr>
                <w:rFonts w:cstheme="minorHAnsi"/>
              </w:rPr>
              <w:t>.</w:t>
            </w:r>
          </w:p>
          <w:p w14:paraId="772491AC" w14:textId="77777777" w:rsidR="008E3772" w:rsidRPr="008F4E27" w:rsidRDefault="008E3772" w:rsidP="001321D1">
            <w:pPr>
              <w:pStyle w:val="NoSpacing"/>
              <w:ind w:left="340"/>
              <w:jc w:val="both"/>
              <w:rPr>
                <w:rFonts w:cstheme="minorHAnsi"/>
              </w:rPr>
            </w:pPr>
          </w:p>
          <w:p w14:paraId="50F55DBB" w14:textId="28E684AB" w:rsidR="008E3772" w:rsidRPr="008F4E27" w:rsidRDefault="008E3772" w:rsidP="001321D1">
            <w:pPr>
              <w:pStyle w:val="NoSpacing"/>
              <w:numPr>
                <w:ilvl w:val="0"/>
                <w:numId w:val="45"/>
              </w:numPr>
              <w:rPr>
                <w:rFonts w:cstheme="minorHAnsi"/>
                <w:b/>
              </w:rPr>
            </w:pPr>
            <w:r w:rsidRPr="008F4E27">
              <w:rPr>
                <w:rFonts w:cstheme="minorHAnsi"/>
                <w:b/>
              </w:rPr>
              <w:t>Program Scope</w:t>
            </w:r>
          </w:p>
          <w:p w14:paraId="2E7C6A71" w14:textId="77777777" w:rsidR="007101C9" w:rsidRPr="008F4E27" w:rsidRDefault="007101C9" w:rsidP="001321D1">
            <w:pPr>
              <w:ind w:left="340"/>
              <w:rPr>
                <w:rFonts w:asciiTheme="minorHAnsi" w:hAnsiTheme="minorHAnsi" w:cstheme="minorHAnsi"/>
                <w:b/>
                <w:sz w:val="22"/>
                <w:szCs w:val="22"/>
              </w:rPr>
            </w:pPr>
          </w:p>
          <w:p w14:paraId="084C6453" w14:textId="2A772128" w:rsidR="00A5611A" w:rsidRPr="001321D1" w:rsidRDefault="00302563" w:rsidP="001321D1">
            <w:pPr>
              <w:pStyle w:val="NoSpacing"/>
              <w:numPr>
                <w:ilvl w:val="0"/>
                <w:numId w:val="36"/>
              </w:numPr>
              <w:tabs>
                <w:tab w:val="left" w:pos="900"/>
              </w:tabs>
              <w:ind w:left="340"/>
              <w:jc w:val="both"/>
              <w:rPr>
                <w:rFonts w:cstheme="majorBidi"/>
              </w:rPr>
            </w:pPr>
            <w:r w:rsidRPr="00053012">
              <w:rPr>
                <w:rFonts w:cstheme="majorBidi"/>
                <w:b/>
              </w:rPr>
              <w:lastRenderedPageBreak/>
              <w:t>The PforR Program supports a portion of the Government</w:t>
            </w:r>
            <w:r>
              <w:rPr>
                <w:rFonts w:cstheme="majorBidi"/>
                <w:b/>
              </w:rPr>
              <w:t xml:space="preserve">’s National Education Sector Plan </w:t>
            </w:r>
            <w:r w:rsidRPr="00053012">
              <w:rPr>
                <w:rFonts w:cstheme="majorBidi"/>
                <w:b/>
              </w:rPr>
              <w:t>(NESP) across four key Results Area</w:t>
            </w:r>
            <w:r w:rsidRPr="00053012">
              <w:rPr>
                <w:rStyle w:val="s1"/>
                <w:rFonts w:cstheme="majorBidi"/>
                <w:b/>
              </w:rPr>
              <w:t>s.</w:t>
            </w:r>
            <w:r w:rsidRPr="00053012">
              <w:rPr>
                <w:rStyle w:val="s1"/>
                <w:rFonts w:cstheme="majorBidi"/>
              </w:rPr>
              <w:t xml:space="preserve"> These Results Areas fall under the access and quality themes for ECE and basic and secondary education. </w:t>
            </w:r>
          </w:p>
          <w:p w14:paraId="75B17620" w14:textId="77777777" w:rsidR="00A5611A" w:rsidRPr="00053012" w:rsidRDefault="00A5611A" w:rsidP="001321D1">
            <w:pPr>
              <w:pStyle w:val="NoSpacing"/>
              <w:tabs>
                <w:tab w:val="left" w:pos="900"/>
              </w:tabs>
              <w:ind w:left="340"/>
              <w:jc w:val="both"/>
              <w:rPr>
                <w:rFonts w:cstheme="majorBidi"/>
              </w:rPr>
            </w:pPr>
          </w:p>
          <w:p w14:paraId="486815B9" w14:textId="2709FEEA" w:rsidR="00A5611A" w:rsidRPr="00053012" w:rsidRDefault="00A5611A" w:rsidP="00302563">
            <w:pPr>
              <w:pStyle w:val="NoSpacing"/>
              <w:tabs>
                <w:tab w:val="left" w:pos="900"/>
              </w:tabs>
              <w:ind w:left="340"/>
              <w:jc w:val="both"/>
              <w:rPr>
                <w:rFonts w:cstheme="majorBidi"/>
              </w:rPr>
            </w:pPr>
            <w:r w:rsidRPr="00053012">
              <w:rPr>
                <w:rFonts w:cstheme="majorBidi"/>
              </w:rPr>
              <w:t xml:space="preserve"> </w:t>
            </w:r>
          </w:p>
          <w:p w14:paraId="5C163E4F" w14:textId="31F48ED9" w:rsidR="00A5611A" w:rsidRDefault="00A5611A" w:rsidP="001321D1">
            <w:pPr>
              <w:pStyle w:val="ListParagraph"/>
              <w:ind w:left="340"/>
              <w:jc w:val="center"/>
              <w:rPr>
                <w:rFonts w:asciiTheme="minorHAnsi" w:hAnsiTheme="minorHAnsi" w:cstheme="majorBidi"/>
                <w:b/>
                <w:bCs/>
                <w:sz w:val="22"/>
                <w:szCs w:val="22"/>
              </w:rPr>
            </w:pPr>
          </w:p>
          <w:p w14:paraId="0E18F965" w14:textId="255C1FBC" w:rsidR="00302563" w:rsidRDefault="00302563" w:rsidP="001321D1">
            <w:pPr>
              <w:pStyle w:val="ListParagraph"/>
              <w:ind w:left="340"/>
              <w:jc w:val="center"/>
              <w:rPr>
                <w:rFonts w:asciiTheme="minorHAnsi" w:hAnsiTheme="minorHAnsi" w:cstheme="majorBidi"/>
                <w:b/>
                <w:bCs/>
                <w:sz w:val="22"/>
                <w:szCs w:val="22"/>
              </w:rPr>
            </w:pPr>
          </w:p>
          <w:p w14:paraId="5A3A435D" w14:textId="3CD651DC" w:rsidR="00302563" w:rsidRDefault="00302563" w:rsidP="001321D1">
            <w:pPr>
              <w:pStyle w:val="ListParagraph"/>
              <w:ind w:left="340"/>
              <w:jc w:val="center"/>
              <w:rPr>
                <w:rFonts w:asciiTheme="minorHAnsi" w:hAnsiTheme="minorHAnsi" w:cstheme="majorBidi"/>
                <w:b/>
                <w:bCs/>
                <w:sz w:val="22"/>
                <w:szCs w:val="22"/>
              </w:rPr>
            </w:pPr>
          </w:p>
          <w:p w14:paraId="050F3E9D" w14:textId="594DBDB8" w:rsidR="00302563" w:rsidRDefault="00302563" w:rsidP="001321D1">
            <w:pPr>
              <w:pStyle w:val="ListParagraph"/>
              <w:ind w:left="340"/>
              <w:jc w:val="center"/>
              <w:rPr>
                <w:rFonts w:asciiTheme="minorHAnsi" w:hAnsiTheme="minorHAnsi" w:cstheme="majorBidi"/>
                <w:b/>
                <w:bCs/>
                <w:sz w:val="22"/>
                <w:szCs w:val="22"/>
              </w:rPr>
            </w:pPr>
          </w:p>
          <w:p w14:paraId="167418FC" w14:textId="77777777" w:rsidR="00302563" w:rsidRPr="00053012" w:rsidRDefault="00302563" w:rsidP="001321D1">
            <w:pPr>
              <w:pStyle w:val="ListParagraph"/>
              <w:ind w:left="340"/>
              <w:jc w:val="center"/>
              <w:rPr>
                <w:rFonts w:asciiTheme="minorHAnsi" w:hAnsiTheme="minorHAnsi" w:cstheme="majorBidi"/>
                <w:b/>
                <w:bCs/>
                <w:sz w:val="22"/>
                <w:szCs w:val="22"/>
              </w:rPr>
            </w:pPr>
          </w:p>
          <w:p w14:paraId="5C615050" w14:textId="77777777" w:rsidR="00A5611A" w:rsidRPr="00053012" w:rsidRDefault="00A5611A" w:rsidP="001321D1">
            <w:pPr>
              <w:pStyle w:val="ListParagraph"/>
              <w:ind w:left="340"/>
              <w:jc w:val="center"/>
              <w:rPr>
                <w:rFonts w:asciiTheme="minorHAnsi" w:hAnsiTheme="minorHAnsi" w:cstheme="majorBidi"/>
                <w:b/>
                <w:bCs/>
                <w:sz w:val="22"/>
                <w:szCs w:val="22"/>
              </w:rPr>
            </w:pPr>
            <w:r w:rsidRPr="00053012">
              <w:rPr>
                <w:rFonts w:asciiTheme="minorHAnsi" w:hAnsiTheme="minorHAnsi" w:cstheme="majorBidi"/>
                <w:b/>
                <w:bCs/>
                <w:sz w:val="22"/>
                <w:szCs w:val="22"/>
              </w:rPr>
              <w:t>Table 1: Number of Syrian refugees benefitting from the Program</w:t>
            </w:r>
          </w:p>
          <w:p w14:paraId="1C52F152" w14:textId="77777777" w:rsidR="00A5611A" w:rsidRPr="00053012" w:rsidRDefault="00A5611A" w:rsidP="001321D1">
            <w:pPr>
              <w:pStyle w:val="ListParagraph"/>
              <w:ind w:left="340"/>
              <w:jc w:val="center"/>
              <w:rPr>
                <w:rFonts w:asciiTheme="minorHAnsi" w:hAnsiTheme="minorHAnsi" w:cstheme="majorBidi"/>
                <w:b/>
                <w:bCs/>
                <w:sz w:val="22"/>
                <w:szCs w:val="22"/>
              </w:rPr>
            </w:pPr>
          </w:p>
          <w:tbl>
            <w:tblPr>
              <w:tblW w:w="10255" w:type="dxa"/>
              <w:tblLook w:val="04A0" w:firstRow="1" w:lastRow="0" w:firstColumn="1" w:lastColumn="0" w:noHBand="0" w:noVBand="1"/>
            </w:tblPr>
            <w:tblGrid>
              <w:gridCol w:w="2156"/>
              <w:gridCol w:w="1528"/>
              <w:gridCol w:w="1843"/>
              <w:gridCol w:w="2159"/>
              <w:gridCol w:w="1448"/>
            </w:tblGrid>
            <w:tr w:rsidR="00A5611A" w:rsidRPr="00053012" w14:paraId="1815042B" w14:textId="77777777" w:rsidTr="00C86D03">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008B9D" w14:textId="77777777" w:rsidR="00A5611A" w:rsidRPr="00053012" w:rsidRDefault="00A5611A" w:rsidP="001321D1">
                  <w:pPr>
                    <w:ind w:left="340"/>
                    <w:jc w:val="center"/>
                    <w:rPr>
                      <w:rFonts w:asciiTheme="minorHAnsi" w:hAnsiTheme="minorHAnsi"/>
                      <w:b/>
                      <w:bCs/>
                      <w:color w:val="000000"/>
                      <w:sz w:val="22"/>
                      <w:szCs w:val="22"/>
                    </w:rPr>
                  </w:pPr>
                  <w:r w:rsidRPr="00053012">
                    <w:rPr>
                      <w:rFonts w:asciiTheme="minorHAnsi" w:hAnsiTheme="minorHAnsi"/>
                      <w:b/>
                      <w:bCs/>
                      <w:color w:val="000000"/>
                      <w:sz w:val="22"/>
                      <w:szCs w:val="22"/>
                    </w:rPr>
                    <w:t> Level of Education</w:t>
                  </w:r>
                </w:p>
              </w:tc>
              <w:tc>
                <w:tcPr>
                  <w:tcW w:w="171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0F8E20B" w14:textId="77777777" w:rsidR="00A5611A" w:rsidRPr="00053012" w:rsidRDefault="00A5611A" w:rsidP="001321D1">
                  <w:pPr>
                    <w:ind w:left="340"/>
                    <w:jc w:val="center"/>
                    <w:rPr>
                      <w:rFonts w:asciiTheme="minorHAnsi" w:hAnsiTheme="minorHAnsi"/>
                      <w:b/>
                      <w:bCs/>
                      <w:color w:val="000000"/>
                      <w:sz w:val="22"/>
                      <w:szCs w:val="22"/>
                    </w:rPr>
                  </w:pPr>
                  <w:r w:rsidRPr="00053012">
                    <w:rPr>
                      <w:rFonts w:asciiTheme="minorHAnsi" w:hAnsiTheme="minorHAnsi"/>
                      <w:b/>
                      <w:bCs/>
                      <w:color w:val="000000"/>
                      <w:sz w:val="22"/>
                      <w:szCs w:val="22"/>
                    </w:rPr>
                    <w:t>Result Area (RA)</w:t>
                  </w:r>
                </w:p>
              </w:tc>
              <w:tc>
                <w:tcPr>
                  <w:tcW w:w="207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704C24D" w14:textId="77777777" w:rsidR="00A5611A" w:rsidRPr="00053012" w:rsidRDefault="00A5611A" w:rsidP="001321D1">
                  <w:pPr>
                    <w:ind w:left="340"/>
                    <w:jc w:val="center"/>
                    <w:rPr>
                      <w:rFonts w:asciiTheme="minorHAnsi" w:hAnsiTheme="minorHAnsi"/>
                      <w:b/>
                      <w:bCs/>
                      <w:color w:val="000000"/>
                      <w:sz w:val="22"/>
                      <w:szCs w:val="22"/>
                    </w:rPr>
                  </w:pPr>
                  <w:r w:rsidRPr="00053012">
                    <w:rPr>
                      <w:rFonts w:asciiTheme="minorHAnsi" w:hAnsiTheme="minorHAnsi"/>
                      <w:b/>
                      <w:bCs/>
                      <w:color w:val="000000"/>
                      <w:sz w:val="22"/>
                      <w:szCs w:val="22"/>
                    </w:rPr>
                    <w:t>Number of Syrian Beneficiaries of the PforR Program</w:t>
                  </w:r>
                </w:p>
              </w:tc>
              <w:tc>
                <w:tcPr>
                  <w:tcW w:w="243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C9EB2A8" w14:textId="77777777" w:rsidR="00A5611A" w:rsidRPr="00053012" w:rsidRDefault="00A5611A" w:rsidP="001321D1">
                  <w:pPr>
                    <w:ind w:left="340"/>
                    <w:jc w:val="center"/>
                    <w:rPr>
                      <w:rFonts w:asciiTheme="minorHAnsi" w:hAnsiTheme="minorHAnsi"/>
                      <w:b/>
                      <w:bCs/>
                      <w:color w:val="000000"/>
                      <w:sz w:val="22"/>
                      <w:szCs w:val="22"/>
                    </w:rPr>
                  </w:pPr>
                  <w:r w:rsidRPr="00053012">
                    <w:rPr>
                      <w:rFonts w:asciiTheme="minorHAnsi" w:hAnsiTheme="minorHAnsi"/>
                      <w:b/>
                      <w:bCs/>
                      <w:color w:val="000000"/>
                      <w:sz w:val="22"/>
                      <w:szCs w:val="22"/>
                    </w:rPr>
                    <w:t>Total Number of Syrian Refugee Children within Age Group</w:t>
                  </w:r>
                </w:p>
              </w:tc>
              <w:tc>
                <w:tcPr>
                  <w:tcW w:w="16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F3890B9" w14:textId="77777777" w:rsidR="00A5611A" w:rsidRPr="00053012" w:rsidRDefault="00A5611A" w:rsidP="001321D1">
                  <w:pPr>
                    <w:ind w:left="340"/>
                    <w:jc w:val="center"/>
                    <w:rPr>
                      <w:rFonts w:asciiTheme="minorHAnsi" w:hAnsiTheme="minorHAnsi"/>
                      <w:b/>
                      <w:bCs/>
                      <w:color w:val="000000"/>
                      <w:sz w:val="22"/>
                      <w:szCs w:val="22"/>
                    </w:rPr>
                  </w:pPr>
                  <w:r w:rsidRPr="00053012">
                    <w:rPr>
                      <w:rFonts w:asciiTheme="minorHAnsi" w:hAnsiTheme="minorHAnsi"/>
                      <w:b/>
                      <w:bCs/>
                      <w:color w:val="000000"/>
                      <w:sz w:val="22"/>
                      <w:szCs w:val="22"/>
                    </w:rPr>
                    <w:t>% Benefitting from Program</w:t>
                  </w:r>
                  <w:r>
                    <w:rPr>
                      <w:rFonts w:asciiTheme="minorHAnsi" w:hAnsiTheme="minorHAnsi"/>
                      <w:b/>
                      <w:bCs/>
                      <w:color w:val="000000"/>
                      <w:sz w:val="22"/>
                      <w:szCs w:val="22"/>
                    </w:rPr>
                    <w:t xml:space="preserve"> </w:t>
                  </w:r>
                </w:p>
              </w:tc>
            </w:tr>
            <w:tr w:rsidR="00A5611A" w:rsidRPr="00053012" w14:paraId="08B308E5" w14:textId="77777777" w:rsidTr="00C86D03">
              <w:trPr>
                <w:trHeight w:val="413"/>
              </w:trPr>
              <w:tc>
                <w:tcPr>
                  <w:tcW w:w="2425" w:type="dxa"/>
                  <w:tcBorders>
                    <w:top w:val="nil"/>
                    <w:left w:val="single" w:sz="4" w:space="0" w:color="auto"/>
                    <w:bottom w:val="single" w:sz="4" w:space="0" w:color="auto"/>
                    <w:right w:val="single" w:sz="4" w:space="0" w:color="auto"/>
                  </w:tcBorders>
                  <w:noWrap/>
                  <w:vAlign w:val="center"/>
                  <w:hideMark/>
                </w:tcPr>
                <w:p w14:paraId="794D9BDE" w14:textId="77777777" w:rsidR="00A5611A" w:rsidRPr="00053012" w:rsidRDefault="00A5611A" w:rsidP="001321D1">
                  <w:pPr>
                    <w:ind w:left="340"/>
                    <w:rPr>
                      <w:rFonts w:asciiTheme="minorHAnsi" w:hAnsiTheme="minorHAnsi"/>
                      <w:color w:val="000000"/>
                      <w:sz w:val="22"/>
                      <w:szCs w:val="22"/>
                    </w:rPr>
                  </w:pPr>
                  <w:r w:rsidRPr="00053012">
                    <w:rPr>
                      <w:rFonts w:asciiTheme="minorHAnsi" w:hAnsiTheme="minorHAnsi"/>
                      <w:color w:val="000000"/>
                      <w:sz w:val="22"/>
                      <w:szCs w:val="22"/>
                    </w:rPr>
                    <w:t>Basic Education</w:t>
                  </w:r>
                </w:p>
              </w:tc>
              <w:tc>
                <w:tcPr>
                  <w:tcW w:w="1710" w:type="dxa"/>
                  <w:vMerge w:val="restart"/>
                  <w:tcBorders>
                    <w:top w:val="nil"/>
                    <w:left w:val="single" w:sz="4" w:space="0" w:color="auto"/>
                    <w:bottom w:val="single" w:sz="4" w:space="0" w:color="000000"/>
                    <w:right w:val="single" w:sz="4" w:space="0" w:color="auto"/>
                  </w:tcBorders>
                  <w:noWrap/>
                  <w:vAlign w:val="center"/>
                  <w:hideMark/>
                </w:tcPr>
                <w:p w14:paraId="316180F8" w14:textId="77777777" w:rsidR="00A5611A" w:rsidRPr="00053012" w:rsidRDefault="00A5611A" w:rsidP="001321D1">
                  <w:pPr>
                    <w:ind w:left="340"/>
                    <w:rPr>
                      <w:rFonts w:asciiTheme="minorHAnsi" w:hAnsiTheme="minorHAnsi"/>
                      <w:color w:val="000000"/>
                      <w:sz w:val="22"/>
                      <w:szCs w:val="22"/>
                    </w:rPr>
                  </w:pPr>
                  <w:r w:rsidRPr="00053012">
                    <w:rPr>
                      <w:rFonts w:asciiTheme="minorHAnsi" w:hAnsiTheme="minorHAnsi"/>
                      <w:color w:val="000000"/>
                      <w:sz w:val="22"/>
                      <w:szCs w:val="22"/>
                    </w:rPr>
                    <w:t>RA 2, RA3, RA4</w:t>
                  </w:r>
                </w:p>
              </w:tc>
              <w:tc>
                <w:tcPr>
                  <w:tcW w:w="2070" w:type="dxa"/>
                  <w:vMerge w:val="restart"/>
                  <w:tcBorders>
                    <w:top w:val="nil"/>
                    <w:left w:val="single" w:sz="4" w:space="0" w:color="auto"/>
                    <w:bottom w:val="single" w:sz="4" w:space="0" w:color="auto"/>
                    <w:right w:val="single" w:sz="4" w:space="0" w:color="auto"/>
                  </w:tcBorders>
                  <w:noWrap/>
                  <w:vAlign w:val="center"/>
                  <w:hideMark/>
                </w:tcPr>
                <w:p w14:paraId="049D8489" w14:textId="77777777" w:rsidR="00A5611A" w:rsidRPr="00053012" w:rsidRDefault="00A5611A" w:rsidP="001321D1">
                  <w:pPr>
                    <w:ind w:left="340"/>
                    <w:jc w:val="right"/>
                    <w:rPr>
                      <w:rFonts w:asciiTheme="minorHAnsi" w:hAnsiTheme="minorHAnsi"/>
                      <w:color w:val="000000"/>
                      <w:sz w:val="22"/>
                      <w:szCs w:val="22"/>
                    </w:rPr>
                  </w:pPr>
                  <w:r w:rsidRPr="00053012">
                    <w:rPr>
                      <w:rFonts w:asciiTheme="minorHAnsi" w:hAnsiTheme="minorHAnsi"/>
                      <w:color w:val="000000"/>
                      <w:sz w:val="22"/>
                      <w:szCs w:val="22"/>
                    </w:rPr>
                    <w:t>150,000</w:t>
                  </w:r>
                </w:p>
              </w:tc>
              <w:tc>
                <w:tcPr>
                  <w:tcW w:w="2430" w:type="dxa"/>
                  <w:tcBorders>
                    <w:top w:val="nil"/>
                    <w:left w:val="nil"/>
                    <w:bottom w:val="single" w:sz="4" w:space="0" w:color="auto"/>
                    <w:right w:val="single" w:sz="4" w:space="0" w:color="auto"/>
                  </w:tcBorders>
                  <w:noWrap/>
                  <w:vAlign w:val="center"/>
                  <w:hideMark/>
                </w:tcPr>
                <w:p w14:paraId="29F23877" w14:textId="77777777" w:rsidR="00A5611A" w:rsidRPr="00053012" w:rsidRDefault="00A5611A" w:rsidP="001321D1">
                  <w:pPr>
                    <w:ind w:left="340"/>
                    <w:jc w:val="right"/>
                    <w:rPr>
                      <w:rFonts w:asciiTheme="minorHAnsi" w:hAnsiTheme="minorHAnsi"/>
                      <w:color w:val="000000"/>
                      <w:sz w:val="22"/>
                      <w:szCs w:val="22"/>
                    </w:rPr>
                  </w:pPr>
                  <w:r w:rsidRPr="00053012">
                    <w:rPr>
                      <w:rFonts w:asciiTheme="minorHAnsi" w:hAnsiTheme="minorHAnsi"/>
                      <w:color w:val="000000"/>
                      <w:sz w:val="22"/>
                      <w:szCs w:val="22"/>
                    </w:rPr>
                    <w:t>182,000</w:t>
                  </w:r>
                </w:p>
              </w:tc>
              <w:tc>
                <w:tcPr>
                  <w:tcW w:w="1620" w:type="dxa"/>
                  <w:vMerge w:val="restart"/>
                  <w:tcBorders>
                    <w:top w:val="nil"/>
                    <w:left w:val="single" w:sz="4" w:space="0" w:color="auto"/>
                    <w:bottom w:val="single" w:sz="4" w:space="0" w:color="000000"/>
                    <w:right w:val="single" w:sz="4" w:space="0" w:color="auto"/>
                  </w:tcBorders>
                  <w:noWrap/>
                  <w:vAlign w:val="center"/>
                  <w:hideMark/>
                </w:tcPr>
                <w:p w14:paraId="4C6CE5A7" w14:textId="77777777" w:rsidR="00A5611A" w:rsidRPr="00053012" w:rsidRDefault="00A5611A" w:rsidP="001321D1">
                  <w:pPr>
                    <w:ind w:left="340"/>
                    <w:jc w:val="center"/>
                    <w:rPr>
                      <w:rFonts w:asciiTheme="minorHAnsi" w:hAnsiTheme="minorHAnsi"/>
                      <w:color w:val="000000"/>
                      <w:sz w:val="22"/>
                      <w:szCs w:val="22"/>
                    </w:rPr>
                  </w:pPr>
                  <w:r w:rsidRPr="00053012">
                    <w:rPr>
                      <w:rFonts w:asciiTheme="minorHAnsi" w:hAnsiTheme="minorHAnsi"/>
                      <w:color w:val="000000"/>
                      <w:sz w:val="22"/>
                      <w:szCs w:val="22"/>
                    </w:rPr>
                    <w:t>71%</w:t>
                  </w:r>
                </w:p>
              </w:tc>
            </w:tr>
            <w:tr w:rsidR="00A5611A" w:rsidRPr="00053012" w14:paraId="580A5603" w14:textId="77777777" w:rsidTr="00C86D03">
              <w:trPr>
                <w:trHeight w:val="20"/>
              </w:trPr>
              <w:tc>
                <w:tcPr>
                  <w:tcW w:w="2425" w:type="dxa"/>
                  <w:tcBorders>
                    <w:top w:val="nil"/>
                    <w:left w:val="single" w:sz="4" w:space="0" w:color="auto"/>
                    <w:bottom w:val="single" w:sz="4" w:space="0" w:color="auto"/>
                    <w:right w:val="single" w:sz="4" w:space="0" w:color="auto"/>
                  </w:tcBorders>
                  <w:noWrap/>
                  <w:vAlign w:val="center"/>
                  <w:hideMark/>
                </w:tcPr>
                <w:p w14:paraId="5768E8C5" w14:textId="77777777" w:rsidR="00A5611A" w:rsidRPr="00053012" w:rsidRDefault="00A5611A" w:rsidP="001321D1">
                  <w:pPr>
                    <w:ind w:left="340"/>
                    <w:rPr>
                      <w:rFonts w:asciiTheme="minorHAnsi" w:hAnsiTheme="minorHAnsi"/>
                      <w:color w:val="000000"/>
                      <w:sz w:val="22"/>
                      <w:szCs w:val="22"/>
                    </w:rPr>
                  </w:pPr>
                  <w:r w:rsidRPr="00053012">
                    <w:rPr>
                      <w:rFonts w:asciiTheme="minorHAnsi" w:hAnsiTheme="minorHAnsi"/>
                      <w:color w:val="000000"/>
                      <w:sz w:val="22"/>
                      <w:szCs w:val="22"/>
                    </w:rPr>
                    <w:t xml:space="preserve">Secondary Education </w:t>
                  </w:r>
                </w:p>
              </w:tc>
              <w:tc>
                <w:tcPr>
                  <w:tcW w:w="1710" w:type="dxa"/>
                  <w:vMerge/>
                  <w:tcBorders>
                    <w:top w:val="nil"/>
                    <w:left w:val="single" w:sz="4" w:space="0" w:color="auto"/>
                    <w:bottom w:val="single" w:sz="4" w:space="0" w:color="000000"/>
                    <w:right w:val="single" w:sz="4" w:space="0" w:color="auto"/>
                  </w:tcBorders>
                  <w:vAlign w:val="center"/>
                  <w:hideMark/>
                </w:tcPr>
                <w:p w14:paraId="6EB6B484" w14:textId="77777777" w:rsidR="00A5611A" w:rsidRPr="00053012" w:rsidRDefault="00A5611A" w:rsidP="001321D1">
                  <w:pPr>
                    <w:ind w:left="340"/>
                    <w:rPr>
                      <w:rFonts w:asciiTheme="minorHAnsi" w:hAnsiTheme="minorHAnsi"/>
                      <w:color w:val="000000"/>
                      <w:sz w:val="22"/>
                      <w:szCs w:val="22"/>
                    </w:rPr>
                  </w:pPr>
                </w:p>
              </w:tc>
              <w:tc>
                <w:tcPr>
                  <w:tcW w:w="2070" w:type="dxa"/>
                  <w:vMerge/>
                  <w:tcBorders>
                    <w:top w:val="nil"/>
                    <w:left w:val="single" w:sz="4" w:space="0" w:color="auto"/>
                    <w:bottom w:val="single" w:sz="4" w:space="0" w:color="auto"/>
                    <w:right w:val="single" w:sz="4" w:space="0" w:color="auto"/>
                  </w:tcBorders>
                  <w:vAlign w:val="center"/>
                  <w:hideMark/>
                </w:tcPr>
                <w:p w14:paraId="72381BD1" w14:textId="77777777" w:rsidR="00A5611A" w:rsidRPr="00053012" w:rsidRDefault="00A5611A" w:rsidP="001321D1">
                  <w:pPr>
                    <w:ind w:left="340"/>
                    <w:jc w:val="right"/>
                    <w:rPr>
                      <w:rFonts w:asciiTheme="minorHAnsi" w:hAnsiTheme="minorHAnsi"/>
                      <w:color w:val="000000"/>
                      <w:sz w:val="22"/>
                      <w:szCs w:val="22"/>
                    </w:rPr>
                  </w:pPr>
                </w:p>
              </w:tc>
              <w:tc>
                <w:tcPr>
                  <w:tcW w:w="2430" w:type="dxa"/>
                  <w:tcBorders>
                    <w:top w:val="nil"/>
                    <w:left w:val="nil"/>
                    <w:bottom w:val="single" w:sz="4" w:space="0" w:color="auto"/>
                    <w:right w:val="single" w:sz="4" w:space="0" w:color="auto"/>
                  </w:tcBorders>
                  <w:noWrap/>
                  <w:vAlign w:val="center"/>
                  <w:hideMark/>
                </w:tcPr>
                <w:p w14:paraId="6D902878" w14:textId="77777777" w:rsidR="00A5611A" w:rsidRPr="00053012" w:rsidRDefault="00A5611A" w:rsidP="001321D1">
                  <w:pPr>
                    <w:ind w:left="340"/>
                    <w:jc w:val="right"/>
                    <w:rPr>
                      <w:rFonts w:asciiTheme="minorHAnsi" w:hAnsiTheme="minorHAnsi"/>
                      <w:color w:val="000000"/>
                      <w:sz w:val="22"/>
                      <w:szCs w:val="22"/>
                    </w:rPr>
                  </w:pPr>
                  <w:r w:rsidRPr="00053012">
                    <w:rPr>
                      <w:rFonts w:asciiTheme="minorHAnsi" w:hAnsiTheme="minorHAnsi"/>
                      <w:color w:val="000000"/>
                      <w:sz w:val="22"/>
                      <w:szCs w:val="22"/>
                    </w:rPr>
                    <w:t>30,000</w:t>
                  </w:r>
                </w:p>
              </w:tc>
              <w:tc>
                <w:tcPr>
                  <w:tcW w:w="1620" w:type="dxa"/>
                  <w:vMerge/>
                  <w:tcBorders>
                    <w:top w:val="nil"/>
                    <w:left w:val="single" w:sz="4" w:space="0" w:color="auto"/>
                    <w:bottom w:val="single" w:sz="4" w:space="0" w:color="000000"/>
                    <w:right w:val="single" w:sz="4" w:space="0" w:color="auto"/>
                  </w:tcBorders>
                  <w:vAlign w:val="center"/>
                  <w:hideMark/>
                </w:tcPr>
                <w:p w14:paraId="4E6D7410" w14:textId="77777777" w:rsidR="00A5611A" w:rsidRPr="00053012" w:rsidRDefault="00A5611A" w:rsidP="001321D1">
                  <w:pPr>
                    <w:ind w:left="340"/>
                    <w:jc w:val="center"/>
                    <w:rPr>
                      <w:rFonts w:asciiTheme="minorHAnsi" w:hAnsiTheme="minorHAnsi"/>
                      <w:color w:val="000000"/>
                      <w:sz w:val="22"/>
                      <w:szCs w:val="22"/>
                    </w:rPr>
                  </w:pPr>
                </w:p>
              </w:tc>
            </w:tr>
            <w:tr w:rsidR="00A5611A" w:rsidRPr="00053012" w14:paraId="0ED0D772" w14:textId="77777777" w:rsidTr="00C86D03">
              <w:trPr>
                <w:trHeight w:val="20"/>
              </w:trPr>
              <w:tc>
                <w:tcPr>
                  <w:tcW w:w="2425" w:type="dxa"/>
                  <w:tcBorders>
                    <w:top w:val="nil"/>
                    <w:left w:val="single" w:sz="4" w:space="0" w:color="auto"/>
                    <w:bottom w:val="single" w:sz="4" w:space="0" w:color="auto"/>
                    <w:right w:val="single" w:sz="4" w:space="0" w:color="auto"/>
                  </w:tcBorders>
                  <w:noWrap/>
                  <w:vAlign w:val="center"/>
                  <w:hideMark/>
                </w:tcPr>
                <w:p w14:paraId="1F92A6E1" w14:textId="77777777" w:rsidR="00A5611A" w:rsidRPr="00053012" w:rsidRDefault="00A5611A" w:rsidP="001321D1">
                  <w:pPr>
                    <w:ind w:left="340"/>
                    <w:rPr>
                      <w:rFonts w:asciiTheme="minorHAnsi" w:hAnsiTheme="minorHAnsi"/>
                      <w:color w:val="000000"/>
                      <w:sz w:val="22"/>
                      <w:szCs w:val="22"/>
                    </w:rPr>
                  </w:pPr>
                  <w:r w:rsidRPr="00053012">
                    <w:rPr>
                      <w:rFonts w:asciiTheme="minorHAnsi" w:hAnsiTheme="minorHAnsi"/>
                      <w:color w:val="000000"/>
                      <w:sz w:val="22"/>
                      <w:szCs w:val="22"/>
                    </w:rPr>
                    <w:t>ECE (KG2)</w:t>
                  </w:r>
                </w:p>
              </w:tc>
              <w:tc>
                <w:tcPr>
                  <w:tcW w:w="1710" w:type="dxa"/>
                  <w:tcBorders>
                    <w:top w:val="nil"/>
                    <w:left w:val="nil"/>
                    <w:bottom w:val="single" w:sz="4" w:space="0" w:color="auto"/>
                    <w:right w:val="single" w:sz="4" w:space="0" w:color="auto"/>
                  </w:tcBorders>
                  <w:noWrap/>
                  <w:vAlign w:val="center"/>
                  <w:hideMark/>
                </w:tcPr>
                <w:p w14:paraId="5818CDE5" w14:textId="77777777" w:rsidR="00A5611A" w:rsidRPr="00053012" w:rsidRDefault="00A5611A" w:rsidP="001321D1">
                  <w:pPr>
                    <w:ind w:left="340"/>
                    <w:rPr>
                      <w:rFonts w:asciiTheme="minorHAnsi" w:hAnsiTheme="minorHAnsi"/>
                      <w:color w:val="000000"/>
                      <w:sz w:val="22"/>
                      <w:szCs w:val="22"/>
                    </w:rPr>
                  </w:pPr>
                  <w:r w:rsidRPr="00053012">
                    <w:rPr>
                      <w:rFonts w:asciiTheme="minorHAnsi" w:hAnsiTheme="minorHAnsi"/>
                      <w:color w:val="000000"/>
                      <w:sz w:val="22"/>
                      <w:szCs w:val="22"/>
                    </w:rPr>
                    <w:t>RA 1, RA4</w:t>
                  </w:r>
                </w:p>
              </w:tc>
              <w:tc>
                <w:tcPr>
                  <w:tcW w:w="2070" w:type="dxa"/>
                  <w:tcBorders>
                    <w:top w:val="nil"/>
                    <w:left w:val="nil"/>
                    <w:bottom w:val="single" w:sz="4" w:space="0" w:color="auto"/>
                    <w:right w:val="single" w:sz="4" w:space="0" w:color="auto"/>
                  </w:tcBorders>
                  <w:noWrap/>
                  <w:vAlign w:val="center"/>
                  <w:hideMark/>
                </w:tcPr>
                <w:p w14:paraId="4A9FA0F5" w14:textId="77777777" w:rsidR="00A5611A" w:rsidRPr="00053012" w:rsidRDefault="00A5611A" w:rsidP="001321D1">
                  <w:pPr>
                    <w:ind w:left="340"/>
                    <w:jc w:val="right"/>
                    <w:rPr>
                      <w:rFonts w:asciiTheme="minorHAnsi" w:hAnsiTheme="minorHAnsi"/>
                      <w:color w:val="000000"/>
                      <w:sz w:val="22"/>
                      <w:szCs w:val="22"/>
                    </w:rPr>
                  </w:pPr>
                  <w:r w:rsidRPr="00053012">
                    <w:rPr>
                      <w:rFonts w:asciiTheme="minorHAnsi" w:hAnsiTheme="minorHAnsi"/>
                      <w:color w:val="000000"/>
                      <w:sz w:val="22"/>
                      <w:szCs w:val="22"/>
                    </w:rPr>
                    <w:t>10,000</w:t>
                  </w:r>
                </w:p>
              </w:tc>
              <w:tc>
                <w:tcPr>
                  <w:tcW w:w="2430" w:type="dxa"/>
                  <w:tcBorders>
                    <w:top w:val="nil"/>
                    <w:left w:val="nil"/>
                    <w:bottom w:val="single" w:sz="4" w:space="0" w:color="auto"/>
                    <w:right w:val="single" w:sz="4" w:space="0" w:color="auto"/>
                  </w:tcBorders>
                  <w:noWrap/>
                  <w:vAlign w:val="center"/>
                  <w:hideMark/>
                </w:tcPr>
                <w:p w14:paraId="68EEBDE1" w14:textId="77777777" w:rsidR="00A5611A" w:rsidRPr="00053012" w:rsidRDefault="00A5611A" w:rsidP="001321D1">
                  <w:pPr>
                    <w:ind w:left="340"/>
                    <w:jc w:val="right"/>
                    <w:rPr>
                      <w:rFonts w:asciiTheme="minorHAnsi" w:hAnsiTheme="minorHAnsi"/>
                      <w:color w:val="000000"/>
                      <w:sz w:val="22"/>
                      <w:szCs w:val="22"/>
                    </w:rPr>
                  </w:pPr>
                  <w:r w:rsidRPr="00053012">
                    <w:rPr>
                      <w:rFonts w:asciiTheme="minorHAnsi" w:hAnsiTheme="minorHAnsi"/>
                      <w:color w:val="000000"/>
                      <w:sz w:val="22"/>
                      <w:szCs w:val="22"/>
                    </w:rPr>
                    <w:t>20,000</w:t>
                  </w:r>
                </w:p>
              </w:tc>
              <w:tc>
                <w:tcPr>
                  <w:tcW w:w="1620" w:type="dxa"/>
                  <w:tcBorders>
                    <w:top w:val="nil"/>
                    <w:left w:val="nil"/>
                    <w:bottom w:val="single" w:sz="4" w:space="0" w:color="auto"/>
                    <w:right w:val="single" w:sz="4" w:space="0" w:color="auto"/>
                  </w:tcBorders>
                  <w:noWrap/>
                  <w:vAlign w:val="center"/>
                  <w:hideMark/>
                </w:tcPr>
                <w:p w14:paraId="29F749A4" w14:textId="77777777" w:rsidR="00A5611A" w:rsidRPr="00053012" w:rsidRDefault="00A5611A" w:rsidP="001321D1">
                  <w:pPr>
                    <w:ind w:left="340"/>
                    <w:jc w:val="center"/>
                    <w:rPr>
                      <w:rFonts w:asciiTheme="minorHAnsi" w:hAnsiTheme="minorHAnsi"/>
                      <w:color w:val="000000"/>
                      <w:sz w:val="22"/>
                      <w:szCs w:val="22"/>
                    </w:rPr>
                  </w:pPr>
                  <w:r w:rsidRPr="00053012">
                    <w:rPr>
                      <w:rFonts w:asciiTheme="minorHAnsi" w:hAnsiTheme="minorHAnsi"/>
                      <w:color w:val="000000"/>
                      <w:sz w:val="22"/>
                      <w:szCs w:val="22"/>
                    </w:rPr>
                    <w:t>50%</w:t>
                  </w:r>
                </w:p>
              </w:tc>
            </w:tr>
            <w:tr w:rsidR="00A5611A" w:rsidRPr="00053012" w14:paraId="06E6BD4D" w14:textId="77777777" w:rsidTr="00C86D03">
              <w:trPr>
                <w:trHeight w:val="20"/>
              </w:trPr>
              <w:tc>
                <w:tcPr>
                  <w:tcW w:w="2425" w:type="dxa"/>
                  <w:tcBorders>
                    <w:top w:val="nil"/>
                    <w:left w:val="single" w:sz="4" w:space="0" w:color="auto"/>
                    <w:bottom w:val="single" w:sz="4" w:space="0" w:color="auto"/>
                    <w:right w:val="single" w:sz="4" w:space="0" w:color="auto"/>
                  </w:tcBorders>
                  <w:noWrap/>
                  <w:vAlign w:val="center"/>
                  <w:hideMark/>
                </w:tcPr>
                <w:p w14:paraId="7CE5F319" w14:textId="77777777" w:rsidR="00A5611A" w:rsidRPr="00053012" w:rsidRDefault="00A5611A" w:rsidP="001321D1">
                  <w:pPr>
                    <w:ind w:left="340"/>
                    <w:rPr>
                      <w:rFonts w:asciiTheme="minorHAnsi" w:hAnsiTheme="minorHAnsi"/>
                      <w:b/>
                      <w:bCs/>
                      <w:color w:val="000000"/>
                      <w:sz w:val="22"/>
                      <w:szCs w:val="22"/>
                    </w:rPr>
                  </w:pPr>
                  <w:r w:rsidRPr="00053012">
                    <w:rPr>
                      <w:rFonts w:asciiTheme="minorHAnsi" w:hAnsiTheme="minorHAnsi"/>
                      <w:b/>
                      <w:bCs/>
                      <w:color w:val="000000"/>
                      <w:sz w:val="22"/>
                      <w:szCs w:val="22"/>
                    </w:rPr>
                    <w:t>Total</w:t>
                  </w:r>
                </w:p>
              </w:tc>
              <w:tc>
                <w:tcPr>
                  <w:tcW w:w="1710" w:type="dxa"/>
                  <w:tcBorders>
                    <w:top w:val="nil"/>
                    <w:left w:val="nil"/>
                    <w:bottom w:val="single" w:sz="4" w:space="0" w:color="auto"/>
                    <w:right w:val="single" w:sz="4" w:space="0" w:color="auto"/>
                  </w:tcBorders>
                  <w:noWrap/>
                  <w:vAlign w:val="center"/>
                  <w:hideMark/>
                </w:tcPr>
                <w:p w14:paraId="1CABF940" w14:textId="77777777" w:rsidR="00A5611A" w:rsidRPr="00053012" w:rsidRDefault="00A5611A" w:rsidP="001321D1">
                  <w:pPr>
                    <w:ind w:left="340"/>
                    <w:rPr>
                      <w:rFonts w:asciiTheme="minorHAnsi" w:hAnsiTheme="minorHAnsi"/>
                      <w:b/>
                      <w:bCs/>
                      <w:color w:val="000000"/>
                      <w:sz w:val="22"/>
                      <w:szCs w:val="22"/>
                    </w:rPr>
                  </w:pPr>
                  <w:r w:rsidRPr="00053012">
                    <w:rPr>
                      <w:rFonts w:asciiTheme="minorHAnsi" w:hAnsiTheme="minorHAnsi"/>
                      <w:b/>
                      <w:bCs/>
                      <w:color w:val="000000"/>
                      <w:sz w:val="22"/>
                      <w:szCs w:val="22"/>
                    </w:rPr>
                    <w:t>RA1-4</w:t>
                  </w:r>
                </w:p>
              </w:tc>
              <w:tc>
                <w:tcPr>
                  <w:tcW w:w="2070" w:type="dxa"/>
                  <w:tcBorders>
                    <w:top w:val="nil"/>
                    <w:left w:val="nil"/>
                    <w:bottom w:val="single" w:sz="4" w:space="0" w:color="auto"/>
                    <w:right w:val="single" w:sz="4" w:space="0" w:color="auto"/>
                  </w:tcBorders>
                  <w:noWrap/>
                  <w:vAlign w:val="center"/>
                  <w:hideMark/>
                </w:tcPr>
                <w:p w14:paraId="0C85C6C6" w14:textId="77777777" w:rsidR="00A5611A" w:rsidRPr="00053012" w:rsidRDefault="00A5611A" w:rsidP="001321D1">
                  <w:pPr>
                    <w:ind w:left="340"/>
                    <w:jc w:val="right"/>
                    <w:rPr>
                      <w:rFonts w:asciiTheme="minorHAnsi" w:hAnsiTheme="minorHAnsi"/>
                      <w:b/>
                      <w:bCs/>
                      <w:color w:val="000000"/>
                      <w:sz w:val="22"/>
                      <w:szCs w:val="22"/>
                    </w:rPr>
                  </w:pPr>
                  <w:r w:rsidRPr="00053012">
                    <w:rPr>
                      <w:rFonts w:asciiTheme="minorHAnsi" w:hAnsiTheme="minorHAnsi"/>
                      <w:b/>
                      <w:bCs/>
                      <w:color w:val="000000"/>
                      <w:sz w:val="22"/>
                      <w:szCs w:val="22"/>
                    </w:rPr>
                    <w:t>160,000</w:t>
                  </w:r>
                </w:p>
              </w:tc>
              <w:tc>
                <w:tcPr>
                  <w:tcW w:w="2430" w:type="dxa"/>
                  <w:tcBorders>
                    <w:top w:val="nil"/>
                    <w:left w:val="nil"/>
                    <w:bottom w:val="single" w:sz="4" w:space="0" w:color="auto"/>
                    <w:right w:val="single" w:sz="4" w:space="0" w:color="auto"/>
                  </w:tcBorders>
                  <w:noWrap/>
                  <w:vAlign w:val="center"/>
                  <w:hideMark/>
                </w:tcPr>
                <w:p w14:paraId="03274817" w14:textId="77777777" w:rsidR="00A5611A" w:rsidRPr="00053012" w:rsidRDefault="00A5611A" w:rsidP="001321D1">
                  <w:pPr>
                    <w:ind w:left="340"/>
                    <w:jc w:val="right"/>
                    <w:rPr>
                      <w:rFonts w:asciiTheme="minorHAnsi" w:hAnsiTheme="minorHAnsi"/>
                      <w:b/>
                      <w:bCs/>
                      <w:color w:val="000000"/>
                      <w:sz w:val="22"/>
                      <w:szCs w:val="22"/>
                    </w:rPr>
                  </w:pPr>
                  <w:r w:rsidRPr="00053012">
                    <w:rPr>
                      <w:rFonts w:asciiTheme="minorHAnsi" w:hAnsiTheme="minorHAnsi"/>
                      <w:b/>
                      <w:bCs/>
                      <w:color w:val="000000"/>
                      <w:sz w:val="22"/>
                      <w:szCs w:val="22"/>
                    </w:rPr>
                    <w:t>232,000</w:t>
                  </w:r>
                </w:p>
              </w:tc>
              <w:tc>
                <w:tcPr>
                  <w:tcW w:w="1620" w:type="dxa"/>
                  <w:tcBorders>
                    <w:top w:val="nil"/>
                    <w:left w:val="nil"/>
                    <w:bottom w:val="single" w:sz="4" w:space="0" w:color="auto"/>
                    <w:right w:val="single" w:sz="4" w:space="0" w:color="auto"/>
                  </w:tcBorders>
                  <w:noWrap/>
                  <w:vAlign w:val="center"/>
                  <w:hideMark/>
                </w:tcPr>
                <w:p w14:paraId="150549A3" w14:textId="77777777" w:rsidR="00A5611A" w:rsidRPr="00053012" w:rsidRDefault="00A5611A" w:rsidP="001321D1">
                  <w:pPr>
                    <w:ind w:left="340"/>
                    <w:jc w:val="center"/>
                    <w:rPr>
                      <w:rFonts w:asciiTheme="minorHAnsi" w:hAnsiTheme="minorHAnsi"/>
                      <w:b/>
                      <w:bCs/>
                      <w:color w:val="000000"/>
                      <w:sz w:val="22"/>
                      <w:szCs w:val="22"/>
                    </w:rPr>
                  </w:pPr>
                  <w:r w:rsidRPr="00053012">
                    <w:rPr>
                      <w:rFonts w:asciiTheme="minorHAnsi" w:hAnsiTheme="minorHAnsi"/>
                      <w:b/>
                      <w:bCs/>
                      <w:color w:val="000000"/>
                      <w:sz w:val="22"/>
                      <w:szCs w:val="22"/>
                    </w:rPr>
                    <w:t>69%</w:t>
                  </w:r>
                </w:p>
              </w:tc>
            </w:tr>
          </w:tbl>
          <w:p w14:paraId="5CF8D73D" w14:textId="77777777" w:rsidR="00A5611A" w:rsidRDefault="00A5611A" w:rsidP="001321D1">
            <w:pPr>
              <w:ind w:left="340"/>
              <w:jc w:val="both"/>
              <w:rPr>
                <w:rFonts w:asciiTheme="minorHAnsi" w:hAnsiTheme="minorHAnsi" w:cstheme="majorBidi"/>
                <w:sz w:val="18"/>
                <w:szCs w:val="18"/>
              </w:rPr>
            </w:pPr>
            <w:r>
              <w:rPr>
                <w:rFonts w:asciiTheme="minorHAnsi" w:hAnsiTheme="minorHAnsi" w:cstheme="majorBidi"/>
                <w:sz w:val="18"/>
                <w:szCs w:val="18"/>
              </w:rPr>
              <w:t xml:space="preserve">(*) </w:t>
            </w:r>
            <w:r w:rsidRPr="009500E9">
              <w:rPr>
                <w:rFonts w:asciiTheme="minorHAnsi" w:eastAsiaTheme="minorHAnsi" w:hAnsiTheme="minorHAnsi" w:cstheme="majorBidi"/>
                <w:sz w:val="18"/>
                <w:szCs w:val="18"/>
              </w:rPr>
              <w:t>Through DLI 1 (Number of beneficiaries from the Program)</w:t>
            </w:r>
            <w:r>
              <w:rPr>
                <w:rFonts w:asciiTheme="minorHAnsi" w:hAnsiTheme="minorHAnsi" w:cstheme="majorBidi"/>
                <w:sz w:val="18"/>
                <w:szCs w:val="18"/>
              </w:rPr>
              <w:t xml:space="preserve"> </w:t>
            </w:r>
            <w:r w:rsidRPr="00864105">
              <w:rPr>
                <w:rFonts w:asciiTheme="minorHAnsi" w:hAnsiTheme="minorHAnsi" w:cstheme="majorBidi"/>
                <w:sz w:val="18"/>
                <w:szCs w:val="18"/>
              </w:rPr>
              <w:t>the Program targets an increased enrollment of 30,000 students into the formal sector (one third of them expected at the ECE level). Increased enrollment through the program is mostly achieved by activities that support expansion of ECE where Syrian refugee children enrollment is very low and retention of basic education and secondary education students.</w:t>
            </w:r>
          </w:p>
          <w:p w14:paraId="516615B4" w14:textId="77777777" w:rsidR="00A5611A" w:rsidRPr="00864105" w:rsidRDefault="00A5611A" w:rsidP="001321D1">
            <w:pPr>
              <w:ind w:left="340"/>
              <w:rPr>
                <w:rFonts w:asciiTheme="minorHAnsi" w:hAnsiTheme="minorHAnsi" w:cstheme="majorBidi"/>
                <w:sz w:val="18"/>
                <w:szCs w:val="18"/>
              </w:rPr>
            </w:pPr>
          </w:p>
          <w:p w14:paraId="50B4D2F4" w14:textId="77777777" w:rsidR="00302563" w:rsidRPr="00053012" w:rsidRDefault="00302563" w:rsidP="00302563">
            <w:pPr>
              <w:pStyle w:val="NoSpacing"/>
              <w:numPr>
                <w:ilvl w:val="0"/>
                <w:numId w:val="36"/>
              </w:numPr>
              <w:tabs>
                <w:tab w:val="left" w:pos="900"/>
              </w:tabs>
              <w:ind w:left="340"/>
              <w:jc w:val="both"/>
              <w:rPr>
                <w:rFonts w:cstheme="majorBidi"/>
              </w:rPr>
            </w:pPr>
            <w:r w:rsidRPr="00776C82">
              <w:rPr>
                <w:rFonts w:cstheme="majorBidi"/>
              </w:rPr>
              <w:t>The total cost for the Bank-supported operation is US$200</w:t>
            </w:r>
            <w:r>
              <w:rPr>
                <w:rFonts w:cstheme="majorBidi"/>
              </w:rPr>
              <w:t>.0</w:t>
            </w:r>
            <w:r w:rsidRPr="00776C82">
              <w:rPr>
                <w:rFonts w:cstheme="majorBidi"/>
              </w:rPr>
              <w:t xml:space="preserve"> million, out of which the GCFF will provide US$52.3million.</w:t>
            </w:r>
            <w:r w:rsidRPr="00053012">
              <w:rPr>
                <w:rFonts w:cstheme="majorBidi"/>
              </w:rPr>
              <w:t xml:space="preserve"> The Bank-supported operation will be a hybrid operation consisting of: (</w:t>
            </w:r>
            <w:r>
              <w:rPr>
                <w:rFonts w:cstheme="majorBidi"/>
              </w:rPr>
              <w:t>1</w:t>
            </w:r>
            <w:r w:rsidRPr="00053012">
              <w:rPr>
                <w:rFonts w:cstheme="majorBidi"/>
              </w:rPr>
              <w:t>) a Program-for-Results (PforR) program component (US$19</w:t>
            </w:r>
            <w:r>
              <w:rPr>
                <w:rFonts w:cstheme="majorBidi"/>
              </w:rPr>
              <w:t>2</w:t>
            </w:r>
            <w:r w:rsidRPr="00053012">
              <w:rPr>
                <w:rFonts w:cstheme="majorBidi"/>
              </w:rPr>
              <w:t>.0 million); and (</w:t>
            </w:r>
            <w:r>
              <w:rPr>
                <w:rFonts w:cstheme="majorBidi"/>
              </w:rPr>
              <w:t>2</w:t>
            </w:r>
            <w:r w:rsidRPr="00053012">
              <w:rPr>
                <w:rFonts w:cstheme="majorBidi"/>
              </w:rPr>
              <w:t>) a technical assistance (TA) component using Investment Project Financing (IPF). The TA component, estimated to cost US$</w:t>
            </w:r>
            <w:r>
              <w:rPr>
                <w:rFonts w:cstheme="majorBidi"/>
              </w:rPr>
              <w:t>8</w:t>
            </w:r>
            <w:r w:rsidRPr="00053012">
              <w:rPr>
                <w:rFonts w:cstheme="majorBidi"/>
              </w:rPr>
              <w:t xml:space="preserve">.0 million, will </w:t>
            </w:r>
            <w:r w:rsidRPr="00302563">
              <w:rPr>
                <w:rFonts w:cstheme="majorBidi"/>
                <w:b/>
              </w:rPr>
              <w:t>support</w:t>
            </w:r>
            <w:r w:rsidRPr="00053012">
              <w:rPr>
                <w:rFonts w:cstheme="majorBidi"/>
              </w:rPr>
              <w:t xml:space="preserve"> a set of </w:t>
            </w:r>
            <w:r w:rsidRPr="00053012">
              <w:rPr>
                <w:rFonts w:cstheme="majorBidi"/>
              </w:rPr>
              <w:lastRenderedPageBreak/>
              <w:t xml:space="preserve">TA and capacity building activities (see Annex 6) that will contribute to the achievement of the Program results and outcomes. </w:t>
            </w:r>
          </w:p>
          <w:p w14:paraId="440DAF03" w14:textId="77777777" w:rsidR="00302563" w:rsidRPr="00053012" w:rsidRDefault="00302563" w:rsidP="00302563">
            <w:pPr>
              <w:pStyle w:val="NoSpacing"/>
              <w:tabs>
                <w:tab w:val="left" w:pos="900"/>
              </w:tabs>
              <w:ind w:left="360"/>
              <w:jc w:val="both"/>
              <w:rPr>
                <w:rFonts w:cstheme="majorBidi"/>
              </w:rPr>
            </w:pPr>
          </w:p>
          <w:p w14:paraId="5BFFCDCB" w14:textId="77777777" w:rsidR="00302563" w:rsidRDefault="00302563" w:rsidP="00302563">
            <w:pPr>
              <w:pStyle w:val="NoSpacing"/>
              <w:numPr>
                <w:ilvl w:val="0"/>
                <w:numId w:val="36"/>
              </w:numPr>
              <w:tabs>
                <w:tab w:val="left" w:pos="900"/>
              </w:tabs>
              <w:ind w:left="340"/>
              <w:jc w:val="both"/>
              <w:rPr>
                <w:rFonts w:cstheme="majorBidi"/>
              </w:rPr>
            </w:pPr>
            <w:r w:rsidRPr="00053012">
              <w:rPr>
                <w:rFonts w:cstheme="majorBidi"/>
              </w:rPr>
              <w:t>The rationale to use an IPF for TA activities – using WB procedures – is to allow for the timely procurement of consultants and firms to produce strategic studies, impact evaluations and technical assistance and capacity building activities. While the GOJ has strong procurement systems for procurement of goods and services, the systems in place for contracting consulting services may not be sufficient for the timely procurement of high quality consultants and firms to undertake upfront analytical activities that will critically inform the design and implementation of core Program activities. These activities are critical to achieve the results of the PforR Program and through WB systems, the quality and alignment of interventions can be ensured.</w:t>
            </w:r>
          </w:p>
          <w:p w14:paraId="3A95EFAE" w14:textId="3452B746" w:rsidR="00A5611A" w:rsidRPr="00053012" w:rsidRDefault="00A5611A" w:rsidP="00302563">
            <w:pPr>
              <w:pStyle w:val="NoSpacing"/>
              <w:tabs>
                <w:tab w:val="left" w:pos="900"/>
              </w:tabs>
              <w:ind w:left="340"/>
              <w:jc w:val="both"/>
              <w:rPr>
                <w:rFonts w:cstheme="majorBidi"/>
              </w:rPr>
            </w:pPr>
          </w:p>
          <w:p w14:paraId="5D9F068F" w14:textId="268E460A" w:rsidR="008E3772" w:rsidRPr="008F4E27" w:rsidRDefault="008E3772" w:rsidP="001321D1">
            <w:pPr>
              <w:pStyle w:val="NoSpacing"/>
              <w:numPr>
                <w:ilvl w:val="0"/>
                <w:numId w:val="45"/>
              </w:numPr>
              <w:rPr>
                <w:rFonts w:cstheme="minorHAnsi"/>
                <w:b/>
              </w:rPr>
            </w:pPr>
            <w:r w:rsidRPr="008F4E27">
              <w:rPr>
                <w:rFonts w:cstheme="minorHAnsi"/>
                <w:b/>
              </w:rPr>
              <w:t>Program Development Objective(s)</w:t>
            </w:r>
          </w:p>
          <w:p w14:paraId="3B21BF4E" w14:textId="77777777" w:rsidR="007101C9" w:rsidRPr="008F4E27" w:rsidRDefault="007101C9" w:rsidP="001321D1">
            <w:pPr>
              <w:ind w:left="340"/>
              <w:rPr>
                <w:rFonts w:asciiTheme="minorHAnsi" w:hAnsiTheme="minorHAnsi" w:cstheme="minorHAnsi"/>
                <w:b/>
                <w:sz w:val="22"/>
                <w:szCs w:val="22"/>
              </w:rPr>
            </w:pPr>
          </w:p>
          <w:p w14:paraId="1DAC3660" w14:textId="77777777" w:rsidR="00302563" w:rsidRPr="00053012" w:rsidRDefault="00302563" w:rsidP="00302563">
            <w:pPr>
              <w:pStyle w:val="NoSpacing"/>
              <w:numPr>
                <w:ilvl w:val="0"/>
                <w:numId w:val="36"/>
              </w:numPr>
              <w:tabs>
                <w:tab w:val="left" w:pos="900"/>
              </w:tabs>
              <w:ind w:left="360" w:firstLine="0"/>
              <w:jc w:val="both"/>
              <w:rPr>
                <w:rFonts w:cstheme="majorBidi"/>
              </w:rPr>
            </w:pPr>
            <w:r w:rsidRPr="00053012">
              <w:rPr>
                <w:rFonts w:cstheme="majorBidi"/>
                <w:lang w:val="en-GB"/>
              </w:rPr>
              <w:t>The</w:t>
            </w:r>
            <w:r w:rsidRPr="00053012">
              <w:rPr>
                <w:rFonts w:cstheme="majorBidi"/>
              </w:rPr>
              <w:t xml:space="preserve"> Program Development Objective (PDO) would be to support the Ministry of Education (MOE)</w:t>
            </w:r>
            <w:r w:rsidRPr="00053012">
              <w:rPr>
                <w:rFonts w:cstheme="majorBidi"/>
                <w:b/>
                <w:bCs/>
                <w:i/>
                <w:iCs/>
              </w:rPr>
              <w:t xml:space="preserve"> to expand access to early childhood education, and to improve student assessment and teaching and learning conditions for Jordanian and Syrian refugee children</w:t>
            </w:r>
            <w:r w:rsidRPr="00053012">
              <w:rPr>
                <w:rFonts w:cstheme="majorBidi"/>
                <w:b/>
                <w:bCs/>
              </w:rPr>
              <w:t xml:space="preserve">. </w:t>
            </w:r>
          </w:p>
          <w:p w14:paraId="72AED338" w14:textId="77777777" w:rsidR="00302563" w:rsidRPr="00053012" w:rsidRDefault="00302563" w:rsidP="00302563">
            <w:pPr>
              <w:pStyle w:val="NoSpacing"/>
              <w:tabs>
                <w:tab w:val="left" w:pos="900"/>
              </w:tabs>
              <w:ind w:left="360"/>
              <w:jc w:val="both"/>
              <w:rPr>
                <w:rFonts w:cstheme="majorBidi"/>
              </w:rPr>
            </w:pPr>
          </w:p>
          <w:p w14:paraId="37E9FD16" w14:textId="77777777" w:rsidR="00302563" w:rsidRPr="00053012" w:rsidRDefault="00302563" w:rsidP="00302563">
            <w:pPr>
              <w:pStyle w:val="NoSpacing"/>
              <w:numPr>
                <w:ilvl w:val="0"/>
                <w:numId w:val="36"/>
              </w:numPr>
              <w:tabs>
                <w:tab w:val="left" w:pos="900"/>
              </w:tabs>
              <w:ind w:left="360" w:firstLine="0"/>
              <w:jc w:val="both"/>
              <w:rPr>
                <w:rFonts w:cstheme="majorBidi"/>
              </w:rPr>
            </w:pPr>
            <w:r w:rsidRPr="00053012">
              <w:rPr>
                <w:rFonts w:cstheme="majorBidi"/>
              </w:rPr>
              <w:t xml:space="preserve">The PDO Indicators are: </w:t>
            </w:r>
          </w:p>
          <w:p w14:paraId="269F04A5" w14:textId="77777777" w:rsidR="00302563" w:rsidRPr="00600C35" w:rsidRDefault="00302563" w:rsidP="00302563">
            <w:pPr>
              <w:pStyle w:val="NoSpacing"/>
              <w:numPr>
                <w:ilvl w:val="1"/>
                <w:numId w:val="37"/>
              </w:numPr>
              <w:tabs>
                <w:tab w:val="left" w:pos="900"/>
              </w:tabs>
              <w:jc w:val="both"/>
              <w:rPr>
                <w:rFonts w:cstheme="majorBidi"/>
              </w:rPr>
            </w:pPr>
            <w:r w:rsidRPr="00600C35">
              <w:rPr>
                <w:rFonts w:cstheme="majorBidi"/>
              </w:rPr>
              <w:t>Number of Jordanian and Syrian refugee children enrolled in KG2, disaggregated by gender and type of school</w:t>
            </w:r>
          </w:p>
          <w:p w14:paraId="3D81E4A4" w14:textId="787C8E9E" w:rsidR="00302563" w:rsidRPr="00053012" w:rsidRDefault="00302563" w:rsidP="00302563">
            <w:pPr>
              <w:pStyle w:val="NoSpacing"/>
              <w:numPr>
                <w:ilvl w:val="1"/>
                <w:numId w:val="37"/>
              </w:numPr>
              <w:tabs>
                <w:tab w:val="left" w:pos="900"/>
              </w:tabs>
              <w:jc w:val="both"/>
              <w:rPr>
                <w:rFonts w:cstheme="majorBidi"/>
              </w:rPr>
            </w:pPr>
            <w:r w:rsidRPr="00053012">
              <w:rPr>
                <w:rFonts w:cs="Times New Roman"/>
              </w:rPr>
              <w:t>P</w:t>
            </w:r>
            <w:r w:rsidRPr="00053012">
              <w:rPr>
                <w:rFonts w:cstheme="majorBidi"/>
              </w:rPr>
              <w:t xml:space="preserve">ercentage </w:t>
            </w:r>
            <w:r>
              <w:rPr>
                <w:rFonts w:cstheme="majorBidi"/>
              </w:rPr>
              <w:t xml:space="preserve">point </w:t>
            </w:r>
            <w:r w:rsidRPr="00053012">
              <w:rPr>
                <w:rFonts w:cstheme="majorBidi"/>
              </w:rPr>
              <w:t xml:space="preserve">reduction in the </w:t>
            </w:r>
            <w:r w:rsidR="004B5DCF">
              <w:rPr>
                <w:rFonts w:cstheme="majorBidi"/>
              </w:rPr>
              <w:t>dropout rate of</w:t>
            </w:r>
            <w:r w:rsidRPr="00053012">
              <w:rPr>
                <w:rFonts w:cstheme="majorBidi"/>
              </w:rPr>
              <w:t xml:space="preserve"> Syrian </w:t>
            </w:r>
            <w:r>
              <w:rPr>
                <w:rFonts w:cstheme="majorBidi"/>
              </w:rPr>
              <w:t>refugee</w:t>
            </w:r>
            <w:r w:rsidRPr="00053012">
              <w:rPr>
                <w:rFonts w:cstheme="majorBidi"/>
              </w:rPr>
              <w:t xml:space="preserve"> </w:t>
            </w:r>
            <w:r>
              <w:rPr>
                <w:rFonts w:cstheme="majorBidi"/>
              </w:rPr>
              <w:t>children</w:t>
            </w:r>
            <w:r w:rsidRPr="00053012">
              <w:rPr>
                <w:rFonts w:cstheme="majorBidi"/>
              </w:rPr>
              <w:t>, disaggregated by gender</w:t>
            </w:r>
          </w:p>
          <w:p w14:paraId="3B2D31FC" w14:textId="77777777" w:rsidR="00302563" w:rsidRPr="00053012" w:rsidRDefault="00302563" w:rsidP="00302563">
            <w:pPr>
              <w:pStyle w:val="NoSpacing"/>
              <w:numPr>
                <w:ilvl w:val="1"/>
                <w:numId w:val="37"/>
              </w:numPr>
              <w:tabs>
                <w:tab w:val="left" w:pos="900"/>
              </w:tabs>
              <w:jc w:val="both"/>
              <w:rPr>
                <w:rFonts w:cstheme="majorBidi"/>
              </w:rPr>
            </w:pPr>
            <w:r w:rsidRPr="00053012">
              <w:rPr>
                <w:rFonts w:cstheme="majorBidi"/>
              </w:rPr>
              <w:t>Percentage of teachers evaluated against the new National Teacher Professional Standards (NTPS) who meet the minimum performance standards</w:t>
            </w:r>
          </w:p>
          <w:p w14:paraId="6FF13DDF" w14:textId="40262DF3" w:rsidR="008E3772" w:rsidRDefault="00302563" w:rsidP="00302563">
            <w:pPr>
              <w:pStyle w:val="NoSpacing"/>
              <w:numPr>
                <w:ilvl w:val="1"/>
                <w:numId w:val="37"/>
              </w:numPr>
              <w:tabs>
                <w:tab w:val="left" w:pos="900"/>
              </w:tabs>
              <w:jc w:val="both"/>
              <w:rPr>
                <w:rFonts w:cstheme="majorBidi"/>
              </w:rPr>
            </w:pPr>
            <w:r w:rsidRPr="00302563">
              <w:rPr>
                <w:rFonts w:cstheme="majorBidi"/>
              </w:rPr>
              <w:t xml:space="preserve">First phase of </w:t>
            </w:r>
            <w:r w:rsidRPr="0032200C">
              <w:rPr>
                <w:rFonts w:cstheme="majorBidi"/>
                <w:i/>
                <w:iCs/>
              </w:rPr>
              <w:t>Tawjihi</w:t>
            </w:r>
            <w:r w:rsidRPr="00302563">
              <w:rPr>
                <w:rFonts w:cstheme="majorBidi"/>
              </w:rPr>
              <w:t xml:space="preserve"> </w:t>
            </w:r>
            <w:r w:rsidRPr="00053012">
              <w:rPr>
                <w:rFonts w:cstheme="majorBidi"/>
              </w:rPr>
              <w:t xml:space="preserve">reform completed </w:t>
            </w:r>
          </w:p>
          <w:p w14:paraId="13BDA6DC" w14:textId="77777777" w:rsidR="00302563" w:rsidRPr="008F4E27" w:rsidRDefault="00302563" w:rsidP="00302563">
            <w:pPr>
              <w:ind w:left="340" w:firstLine="720"/>
              <w:rPr>
                <w:rFonts w:asciiTheme="minorHAnsi" w:hAnsiTheme="minorHAnsi" w:cstheme="minorHAnsi"/>
                <w:b/>
                <w:sz w:val="22"/>
                <w:szCs w:val="22"/>
              </w:rPr>
            </w:pPr>
          </w:p>
          <w:p w14:paraId="14DF8D66" w14:textId="77777777" w:rsidR="008E3772" w:rsidRPr="008F4E27" w:rsidRDefault="008E3772" w:rsidP="001321D1">
            <w:pPr>
              <w:pStyle w:val="NoSpacing"/>
              <w:numPr>
                <w:ilvl w:val="0"/>
                <w:numId w:val="45"/>
              </w:numPr>
              <w:rPr>
                <w:rFonts w:cstheme="minorHAnsi"/>
                <w:b/>
              </w:rPr>
            </w:pPr>
            <w:r w:rsidRPr="008F4E27">
              <w:rPr>
                <w:rFonts w:cstheme="minorHAnsi"/>
                <w:b/>
              </w:rPr>
              <w:t>Environmental and Social Effects</w:t>
            </w:r>
          </w:p>
          <w:p w14:paraId="40B071F9" w14:textId="77777777" w:rsidR="009617EE" w:rsidRPr="008F4E27" w:rsidRDefault="009617EE" w:rsidP="001321D1">
            <w:pPr>
              <w:pStyle w:val="NoSpacing"/>
              <w:tabs>
                <w:tab w:val="left" w:pos="900"/>
              </w:tabs>
              <w:ind w:left="340"/>
              <w:jc w:val="both"/>
              <w:rPr>
                <w:rFonts w:cstheme="minorHAnsi"/>
              </w:rPr>
            </w:pPr>
          </w:p>
          <w:p w14:paraId="109783A1" w14:textId="77777777" w:rsidR="00FB2559" w:rsidRPr="00053012" w:rsidRDefault="00FB2559" w:rsidP="00FB2559">
            <w:pPr>
              <w:pStyle w:val="NoSpacing"/>
              <w:numPr>
                <w:ilvl w:val="0"/>
                <w:numId w:val="36"/>
              </w:numPr>
              <w:tabs>
                <w:tab w:val="left" w:pos="900"/>
              </w:tabs>
              <w:ind w:left="360" w:firstLine="0"/>
              <w:jc w:val="both"/>
              <w:rPr>
                <w:rFonts w:cstheme="majorBidi"/>
              </w:rPr>
            </w:pPr>
            <w:r w:rsidRPr="00053012">
              <w:rPr>
                <w:rFonts w:cstheme="majorBidi"/>
              </w:rPr>
              <w:t xml:space="preserve">The assessment of the social risk level associated with the Program is </w:t>
            </w:r>
            <w:r w:rsidRPr="00053012">
              <w:rPr>
                <w:rFonts w:cstheme="majorBidi"/>
                <w:b/>
                <w:bCs/>
                <w:i/>
                <w:iCs/>
              </w:rPr>
              <w:t>Substantial</w:t>
            </w:r>
            <w:r w:rsidRPr="00053012">
              <w:rPr>
                <w:rFonts w:cstheme="majorBidi"/>
              </w:rPr>
              <w:t xml:space="preserve">.  It is envisaged that the Program will not include any Category-A type investments.  While the use of Government land or swapping of land between ministries is a common practice, it is likely that it will be necessary to acquire land under the Program under Result Area 1.  Land availability is a significant barrier to school expansion in Jordan, therefore </w:t>
            </w:r>
            <w:r w:rsidRPr="00053012">
              <w:rPr>
                <w:rFonts w:cstheme="majorBidi"/>
              </w:rPr>
              <w:lastRenderedPageBreak/>
              <w:t>it will be necessary to introduce adequate screening systems to assess land availability, and provide technical support during implementation to ensure that land acquisition and compensation to potential project affected people (PAPs) follow the WB safeguards standards.  Direct economic and social impacts could include loss of land, assets and income, access to assets or housing resulting in adverse impacts to livelihoods. Unless properly managed, involuntary resettlement may result in long-term hardship and impoverishment for affected persons and communities, as well as social stress in areas to which they have been displaced.  The Program Action Plan (PAP) includes procedures to make sure that adequate measures are taken to prevent negative impacts on physical cultural resources and natural protected areas.</w:t>
            </w:r>
            <w:r w:rsidRPr="00053012">
              <w:t xml:space="preserve"> </w:t>
            </w:r>
            <w:r w:rsidRPr="00053012">
              <w:rPr>
                <w:rFonts w:cstheme="majorBidi"/>
              </w:rPr>
              <w:t xml:space="preserve">The Program will require that engineers or other MOE staff screen out construction of new schools on private land, as well as closely monitor cases that are categorized as Voluntary Land Donation (VLD) to ensure that the act of donation is undertaken without coercion, manipulation, or any form of pressure on those donating. Impacts on informal land users will also need to be addressed if these occur.  </w:t>
            </w:r>
          </w:p>
          <w:p w14:paraId="1FA15F47" w14:textId="77777777" w:rsidR="00FB2559" w:rsidRPr="00053012" w:rsidRDefault="00FB2559" w:rsidP="00FB2559">
            <w:pPr>
              <w:pStyle w:val="NoSpacing"/>
              <w:tabs>
                <w:tab w:val="left" w:pos="900"/>
              </w:tabs>
              <w:ind w:left="360"/>
              <w:jc w:val="both"/>
              <w:rPr>
                <w:rFonts w:cstheme="majorBidi"/>
              </w:rPr>
            </w:pPr>
          </w:p>
          <w:p w14:paraId="0CD0EB95" w14:textId="77777777" w:rsidR="00FB2559" w:rsidRPr="00053012" w:rsidRDefault="00FB2559" w:rsidP="00FB2559">
            <w:pPr>
              <w:pStyle w:val="NoSpacing"/>
              <w:numPr>
                <w:ilvl w:val="0"/>
                <w:numId w:val="36"/>
              </w:numPr>
              <w:tabs>
                <w:tab w:val="left" w:pos="900"/>
              </w:tabs>
              <w:ind w:left="360" w:firstLine="0"/>
              <w:jc w:val="both"/>
              <w:rPr>
                <w:rFonts w:cstheme="majorBidi"/>
              </w:rPr>
            </w:pPr>
            <w:r w:rsidRPr="00053012">
              <w:rPr>
                <w:rFonts w:cstheme="majorBidi"/>
              </w:rPr>
              <w:t xml:space="preserve">The broader social risks associated with the Program, particularly in Results Area 2 are deemed </w:t>
            </w:r>
            <w:r w:rsidRPr="00776C82">
              <w:rPr>
                <w:rFonts w:cstheme="majorBidi"/>
                <w:i/>
              </w:rPr>
              <w:t>Moderate</w:t>
            </w:r>
            <w:r w:rsidRPr="00053012">
              <w:rPr>
                <w:rFonts w:cstheme="majorBidi"/>
              </w:rPr>
              <w:t>. These risks are broader, contextual and political risks have neither been caused by the Program nor have contributed to the risks, however are considered substantial and, if not mitigated, may exacerbate other project-related risks related to inclusion and access. These include: violence in schools (various forms), gender biases in school curriculum, inadequate support to children with disabilities and special needs, vulnerability and psychological distress amongst poor Jordanians and Syrian refugees leading to negative coping strategies such as child labor, and early marriage and begging which may contribute to children dropping out.</w:t>
            </w:r>
          </w:p>
          <w:p w14:paraId="45EA5CDD" w14:textId="77777777" w:rsidR="00FB2559" w:rsidRPr="00053012" w:rsidRDefault="00FB2559" w:rsidP="00FB2559">
            <w:pPr>
              <w:pStyle w:val="NoSpacing"/>
              <w:tabs>
                <w:tab w:val="left" w:pos="900"/>
              </w:tabs>
              <w:ind w:left="360"/>
              <w:jc w:val="both"/>
              <w:rPr>
                <w:rFonts w:cstheme="majorBidi"/>
              </w:rPr>
            </w:pPr>
          </w:p>
          <w:p w14:paraId="4AF96ACB" w14:textId="77777777" w:rsidR="00FB2559" w:rsidRPr="00053012" w:rsidRDefault="00FB2559" w:rsidP="00FB2559">
            <w:pPr>
              <w:pStyle w:val="NoSpacing"/>
              <w:numPr>
                <w:ilvl w:val="0"/>
                <w:numId w:val="36"/>
              </w:numPr>
              <w:tabs>
                <w:tab w:val="left" w:pos="900"/>
              </w:tabs>
              <w:ind w:left="360" w:firstLine="0"/>
              <w:jc w:val="both"/>
              <w:rPr>
                <w:rFonts w:cstheme="majorBidi"/>
              </w:rPr>
            </w:pPr>
            <w:bookmarkStart w:id="1" w:name="_Toc270954344"/>
            <w:bookmarkStart w:id="2" w:name="_Toc270954661"/>
            <w:bookmarkStart w:id="3" w:name="_bookmark9"/>
            <w:bookmarkEnd w:id="1"/>
            <w:bookmarkEnd w:id="2"/>
            <w:bookmarkEnd w:id="3"/>
            <w:r w:rsidRPr="00053012">
              <w:rPr>
                <w:rFonts w:cstheme="majorBidi"/>
              </w:rPr>
              <w:t xml:space="preserve">The applicable federal and governorate environmental and social management systems in Jordan, from a legal, regulatory, and institutional perspective, are considered to be generally appropriate and comprehensive. Therefore, no significant changes to the overall structure of these management systems are required or proposed. However, enforcement of the legal framework governing compliance on child protection, labor and environmental standards is weak. </w:t>
            </w:r>
          </w:p>
          <w:p w14:paraId="5D82C5C9" w14:textId="77777777" w:rsidR="00FB2559" w:rsidRPr="00053012" w:rsidRDefault="00FB2559" w:rsidP="00FB2559">
            <w:pPr>
              <w:pStyle w:val="NoSpacing"/>
              <w:tabs>
                <w:tab w:val="left" w:pos="900"/>
              </w:tabs>
              <w:jc w:val="both"/>
              <w:rPr>
                <w:rFonts w:cstheme="majorBidi"/>
              </w:rPr>
            </w:pPr>
          </w:p>
          <w:p w14:paraId="7CEA9A44" w14:textId="77777777" w:rsidR="00FB2559" w:rsidRPr="00053012" w:rsidRDefault="00FB2559" w:rsidP="00FB2559">
            <w:pPr>
              <w:pStyle w:val="NoSpacing"/>
              <w:numPr>
                <w:ilvl w:val="0"/>
                <w:numId w:val="36"/>
              </w:numPr>
              <w:tabs>
                <w:tab w:val="left" w:pos="900"/>
              </w:tabs>
              <w:ind w:left="360" w:firstLine="0"/>
              <w:jc w:val="both"/>
              <w:rPr>
                <w:rFonts w:cstheme="majorBidi"/>
                <w:b/>
              </w:rPr>
            </w:pPr>
            <w:r w:rsidRPr="00053012">
              <w:rPr>
                <w:rFonts w:cstheme="majorBidi"/>
              </w:rPr>
              <w:t>It is proposed that Jordan’s environmental and social management systems will be enhanced by: (</w:t>
            </w:r>
            <w:r>
              <w:rPr>
                <w:rFonts w:cstheme="majorBidi"/>
              </w:rPr>
              <w:t>a</w:t>
            </w:r>
            <w:r w:rsidRPr="00053012">
              <w:rPr>
                <w:rFonts w:cstheme="majorBidi"/>
              </w:rPr>
              <w:t>) strengthening the capacity of the MOE in land acquisition processes through recruitment of staff, development of standard procedures aligned with WB</w:t>
            </w:r>
            <w:r>
              <w:rPr>
                <w:rFonts w:cstheme="majorBidi"/>
              </w:rPr>
              <w:t xml:space="preserve"> standards, and training,</w:t>
            </w:r>
            <w:r w:rsidRPr="00053012">
              <w:rPr>
                <w:rFonts w:cstheme="majorBidi"/>
              </w:rPr>
              <w:t xml:space="preserve"> (</w:t>
            </w:r>
            <w:r>
              <w:rPr>
                <w:rFonts w:cstheme="majorBidi"/>
              </w:rPr>
              <w:t>b</w:t>
            </w:r>
            <w:r w:rsidRPr="00053012">
              <w:rPr>
                <w:rFonts w:cstheme="majorBidi"/>
              </w:rPr>
              <w:t>) implementing a socioemotional learning program to improve school environment and mi</w:t>
            </w:r>
            <w:r>
              <w:rPr>
                <w:rFonts w:cstheme="majorBidi"/>
              </w:rPr>
              <w:t>nimize violence,</w:t>
            </w:r>
            <w:r w:rsidRPr="00053012">
              <w:rPr>
                <w:rFonts w:cstheme="majorBidi"/>
              </w:rPr>
              <w:t xml:space="preserve"> (</w:t>
            </w:r>
            <w:r>
              <w:rPr>
                <w:rFonts w:cstheme="majorBidi"/>
              </w:rPr>
              <w:t>c</w:t>
            </w:r>
            <w:r w:rsidRPr="00053012">
              <w:rPr>
                <w:rFonts w:cstheme="majorBidi"/>
              </w:rPr>
              <w:t xml:space="preserve">) updating of Jordan school construction </w:t>
            </w:r>
            <w:r w:rsidRPr="00053012">
              <w:rPr>
                <w:rFonts w:cstheme="majorBidi"/>
              </w:rPr>
              <w:lastRenderedPageBreak/>
              <w:t>standards to emphasize design alternatives with low-to-no ma</w:t>
            </w:r>
            <w:r>
              <w:rPr>
                <w:rFonts w:cstheme="majorBidi"/>
              </w:rPr>
              <w:t>intenance costs,</w:t>
            </w:r>
            <w:r w:rsidRPr="00053012">
              <w:rPr>
                <w:rFonts w:cstheme="majorBidi"/>
              </w:rPr>
              <w:t xml:space="preserve"> and (</w:t>
            </w:r>
            <w:r>
              <w:rPr>
                <w:rFonts w:cstheme="majorBidi"/>
              </w:rPr>
              <w:t>d</w:t>
            </w:r>
            <w:r w:rsidRPr="00053012">
              <w:rPr>
                <w:rFonts w:cstheme="majorBidi"/>
              </w:rPr>
              <w:t>) piloting of private sector contracts for school operations and</w:t>
            </w:r>
            <w:r>
              <w:rPr>
                <w:rFonts w:cstheme="majorBidi"/>
              </w:rPr>
              <w:t xml:space="preserve"> maintenance, among others,</w:t>
            </w:r>
            <w:r w:rsidRPr="00053012">
              <w:rPr>
                <w:rFonts w:cstheme="majorBidi"/>
              </w:rPr>
              <w:t xml:space="preserve"> and (</w:t>
            </w:r>
            <w:r>
              <w:rPr>
                <w:rFonts w:cstheme="majorBidi"/>
              </w:rPr>
              <w:t>e</w:t>
            </w:r>
            <w:r w:rsidRPr="00053012">
              <w:rPr>
                <w:rFonts w:cstheme="majorBidi"/>
              </w:rPr>
              <w:t xml:space="preserve">) enhance the capacity of MOE staff and respective partners to mainstream gender in teacher training (KG-12 grade), and process of constructing and maintaining schools.   </w:t>
            </w:r>
          </w:p>
          <w:p w14:paraId="4F2D1245" w14:textId="77777777" w:rsidR="00FB2559" w:rsidRPr="00053012" w:rsidRDefault="00FB2559" w:rsidP="00FB2559">
            <w:pPr>
              <w:pStyle w:val="ListParagraph"/>
              <w:rPr>
                <w:rFonts w:cstheme="majorBidi"/>
                <w:b/>
              </w:rPr>
            </w:pPr>
          </w:p>
          <w:p w14:paraId="0F22CCBE" w14:textId="77777777" w:rsidR="00FB2559" w:rsidRPr="00053012" w:rsidRDefault="00FB2559" w:rsidP="00FB2559">
            <w:pPr>
              <w:pStyle w:val="NoSpacing"/>
              <w:numPr>
                <w:ilvl w:val="0"/>
                <w:numId w:val="36"/>
              </w:numPr>
              <w:tabs>
                <w:tab w:val="left" w:pos="900"/>
              </w:tabs>
              <w:ind w:left="360" w:firstLine="0"/>
              <w:jc w:val="both"/>
              <w:rPr>
                <w:rFonts w:cstheme="majorBidi"/>
              </w:rPr>
            </w:pPr>
            <w:r w:rsidRPr="00053012">
              <w:rPr>
                <w:rFonts w:cstheme="majorBidi"/>
                <w:b/>
                <w:bCs/>
                <w:i/>
                <w:iCs/>
              </w:rPr>
              <w:t>Gender assessment.</w:t>
            </w:r>
            <w:r w:rsidRPr="00053012">
              <w:rPr>
                <w:rFonts w:cstheme="majorBidi"/>
              </w:rPr>
              <w:t xml:space="preserve"> Gender inequalities and gaps in educational system are qualitative in nature</w:t>
            </w:r>
            <w:r>
              <w:rPr>
                <w:rFonts w:cstheme="majorBidi"/>
              </w:rPr>
              <w:t>.</w:t>
            </w:r>
            <w:r w:rsidRPr="00053012">
              <w:rPr>
                <w:rFonts w:cstheme="majorBidi"/>
              </w:rPr>
              <w:t xml:space="preserve"> Gender issues within the educational system are multifaceted and integral to the Ministry’s overall operation.  Enrollment rates in primary education for girls and boys is almost equal.  However, the learning environment, curricula, teaching methods, physical environment, and management systems continue to reinforce the socially ascribed and stereotyped gender roles. Differences in the education system are visible in enrollment rates in secondary school, the performance and achievement of girls and boys and their teachers.  Girls achieve better results than boys while boys dropout </w:t>
            </w:r>
            <w:r>
              <w:rPr>
                <w:rFonts w:cstheme="majorBidi"/>
              </w:rPr>
              <w:t>rates in</w:t>
            </w:r>
            <w:r w:rsidRPr="00053012">
              <w:rPr>
                <w:rFonts w:cstheme="majorBidi"/>
              </w:rPr>
              <w:t xml:space="preserve"> secondary school is higher than girls.  Inadequate teacher accountability and qualification, lack of ownership of learning process and focus on rote learning have contributed to disengaging the students, girls and boys, from the learning process. Violence towards students and among students (bullying), especially boys, is yet another factor that leads to low attainment and drop out.  In rural areas drop out is also associated with the distance of secondary school from the student residence.  In addition, economic fragility and increased inflation has led families to force and or encourage children to leave school and as a result, rates of child labor, early marriages and violence have increased.  </w:t>
            </w:r>
          </w:p>
          <w:p w14:paraId="4515492C" w14:textId="77777777" w:rsidR="00FB2559" w:rsidRPr="00053012" w:rsidRDefault="00FB2559" w:rsidP="00FB2559">
            <w:pPr>
              <w:pStyle w:val="NoSpacing"/>
              <w:tabs>
                <w:tab w:val="left" w:pos="900"/>
              </w:tabs>
              <w:ind w:left="360"/>
              <w:jc w:val="both"/>
              <w:rPr>
                <w:rFonts w:cstheme="majorBidi"/>
              </w:rPr>
            </w:pPr>
          </w:p>
          <w:p w14:paraId="5CA50702" w14:textId="77777777" w:rsidR="00FB2559" w:rsidRPr="00053012" w:rsidRDefault="00FB2559" w:rsidP="00FB2559">
            <w:pPr>
              <w:pStyle w:val="NoSpacing"/>
              <w:numPr>
                <w:ilvl w:val="0"/>
                <w:numId w:val="36"/>
              </w:numPr>
              <w:tabs>
                <w:tab w:val="left" w:pos="900"/>
              </w:tabs>
              <w:ind w:left="360" w:firstLine="0"/>
              <w:jc w:val="both"/>
              <w:rPr>
                <w:rFonts w:cstheme="majorBidi"/>
              </w:rPr>
            </w:pPr>
            <w:r w:rsidRPr="00053012">
              <w:rPr>
                <w:rFonts w:cstheme="majorBidi"/>
              </w:rPr>
              <w:t>To minimize and mitigate these risks, the Program will contribute to strengthening MOE’s Gender Unit by mainstreaming gender through various activities including: (</w:t>
            </w:r>
            <w:r>
              <w:rPr>
                <w:rFonts w:cstheme="majorBidi"/>
              </w:rPr>
              <w:t>a</w:t>
            </w:r>
            <w:r w:rsidRPr="00053012">
              <w:rPr>
                <w:rFonts w:cstheme="majorBidi"/>
              </w:rPr>
              <w:t>) investing in training and certification of teachers that introduce on gender-specific modules, (</w:t>
            </w:r>
            <w:r>
              <w:rPr>
                <w:rFonts w:cstheme="majorBidi"/>
              </w:rPr>
              <w:t>b</w:t>
            </w:r>
            <w:r w:rsidRPr="00053012">
              <w:rPr>
                <w:rFonts w:cstheme="majorBidi"/>
              </w:rPr>
              <w:t>) introducing a socioemotional learning intervention which will, among others, address issues of gender-based violence and discrimination, integrating gender considerations and specificities in handling cases of violence; (</w:t>
            </w:r>
            <w:r>
              <w:rPr>
                <w:rFonts w:cstheme="majorBidi"/>
              </w:rPr>
              <w:t>c</w:t>
            </w:r>
            <w:r w:rsidRPr="00053012">
              <w:rPr>
                <w:rFonts w:cstheme="majorBidi"/>
              </w:rPr>
              <w:t>) capacity building to the gender unit, and (</w:t>
            </w:r>
            <w:r>
              <w:rPr>
                <w:rFonts w:cstheme="majorBidi"/>
              </w:rPr>
              <w:t>d</w:t>
            </w:r>
            <w:r w:rsidRPr="00053012">
              <w:rPr>
                <w:rFonts w:cstheme="majorBidi"/>
              </w:rPr>
              <w:t>) tailoring student assessments to analyze for potential differences in attainment and performance of girls and boys.</w:t>
            </w:r>
          </w:p>
          <w:p w14:paraId="420AB264" w14:textId="77777777" w:rsidR="00FB2559" w:rsidRPr="00053012" w:rsidRDefault="00FB2559" w:rsidP="00FB2559">
            <w:pPr>
              <w:pStyle w:val="NoSpacing"/>
              <w:rPr>
                <w:rFonts w:cstheme="majorBidi"/>
              </w:rPr>
            </w:pPr>
          </w:p>
          <w:p w14:paraId="2F6A77ED" w14:textId="77777777" w:rsidR="00FB2559" w:rsidRPr="00053012" w:rsidRDefault="00FB2559" w:rsidP="00FB2559">
            <w:pPr>
              <w:pStyle w:val="NoSpacing"/>
              <w:numPr>
                <w:ilvl w:val="0"/>
                <w:numId w:val="36"/>
              </w:numPr>
              <w:tabs>
                <w:tab w:val="left" w:pos="900"/>
              </w:tabs>
              <w:ind w:left="360" w:firstLine="0"/>
              <w:jc w:val="both"/>
              <w:rPr>
                <w:rFonts w:cstheme="majorBidi"/>
              </w:rPr>
            </w:pPr>
            <w:r w:rsidRPr="00053012">
              <w:rPr>
                <w:rFonts w:cstheme="majorBidi"/>
              </w:rPr>
              <w:t xml:space="preserve">Communities and individuals who believe that they are adversely affected as a result of a Bank supported PforR operation, as defined by the applicable policy and procedures, may submit complaints to the existing program grievance redress mechanism or the WB’s Grievance Redress Service (GRS). The GRS ensures that complaints received are promptly reviewed in order to address pertinent concerns. Affected communities and individuals may submit their complaint to the WB’s independent Inspection Panel which determines whether </w:t>
            </w:r>
            <w:r w:rsidRPr="00053012">
              <w:rPr>
                <w:rFonts w:cstheme="majorBidi"/>
              </w:rPr>
              <w:lastRenderedPageBreak/>
              <w:t>harm occurred, or could occur, as a result of WB non-compliance with its policies and procedures. Complaints may be submitted at any time after concerns have been brought directly to the WB's attention, and Bank Management has been given an opportunity to respond.  For information on how to submit complaints to the WB’s corporate Grievance Redress Service (GRS), please visit</w:t>
            </w:r>
            <w:r w:rsidRPr="00053012">
              <w:rPr>
                <w:rFonts w:cstheme="majorBidi"/>
                <w:iCs/>
              </w:rPr>
              <w:t xml:space="preserve"> </w:t>
            </w:r>
            <w:hyperlink r:id="rId12" w:history="1">
              <w:r w:rsidRPr="00053012">
                <w:rPr>
                  <w:rFonts w:cstheme="majorBidi"/>
                  <w:iCs/>
                  <w:u w:val="single"/>
                </w:rPr>
                <w:t>http://www.worldbank.org/GRS</w:t>
              </w:r>
            </w:hyperlink>
            <w:r w:rsidRPr="00053012">
              <w:rPr>
                <w:rFonts w:cstheme="majorBidi"/>
                <w:iCs/>
                <w:u w:val="single"/>
              </w:rPr>
              <w:t xml:space="preserve">. </w:t>
            </w:r>
            <w:r w:rsidRPr="00053012">
              <w:rPr>
                <w:rFonts w:cstheme="majorBidi"/>
                <w:iCs/>
              </w:rPr>
              <w:t xml:space="preserve">For information on how to submit complaints to the WB Inspection Panel, please visit </w:t>
            </w:r>
            <w:hyperlink r:id="rId13" w:history="1">
              <w:r w:rsidRPr="00053012">
                <w:rPr>
                  <w:rFonts w:cstheme="majorBidi"/>
                  <w:iCs/>
                  <w:u w:val="single"/>
                </w:rPr>
                <w:t>www.inspectionpanel.org</w:t>
              </w:r>
            </w:hyperlink>
            <w:r w:rsidRPr="00053012">
              <w:rPr>
                <w:rFonts w:cstheme="majorBidi"/>
                <w:iCs/>
                <w:u w:val="single"/>
              </w:rPr>
              <w:t>.</w:t>
            </w:r>
          </w:p>
          <w:p w14:paraId="3C86FC69" w14:textId="12F9C0CE" w:rsidR="001321D1" w:rsidRDefault="001321D1" w:rsidP="001321D1">
            <w:pPr>
              <w:pStyle w:val="NoSpacing"/>
              <w:tabs>
                <w:tab w:val="left" w:pos="900"/>
              </w:tabs>
              <w:ind w:left="340"/>
              <w:jc w:val="both"/>
              <w:rPr>
                <w:rFonts w:cstheme="majorBidi"/>
              </w:rPr>
            </w:pPr>
          </w:p>
          <w:p w14:paraId="12665B88" w14:textId="5015E01A" w:rsidR="005172A3" w:rsidRDefault="005172A3" w:rsidP="001321D1">
            <w:pPr>
              <w:pStyle w:val="NoSpacing"/>
              <w:tabs>
                <w:tab w:val="left" w:pos="900"/>
              </w:tabs>
              <w:ind w:left="340"/>
              <w:jc w:val="both"/>
              <w:rPr>
                <w:rFonts w:cstheme="majorBidi"/>
              </w:rPr>
            </w:pPr>
          </w:p>
          <w:p w14:paraId="72432C65" w14:textId="4690DBC3" w:rsidR="005172A3" w:rsidRDefault="005172A3" w:rsidP="001321D1">
            <w:pPr>
              <w:pStyle w:val="NoSpacing"/>
              <w:tabs>
                <w:tab w:val="left" w:pos="900"/>
              </w:tabs>
              <w:ind w:left="340"/>
              <w:jc w:val="both"/>
              <w:rPr>
                <w:rFonts w:cstheme="majorBidi"/>
              </w:rPr>
            </w:pPr>
          </w:p>
          <w:p w14:paraId="3E4B947E" w14:textId="4E58D572" w:rsidR="005172A3" w:rsidRDefault="005172A3" w:rsidP="001321D1">
            <w:pPr>
              <w:pStyle w:val="NoSpacing"/>
              <w:tabs>
                <w:tab w:val="left" w:pos="900"/>
              </w:tabs>
              <w:ind w:left="340"/>
              <w:jc w:val="both"/>
              <w:rPr>
                <w:rFonts w:cstheme="majorBidi"/>
              </w:rPr>
            </w:pPr>
          </w:p>
          <w:p w14:paraId="41016742" w14:textId="62533975" w:rsidR="005172A3" w:rsidRDefault="005172A3" w:rsidP="001321D1">
            <w:pPr>
              <w:pStyle w:val="NoSpacing"/>
              <w:tabs>
                <w:tab w:val="left" w:pos="900"/>
              </w:tabs>
              <w:ind w:left="340"/>
              <w:jc w:val="both"/>
              <w:rPr>
                <w:rFonts w:cstheme="majorBidi"/>
              </w:rPr>
            </w:pPr>
          </w:p>
          <w:p w14:paraId="2DD01E17" w14:textId="41E9B70E" w:rsidR="005172A3" w:rsidRDefault="005172A3" w:rsidP="001321D1">
            <w:pPr>
              <w:pStyle w:val="NoSpacing"/>
              <w:tabs>
                <w:tab w:val="left" w:pos="900"/>
              </w:tabs>
              <w:ind w:left="340"/>
              <w:jc w:val="both"/>
              <w:rPr>
                <w:rFonts w:cstheme="majorBidi"/>
              </w:rPr>
            </w:pPr>
          </w:p>
          <w:p w14:paraId="3E205DBE" w14:textId="6E2FBB83" w:rsidR="005172A3" w:rsidRDefault="005172A3" w:rsidP="001321D1">
            <w:pPr>
              <w:pStyle w:val="NoSpacing"/>
              <w:tabs>
                <w:tab w:val="left" w:pos="900"/>
              </w:tabs>
              <w:ind w:left="340"/>
              <w:jc w:val="both"/>
              <w:rPr>
                <w:rFonts w:cstheme="majorBidi"/>
              </w:rPr>
            </w:pPr>
          </w:p>
          <w:p w14:paraId="3839833B" w14:textId="02EA8114" w:rsidR="005172A3" w:rsidRDefault="005172A3" w:rsidP="001321D1">
            <w:pPr>
              <w:pStyle w:val="NoSpacing"/>
              <w:tabs>
                <w:tab w:val="left" w:pos="900"/>
              </w:tabs>
              <w:ind w:left="340"/>
              <w:jc w:val="both"/>
              <w:rPr>
                <w:rFonts w:cstheme="majorBidi"/>
              </w:rPr>
            </w:pPr>
          </w:p>
          <w:p w14:paraId="79669223" w14:textId="76E1D540" w:rsidR="005172A3" w:rsidRDefault="005172A3" w:rsidP="001321D1">
            <w:pPr>
              <w:pStyle w:val="NoSpacing"/>
              <w:tabs>
                <w:tab w:val="left" w:pos="900"/>
              </w:tabs>
              <w:ind w:left="340"/>
              <w:jc w:val="both"/>
              <w:rPr>
                <w:rFonts w:cstheme="majorBidi"/>
              </w:rPr>
            </w:pPr>
          </w:p>
          <w:p w14:paraId="7B8A9638" w14:textId="77777777" w:rsidR="008E3772" w:rsidRPr="008F4E27" w:rsidRDefault="008E3772" w:rsidP="001321D1">
            <w:pPr>
              <w:pStyle w:val="NoSpacing"/>
              <w:numPr>
                <w:ilvl w:val="0"/>
                <w:numId w:val="45"/>
              </w:numPr>
              <w:rPr>
                <w:rFonts w:cstheme="minorHAnsi"/>
                <w:b/>
              </w:rPr>
            </w:pPr>
            <w:r w:rsidRPr="008F4E27">
              <w:rPr>
                <w:rFonts w:cstheme="minorHAnsi"/>
                <w:b/>
              </w:rPr>
              <w:t>Financing</w:t>
            </w:r>
          </w:p>
          <w:p w14:paraId="0EB1E206" w14:textId="56E1298E" w:rsidR="008E3772" w:rsidRPr="008F4E27" w:rsidRDefault="008E3772" w:rsidP="001321D1">
            <w:pPr>
              <w:ind w:left="340" w:firstLine="720"/>
              <w:rPr>
                <w:rFonts w:asciiTheme="minorHAnsi" w:hAnsiTheme="minorHAnsi" w:cstheme="minorHAnsi"/>
                <w:i/>
                <w:sz w:val="22"/>
                <w:szCs w:val="22"/>
              </w:rPr>
            </w:pPr>
          </w:p>
          <w:tbl>
            <w:tblPr>
              <w:tblW w:w="9468" w:type="dxa"/>
              <w:tblInd w:w="753" w:type="dxa"/>
              <w:tblLook w:val="0000" w:firstRow="0" w:lastRow="0" w:firstColumn="0" w:lastColumn="0" w:noHBand="0" w:noVBand="0"/>
            </w:tblPr>
            <w:tblGrid>
              <w:gridCol w:w="7488"/>
              <w:gridCol w:w="1980"/>
            </w:tblGrid>
            <w:tr w:rsidR="008E3772" w:rsidRPr="008F4E27" w14:paraId="4AF1D6EA" w14:textId="77777777" w:rsidTr="003634BB">
              <w:tc>
                <w:tcPr>
                  <w:tcW w:w="7488" w:type="dxa"/>
                </w:tcPr>
                <w:p w14:paraId="5938C76F" w14:textId="77777777" w:rsidR="008E3772" w:rsidRPr="008F4E27" w:rsidRDefault="008E3772" w:rsidP="001321D1">
                  <w:pPr>
                    <w:ind w:left="340"/>
                    <w:rPr>
                      <w:rFonts w:asciiTheme="minorHAnsi" w:hAnsiTheme="minorHAnsi" w:cstheme="minorHAnsi"/>
                      <w:sz w:val="22"/>
                      <w:szCs w:val="22"/>
                    </w:rPr>
                  </w:pPr>
                </w:p>
              </w:tc>
              <w:tc>
                <w:tcPr>
                  <w:tcW w:w="1980" w:type="dxa"/>
                </w:tcPr>
                <w:p w14:paraId="7247E38F" w14:textId="77777777" w:rsidR="008E3772" w:rsidRPr="008F4E27" w:rsidRDefault="008E3772" w:rsidP="001321D1">
                  <w:pPr>
                    <w:tabs>
                      <w:tab w:val="decimal" w:pos="252"/>
                    </w:tabs>
                    <w:ind w:left="340"/>
                    <w:rPr>
                      <w:rFonts w:asciiTheme="minorHAnsi" w:hAnsiTheme="minorHAnsi" w:cstheme="minorHAnsi"/>
                      <w:sz w:val="22"/>
                      <w:szCs w:val="22"/>
                    </w:rPr>
                  </w:pPr>
                </w:p>
              </w:tc>
            </w:tr>
            <w:tr w:rsidR="008E3772" w:rsidRPr="008F4E27" w14:paraId="76B510B9" w14:textId="77777777" w:rsidTr="003634BB">
              <w:tc>
                <w:tcPr>
                  <w:tcW w:w="7488" w:type="dxa"/>
                </w:tcPr>
                <w:tbl>
                  <w:tblPr>
                    <w:tblStyle w:val="TableGrid"/>
                    <w:tblW w:w="0" w:type="auto"/>
                    <w:tblInd w:w="360" w:type="dxa"/>
                    <w:tblLook w:val="04A0" w:firstRow="1" w:lastRow="0" w:firstColumn="1" w:lastColumn="0" w:noHBand="0" w:noVBand="1"/>
                  </w:tblPr>
                  <w:tblGrid>
                    <w:gridCol w:w="2688"/>
                    <w:gridCol w:w="2005"/>
                    <w:gridCol w:w="2209"/>
                  </w:tblGrid>
                  <w:tr w:rsidR="00A5611A" w:rsidRPr="00053012" w14:paraId="175E4B2B" w14:textId="77777777" w:rsidTr="00C86D03">
                    <w:tc>
                      <w:tcPr>
                        <w:tcW w:w="3415" w:type="dxa"/>
                        <w:shd w:val="clear" w:color="auto" w:fill="DBE5F1" w:themeFill="accent1" w:themeFillTint="33"/>
                      </w:tcPr>
                      <w:p w14:paraId="18FB5045" w14:textId="77777777" w:rsidR="00A5611A" w:rsidRPr="00053012" w:rsidRDefault="00A5611A" w:rsidP="001321D1">
                        <w:pPr>
                          <w:pStyle w:val="NoSpacing"/>
                          <w:ind w:left="340"/>
                          <w:jc w:val="center"/>
                          <w:rPr>
                            <w:rFonts w:cstheme="majorBidi"/>
                            <w:b/>
                          </w:rPr>
                        </w:pPr>
                        <w:r w:rsidRPr="00053012">
                          <w:rPr>
                            <w:rFonts w:cstheme="majorBidi"/>
                            <w:b/>
                          </w:rPr>
                          <w:t>Source</w:t>
                        </w:r>
                        <w:r w:rsidRPr="00053012">
                          <w:rPr>
                            <w:rFonts w:cstheme="majorBidi"/>
                            <w:b/>
                          </w:rPr>
                          <w:tab/>
                        </w:r>
                      </w:p>
                    </w:tc>
                    <w:tc>
                      <w:tcPr>
                        <w:tcW w:w="2520" w:type="dxa"/>
                        <w:shd w:val="clear" w:color="auto" w:fill="DBE5F1" w:themeFill="accent1" w:themeFillTint="33"/>
                      </w:tcPr>
                      <w:p w14:paraId="7C4317B1" w14:textId="7ECE4260" w:rsidR="00A5611A" w:rsidRPr="00053012" w:rsidRDefault="00A5611A" w:rsidP="001321D1">
                        <w:pPr>
                          <w:pStyle w:val="NoSpacing"/>
                          <w:ind w:left="340"/>
                          <w:jc w:val="center"/>
                          <w:rPr>
                            <w:rFonts w:cstheme="majorBidi"/>
                            <w:b/>
                          </w:rPr>
                        </w:pPr>
                        <w:r w:rsidRPr="00053012">
                          <w:rPr>
                            <w:rFonts w:cstheme="majorBidi"/>
                            <w:b/>
                          </w:rPr>
                          <w:t>Amount</w:t>
                        </w:r>
                        <w:r w:rsidR="001B25E0">
                          <w:rPr>
                            <w:rFonts w:cstheme="majorBidi"/>
                            <w:b/>
                          </w:rPr>
                          <w:t xml:space="preserve"> (US$ million)</w:t>
                        </w:r>
                      </w:p>
                    </w:tc>
                    <w:tc>
                      <w:tcPr>
                        <w:tcW w:w="3055" w:type="dxa"/>
                        <w:shd w:val="clear" w:color="auto" w:fill="DBE5F1" w:themeFill="accent1" w:themeFillTint="33"/>
                      </w:tcPr>
                      <w:p w14:paraId="34F0DD15" w14:textId="77777777" w:rsidR="00A5611A" w:rsidRPr="00053012" w:rsidRDefault="00A5611A" w:rsidP="001321D1">
                        <w:pPr>
                          <w:pStyle w:val="NoSpacing"/>
                          <w:ind w:left="340"/>
                          <w:jc w:val="center"/>
                          <w:rPr>
                            <w:rFonts w:cstheme="majorBidi"/>
                            <w:b/>
                          </w:rPr>
                        </w:pPr>
                        <w:r w:rsidRPr="00053012">
                          <w:rPr>
                            <w:rFonts w:cstheme="majorBidi"/>
                            <w:b/>
                          </w:rPr>
                          <w:t>% of Total</w:t>
                        </w:r>
                      </w:p>
                    </w:tc>
                  </w:tr>
                  <w:tr w:rsidR="00A5611A" w:rsidRPr="00053012" w14:paraId="1D1409F4" w14:textId="77777777" w:rsidTr="00C86D03">
                    <w:tc>
                      <w:tcPr>
                        <w:tcW w:w="3415" w:type="dxa"/>
                      </w:tcPr>
                      <w:p w14:paraId="1776709D" w14:textId="77777777" w:rsidR="00A5611A" w:rsidRPr="00053012" w:rsidRDefault="00A5611A" w:rsidP="001321D1">
                        <w:pPr>
                          <w:pStyle w:val="NoSpacing"/>
                          <w:ind w:left="340"/>
                          <w:jc w:val="both"/>
                          <w:rPr>
                            <w:rFonts w:cstheme="majorBidi"/>
                            <w:b/>
                            <w:bCs/>
                          </w:rPr>
                        </w:pPr>
                        <w:r w:rsidRPr="00053012">
                          <w:rPr>
                            <w:rFonts w:cstheme="majorBidi"/>
                            <w:b/>
                            <w:bCs/>
                          </w:rPr>
                          <w:t>Total Operation Cost</w:t>
                        </w:r>
                      </w:p>
                    </w:tc>
                    <w:tc>
                      <w:tcPr>
                        <w:tcW w:w="2520" w:type="dxa"/>
                      </w:tcPr>
                      <w:p w14:paraId="35CAEF28" w14:textId="6A6CF530" w:rsidR="00A5611A" w:rsidRPr="00053012" w:rsidRDefault="00A5611A" w:rsidP="001321D1">
                        <w:pPr>
                          <w:pStyle w:val="NoSpacing"/>
                          <w:tabs>
                            <w:tab w:val="decimal" w:pos="610"/>
                          </w:tabs>
                          <w:ind w:left="340"/>
                          <w:jc w:val="center"/>
                          <w:rPr>
                            <w:rFonts w:cstheme="majorBidi"/>
                            <w:b/>
                          </w:rPr>
                        </w:pPr>
                        <w:r w:rsidRPr="00053012">
                          <w:rPr>
                            <w:rFonts w:cstheme="majorBidi"/>
                            <w:b/>
                          </w:rPr>
                          <w:t>70</w:t>
                        </w:r>
                        <w:r w:rsidR="004B5DCF">
                          <w:rPr>
                            <w:rFonts w:cstheme="majorBidi"/>
                            <w:b/>
                          </w:rPr>
                          <w:t>0</w:t>
                        </w:r>
                        <w:r w:rsidRPr="00053012">
                          <w:rPr>
                            <w:rFonts w:cstheme="majorBidi"/>
                            <w:b/>
                          </w:rPr>
                          <w:t>.0</w:t>
                        </w:r>
                      </w:p>
                    </w:tc>
                    <w:tc>
                      <w:tcPr>
                        <w:tcW w:w="3055" w:type="dxa"/>
                      </w:tcPr>
                      <w:p w14:paraId="4545AD3E" w14:textId="77777777" w:rsidR="00A5611A" w:rsidRPr="00053012" w:rsidRDefault="00A5611A" w:rsidP="001321D1">
                        <w:pPr>
                          <w:pStyle w:val="NoSpacing"/>
                          <w:ind w:left="340"/>
                          <w:jc w:val="center"/>
                          <w:rPr>
                            <w:rFonts w:cstheme="majorBidi"/>
                            <w:b/>
                          </w:rPr>
                        </w:pPr>
                        <w:r w:rsidRPr="00053012">
                          <w:rPr>
                            <w:rFonts w:cstheme="majorBidi"/>
                            <w:b/>
                          </w:rPr>
                          <w:t>-</w:t>
                        </w:r>
                      </w:p>
                    </w:tc>
                  </w:tr>
                  <w:tr w:rsidR="00A5611A" w:rsidRPr="00053012" w14:paraId="5443E89D" w14:textId="77777777" w:rsidTr="00C86D03">
                    <w:tc>
                      <w:tcPr>
                        <w:tcW w:w="3415" w:type="dxa"/>
                      </w:tcPr>
                      <w:p w14:paraId="24CE94BB" w14:textId="77777777" w:rsidR="00A5611A" w:rsidRPr="00053012" w:rsidRDefault="00A5611A" w:rsidP="001321D1">
                        <w:pPr>
                          <w:pStyle w:val="NoSpacing"/>
                          <w:ind w:left="340"/>
                          <w:jc w:val="both"/>
                          <w:rPr>
                            <w:rFonts w:cstheme="majorBidi"/>
                          </w:rPr>
                        </w:pPr>
                        <w:r w:rsidRPr="00053012">
                          <w:rPr>
                            <w:rFonts w:cstheme="majorBidi"/>
                          </w:rPr>
                          <w:t>Total Program Cost</w:t>
                        </w:r>
                      </w:p>
                    </w:tc>
                    <w:tc>
                      <w:tcPr>
                        <w:tcW w:w="2520" w:type="dxa"/>
                      </w:tcPr>
                      <w:p w14:paraId="242CA187" w14:textId="63542C91" w:rsidR="00A5611A" w:rsidRPr="00053012" w:rsidRDefault="004B5DCF" w:rsidP="001321D1">
                        <w:pPr>
                          <w:pStyle w:val="NoSpacing"/>
                          <w:tabs>
                            <w:tab w:val="decimal" w:pos="610"/>
                          </w:tabs>
                          <w:ind w:left="340"/>
                          <w:jc w:val="center"/>
                          <w:rPr>
                            <w:rFonts w:cstheme="majorBidi"/>
                            <w:bCs/>
                          </w:rPr>
                        </w:pPr>
                        <w:r>
                          <w:rPr>
                            <w:rFonts w:cstheme="majorBidi"/>
                            <w:bCs/>
                          </w:rPr>
                          <w:t>692</w:t>
                        </w:r>
                        <w:r w:rsidR="00A5611A" w:rsidRPr="00053012">
                          <w:rPr>
                            <w:rFonts w:cstheme="majorBidi"/>
                            <w:bCs/>
                          </w:rPr>
                          <w:t>.0</w:t>
                        </w:r>
                      </w:p>
                    </w:tc>
                    <w:tc>
                      <w:tcPr>
                        <w:tcW w:w="3055" w:type="dxa"/>
                      </w:tcPr>
                      <w:p w14:paraId="5F3D787B" w14:textId="77777777" w:rsidR="00A5611A" w:rsidRPr="00053012" w:rsidRDefault="00A5611A" w:rsidP="001321D1">
                        <w:pPr>
                          <w:pStyle w:val="NoSpacing"/>
                          <w:ind w:left="340"/>
                          <w:jc w:val="center"/>
                          <w:rPr>
                            <w:rFonts w:cstheme="majorBidi"/>
                            <w:bCs/>
                          </w:rPr>
                        </w:pPr>
                        <w:r w:rsidRPr="00053012">
                          <w:rPr>
                            <w:rFonts w:cstheme="majorBidi"/>
                            <w:bCs/>
                          </w:rPr>
                          <w:t>100%</w:t>
                        </w:r>
                      </w:p>
                    </w:tc>
                  </w:tr>
                  <w:tr w:rsidR="00A5611A" w:rsidRPr="00053012" w14:paraId="6AAF61F2" w14:textId="77777777" w:rsidTr="00C86D03">
                    <w:tc>
                      <w:tcPr>
                        <w:tcW w:w="3415" w:type="dxa"/>
                      </w:tcPr>
                      <w:p w14:paraId="4C3FB862" w14:textId="77777777" w:rsidR="00A5611A" w:rsidRPr="00053012" w:rsidRDefault="00A5611A" w:rsidP="001321D1">
                        <w:pPr>
                          <w:pStyle w:val="NoSpacing"/>
                          <w:ind w:left="340"/>
                          <w:jc w:val="both"/>
                          <w:rPr>
                            <w:rFonts w:cstheme="majorBidi"/>
                          </w:rPr>
                        </w:pPr>
                        <w:r w:rsidRPr="00053012">
                          <w:rPr>
                            <w:rFonts w:cstheme="majorBidi"/>
                          </w:rPr>
                          <w:t>TA IPF Component Cost</w:t>
                        </w:r>
                      </w:p>
                    </w:tc>
                    <w:tc>
                      <w:tcPr>
                        <w:tcW w:w="2520" w:type="dxa"/>
                      </w:tcPr>
                      <w:p w14:paraId="43917047" w14:textId="77777777" w:rsidR="00A5611A" w:rsidRPr="00053012" w:rsidRDefault="00A5611A" w:rsidP="001321D1">
                        <w:pPr>
                          <w:pStyle w:val="NoSpacing"/>
                          <w:tabs>
                            <w:tab w:val="decimal" w:pos="610"/>
                          </w:tabs>
                          <w:ind w:left="340"/>
                          <w:jc w:val="center"/>
                          <w:rPr>
                            <w:rFonts w:cstheme="majorBidi"/>
                            <w:bCs/>
                          </w:rPr>
                        </w:pPr>
                        <w:r>
                          <w:rPr>
                            <w:rFonts w:cstheme="majorBidi"/>
                            <w:bCs/>
                          </w:rPr>
                          <w:t>8</w:t>
                        </w:r>
                        <w:r w:rsidRPr="00053012">
                          <w:rPr>
                            <w:rFonts w:cstheme="majorBidi"/>
                            <w:bCs/>
                          </w:rPr>
                          <w:t>.0</w:t>
                        </w:r>
                      </w:p>
                    </w:tc>
                    <w:tc>
                      <w:tcPr>
                        <w:tcW w:w="3055" w:type="dxa"/>
                      </w:tcPr>
                      <w:p w14:paraId="3D8D241E" w14:textId="77777777" w:rsidR="00A5611A" w:rsidRPr="00053012" w:rsidRDefault="00A5611A" w:rsidP="001321D1">
                        <w:pPr>
                          <w:pStyle w:val="NoSpacing"/>
                          <w:ind w:left="340"/>
                          <w:jc w:val="center"/>
                          <w:rPr>
                            <w:rFonts w:cstheme="majorBidi"/>
                            <w:bCs/>
                          </w:rPr>
                        </w:pPr>
                        <w:r w:rsidRPr="00053012">
                          <w:rPr>
                            <w:rFonts w:cstheme="majorBidi"/>
                            <w:bCs/>
                          </w:rPr>
                          <w:t>-</w:t>
                        </w:r>
                      </w:p>
                    </w:tc>
                  </w:tr>
                  <w:tr w:rsidR="00A5611A" w:rsidRPr="00053012" w14:paraId="41F2FADD" w14:textId="77777777" w:rsidTr="00C86D03">
                    <w:tc>
                      <w:tcPr>
                        <w:tcW w:w="3415" w:type="dxa"/>
                      </w:tcPr>
                      <w:p w14:paraId="654D72F4" w14:textId="77777777" w:rsidR="00A5611A" w:rsidRPr="00053012" w:rsidRDefault="00A5611A" w:rsidP="001321D1">
                        <w:pPr>
                          <w:pStyle w:val="NoSpacing"/>
                          <w:ind w:left="340"/>
                          <w:jc w:val="both"/>
                          <w:rPr>
                            <w:rFonts w:cstheme="majorBidi"/>
                          </w:rPr>
                        </w:pPr>
                        <w:r w:rsidRPr="00053012">
                          <w:rPr>
                            <w:rFonts w:cstheme="majorBidi"/>
                            <w:b/>
                          </w:rPr>
                          <w:t>Total Program Financing</w:t>
                        </w:r>
                      </w:p>
                    </w:tc>
                    <w:tc>
                      <w:tcPr>
                        <w:tcW w:w="2520" w:type="dxa"/>
                      </w:tcPr>
                      <w:p w14:paraId="673FE603" w14:textId="01DAE47D" w:rsidR="00A5611A" w:rsidRPr="00053012" w:rsidRDefault="00A5611A" w:rsidP="001321D1">
                        <w:pPr>
                          <w:pStyle w:val="NoSpacing"/>
                          <w:tabs>
                            <w:tab w:val="decimal" w:pos="610"/>
                          </w:tabs>
                          <w:ind w:left="340"/>
                          <w:jc w:val="center"/>
                          <w:rPr>
                            <w:rFonts w:cstheme="majorBidi"/>
                            <w:b/>
                          </w:rPr>
                        </w:pPr>
                        <w:r w:rsidRPr="00053012">
                          <w:rPr>
                            <w:rFonts w:cstheme="majorBidi"/>
                            <w:b/>
                          </w:rPr>
                          <w:t>70</w:t>
                        </w:r>
                        <w:r w:rsidR="005172A3">
                          <w:rPr>
                            <w:rFonts w:cstheme="majorBidi"/>
                            <w:b/>
                          </w:rPr>
                          <w:t>0</w:t>
                        </w:r>
                        <w:r w:rsidRPr="00053012">
                          <w:rPr>
                            <w:rFonts w:cstheme="majorBidi"/>
                            <w:b/>
                          </w:rPr>
                          <w:t>.0</w:t>
                        </w:r>
                      </w:p>
                    </w:tc>
                    <w:tc>
                      <w:tcPr>
                        <w:tcW w:w="3055" w:type="dxa"/>
                      </w:tcPr>
                      <w:p w14:paraId="1967E619" w14:textId="77777777" w:rsidR="00A5611A" w:rsidRPr="00053012" w:rsidRDefault="00A5611A" w:rsidP="001321D1">
                        <w:pPr>
                          <w:pStyle w:val="NoSpacing"/>
                          <w:ind w:left="340"/>
                          <w:jc w:val="center"/>
                          <w:rPr>
                            <w:rFonts w:cstheme="majorBidi"/>
                            <w:b/>
                          </w:rPr>
                        </w:pPr>
                        <w:r w:rsidRPr="00053012">
                          <w:rPr>
                            <w:rFonts w:cstheme="majorBidi"/>
                            <w:b/>
                          </w:rPr>
                          <w:t>100%</w:t>
                        </w:r>
                      </w:p>
                    </w:tc>
                  </w:tr>
                  <w:tr w:rsidR="00A5611A" w:rsidRPr="00053012" w14:paraId="06915C67" w14:textId="77777777" w:rsidTr="00C86D03">
                    <w:trPr>
                      <w:trHeight w:val="197"/>
                    </w:trPr>
                    <w:tc>
                      <w:tcPr>
                        <w:tcW w:w="3415" w:type="dxa"/>
                      </w:tcPr>
                      <w:p w14:paraId="218EC974" w14:textId="77777777" w:rsidR="00A5611A" w:rsidRPr="00053012" w:rsidRDefault="00A5611A" w:rsidP="001321D1">
                        <w:pPr>
                          <w:pStyle w:val="NoSpacing"/>
                          <w:ind w:left="340"/>
                          <w:jc w:val="both"/>
                          <w:rPr>
                            <w:rFonts w:cstheme="majorBidi"/>
                          </w:rPr>
                        </w:pPr>
                        <w:r w:rsidRPr="00053012">
                          <w:rPr>
                            <w:rFonts w:cstheme="majorBidi"/>
                          </w:rPr>
                          <w:t>Government</w:t>
                        </w:r>
                      </w:p>
                    </w:tc>
                    <w:tc>
                      <w:tcPr>
                        <w:tcW w:w="2520" w:type="dxa"/>
                      </w:tcPr>
                      <w:p w14:paraId="7DD32075" w14:textId="77777777" w:rsidR="00A5611A" w:rsidRPr="00053012" w:rsidRDefault="00A5611A" w:rsidP="001321D1">
                        <w:pPr>
                          <w:pStyle w:val="NoSpacing"/>
                          <w:tabs>
                            <w:tab w:val="decimal" w:pos="610"/>
                          </w:tabs>
                          <w:ind w:left="340"/>
                          <w:jc w:val="center"/>
                          <w:rPr>
                            <w:rFonts w:cstheme="majorBidi"/>
                            <w:bCs/>
                          </w:rPr>
                        </w:pPr>
                        <w:r w:rsidRPr="00053012">
                          <w:rPr>
                            <w:rFonts w:cstheme="majorBidi"/>
                            <w:bCs/>
                          </w:rPr>
                          <w:t>500.0</w:t>
                        </w:r>
                      </w:p>
                    </w:tc>
                    <w:tc>
                      <w:tcPr>
                        <w:tcW w:w="3055" w:type="dxa"/>
                      </w:tcPr>
                      <w:p w14:paraId="279126FC" w14:textId="77777777" w:rsidR="00A5611A" w:rsidRPr="00053012" w:rsidRDefault="00A5611A" w:rsidP="001321D1">
                        <w:pPr>
                          <w:pStyle w:val="NoSpacing"/>
                          <w:ind w:left="340"/>
                          <w:jc w:val="center"/>
                          <w:rPr>
                            <w:rFonts w:cstheme="majorBidi"/>
                            <w:bCs/>
                          </w:rPr>
                        </w:pPr>
                        <w:r w:rsidRPr="00053012">
                          <w:rPr>
                            <w:rFonts w:cstheme="majorBidi"/>
                            <w:bCs/>
                          </w:rPr>
                          <w:t>71%</w:t>
                        </w:r>
                      </w:p>
                    </w:tc>
                  </w:tr>
                  <w:tr w:rsidR="00A5611A" w:rsidRPr="00053012" w14:paraId="37798DB9" w14:textId="77777777" w:rsidTr="00C86D03">
                    <w:tc>
                      <w:tcPr>
                        <w:tcW w:w="3415" w:type="dxa"/>
                      </w:tcPr>
                      <w:p w14:paraId="1192A081" w14:textId="77777777" w:rsidR="00A5611A" w:rsidRPr="00053012" w:rsidRDefault="00A5611A" w:rsidP="001321D1">
                        <w:pPr>
                          <w:pStyle w:val="NoSpacing"/>
                          <w:ind w:left="340"/>
                          <w:rPr>
                            <w:rFonts w:cstheme="majorBidi"/>
                          </w:rPr>
                        </w:pPr>
                        <w:r w:rsidRPr="00053012">
                          <w:rPr>
                            <w:rFonts w:cstheme="majorBidi"/>
                          </w:rPr>
                          <w:t>IBRD (with concessional financing)</w:t>
                        </w:r>
                      </w:p>
                    </w:tc>
                    <w:tc>
                      <w:tcPr>
                        <w:tcW w:w="2520" w:type="dxa"/>
                      </w:tcPr>
                      <w:p w14:paraId="41243A79" w14:textId="77777777" w:rsidR="00A5611A" w:rsidRPr="00053012" w:rsidRDefault="00A5611A" w:rsidP="001321D1">
                        <w:pPr>
                          <w:pStyle w:val="NoSpacing"/>
                          <w:tabs>
                            <w:tab w:val="decimal" w:pos="610"/>
                          </w:tabs>
                          <w:ind w:left="340"/>
                          <w:jc w:val="center"/>
                          <w:rPr>
                            <w:rFonts w:cstheme="majorBidi"/>
                            <w:bCs/>
                          </w:rPr>
                        </w:pPr>
                        <w:r w:rsidRPr="00053012">
                          <w:rPr>
                            <w:rFonts w:cstheme="majorBidi"/>
                            <w:bCs/>
                          </w:rPr>
                          <w:t>200.0</w:t>
                        </w:r>
                      </w:p>
                    </w:tc>
                    <w:tc>
                      <w:tcPr>
                        <w:tcW w:w="3055" w:type="dxa"/>
                      </w:tcPr>
                      <w:p w14:paraId="25E403FB" w14:textId="77777777" w:rsidR="00A5611A" w:rsidRPr="00053012" w:rsidRDefault="00A5611A" w:rsidP="001321D1">
                        <w:pPr>
                          <w:pStyle w:val="NoSpacing"/>
                          <w:ind w:left="340"/>
                          <w:jc w:val="center"/>
                          <w:rPr>
                            <w:rFonts w:cstheme="majorBidi"/>
                            <w:bCs/>
                          </w:rPr>
                        </w:pPr>
                        <w:r w:rsidRPr="00053012">
                          <w:rPr>
                            <w:rFonts w:cstheme="majorBidi"/>
                            <w:bCs/>
                          </w:rPr>
                          <w:t>29%</w:t>
                        </w:r>
                      </w:p>
                    </w:tc>
                  </w:tr>
                  <w:tr w:rsidR="00A5611A" w:rsidRPr="00053012" w14:paraId="0BF24E20" w14:textId="77777777" w:rsidTr="00C86D03">
                    <w:tc>
                      <w:tcPr>
                        <w:tcW w:w="3415" w:type="dxa"/>
                      </w:tcPr>
                      <w:p w14:paraId="4D3ECE5E" w14:textId="77777777" w:rsidR="00A5611A" w:rsidRPr="00053012" w:rsidRDefault="00A5611A" w:rsidP="001321D1">
                        <w:pPr>
                          <w:pStyle w:val="NoSpacing"/>
                          <w:ind w:left="340"/>
                          <w:rPr>
                            <w:rFonts w:cstheme="majorBidi"/>
                            <w:bCs/>
                          </w:rPr>
                        </w:pPr>
                        <w:r w:rsidRPr="00053012">
                          <w:rPr>
                            <w:rFonts w:cstheme="majorBidi"/>
                            <w:bCs/>
                          </w:rPr>
                          <w:t>Financing Gap</w:t>
                        </w:r>
                      </w:p>
                    </w:tc>
                    <w:tc>
                      <w:tcPr>
                        <w:tcW w:w="2520" w:type="dxa"/>
                      </w:tcPr>
                      <w:p w14:paraId="7D7FD605" w14:textId="77777777" w:rsidR="00A5611A" w:rsidRPr="00053012" w:rsidRDefault="00A5611A" w:rsidP="001321D1">
                        <w:pPr>
                          <w:pStyle w:val="NoSpacing"/>
                          <w:tabs>
                            <w:tab w:val="decimal" w:pos="610"/>
                          </w:tabs>
                          <w:ind w:left="340"/>
                          <w:jc w:val="center"/>
                          <w:rPr>
                            <w:rFonts w:cstheme="majorBidi"/>
                            <w:bCs/>
                          </w:rPr>
                        </w:pPr>
                        <w:r w:rsidRPr="00053012">
                          <w:rPr>
                            <w:rFonts w:cstheme="majorBidi"/>
                            <w:bCs/>
                          </w:rPr>
                          <w:t>0.0</w:t>
                        </w:r>
                      </w:p>
                    </w:tc>
                    <w:tc>
                      <w:tcPr>
                        <w:tcW w:w="3055" w:type="dxa"/>
                      </w:tcPr>
                      <w:p w14:paraId="2C4270E8" w14:textId="77777777" w:rsidR="00A5611A" w:rsidRPr="00053012" w:rsidRDefault="00A5611A" w:rsidP="001321D1">
                        <w:pPr>
                          <w:pStyle w:val="NoSpacing"/>
                          <w:ind w:left="340"/>
                          <w:jc w:val="center"/>
                          <w:rPr>
                            <w:rFonts w:cstheme="majorBidi"/>
                            <w:bCs/>
                          </w:rPr>
                        </w:pPr>
                        <w:r w:rsidRPr="00053012">
                          <w:rPr>
                            <w:rFonts w:cstheme="majorBidi"/>
                            <w:bCs/>
                          </w:rPr>
                          <w:t>0%</w:t>
                        </w:r>
                      </w:p>
                    </w:tc>
                  </w:tr>
                </w:tbl>
                <w:p w14:paraId="3ACEB37D" w14:textId="77777777" w:rsidR="008E3772" w:rsidRPr="008F4E27" w:rsidRDefault="008E3772" w:rsidP="001321D1">
                  <w:pPr>
                    <w:tabs>
                      <w:tab w:val="right" w:pos="7200"/>
                    </w:tabs>
                    <w:ind w:left="340"/>
                    <w:rPr>
                      <w:rFonts w:asciiTheme="minorHAnsi" w:hAnsiTheme="minorHAnsi" w:cstheme="minorHAnsi"/>
                      <w:sz w:val="22"/>
                      <w:szCs w:val="22"/>
                    </w:rPr>
                  </w:pPr>
                </w:p>
              </w:tc>
              <w:tc>
                <w:tcPr>
                  <w:tcW w:w="1980" w:type="dxa"/>
                </w:tcPr>
                <w:p w14:paraId="26C88C24" w14:textId="77777777" w:rsidR="008E3772" w:rsidRPr="008F4E27" w:rsidRDefault="008E3772" w:rsidP="001321D1">
                  <w:pPr>
                    <w:tabs>
                      <w:tab w:val="decimal" w:pos="252"/>
                    </w:tabs>
                    <w:ind w:left="340"/>
                    <w:rPr>
                      <w:rFonts w:asciiTheme="minorHAnsi" w:hAnsiTheme="minorHAnsi" w:cstheme="minorHAnsi"/>
                      <w:sz w:val="22"/>
                      <w:szCs w:val="22"/>
                    </w:rPr>
                  </w:pPr>
                </w:p>
              </w:tc>
            </w:tr>
            <w:tr w:rsidR="008E3772" w:rsidRPr="008F4E27" w14:paraId="17EA7E5C" w14:textId="77777777" w:rsidTr="003634BB">
              <w:tc>
                <w:tcPr>
                  <w:tcW w:w="7488" w:type="dxa"/>
                </w:tcPr>
                <w:p w14:paraId="1B4F8CA2" w14:textId="77777777" w:rsidR="008E3772" w:rsidRPr="008F4E27" w:rsidRDefault="008E3772" w:rsidP="001321D1">
                  <w:pPr>
                    <w:tabs>
                      <w:tab w:val="right" w:pos="7200"/>
                    </w:tabs>
                    <w:ind w:left="340"/>
                    <w:rPr>
                      <w:rFonts w:asciiTheme="minorHAnsi" w:hAnsiTheme="minorHAnsi" w:cstheme="minorHAnsi"/>
                      <w:sz w:val="22"/>
                      <w:szCs w:val="22"/>
                    </w:rPr>
                  </w:pPr>
                </w:p>
              </w:tc>
              <w:tc>
                <w:tcPr>
                  <w:tcW w:w="1980" w:type="dxa"/>
                </w:tcPr>
                <w:p w14:paraId="55D2ED67" w14:textId="77777777" w:rsidR="008E3772" w:rsidRPr="008F4E27" w:rsidRDefault="008E3772" w:rsidP="001321D1">
                  <w:pPr>
                    <w:tabs>
                      <w:tab w:val="decimal" w:pos="252"/>
                    </w:tabs>
                    <w:ind w:left="340"/>
                    <w:rPr>
                      <w:rFonts w:asciiTheme="minorHAnsi" w:hAnsiTheme="minorHAnsi" w:cstheme="minorHAnsi"/>
                      <w:sz w:val="22"/>
                      <w:szCs w:val="22"/>
                    </w:rPr>
                  </w:pPr>
                </w:p>
              </w:tc>
            </w:tr>
            <w:tr w:rsidR="008E3772" w:rsidRPr="008F4E27" w14:paraId="53B432ED" w14:textId="77777777" w:rsidTr="003634BB">
              <w:tc>
                <w:tcPr>
                  <w:tcW w:w="7488" w:type="dxa"/>
                </w:tcPr>
                <w:p w14:paraId="19FE3F27" w14:textId="77777777" w:rsidR="008E3772" w:rsidRPr="008F4E27" w:rsidRDefault="008E3772" w:rsidP="001321D1">
                  <w:pPr>
                    <w:tabs>
                      <w:tab w:val="right" w:pos="7200"/>
                    </w:tabs>
                    <w:ind w:left="340"/>
                    <w:rPr>
                      <w:rFonts w:asciiTheme="minorHAnsi" w:hAnsiTheme="minorHAnsi" w:cstheme="minorHAnsi"/>
                      <w:sz w:val="22"/>
                      <w:szCs w:val="22"/>
                    </w:rPr>
                  </w:pPr>
                </w:p>
              </w:tc>
              <w:tc>
                <w:tcPr>
                  <w:tcW w:w="1980" w:type="dxa"/>
                </w:tcPr>
                <w:p w14:paraId="49C989B1" w14:textId="77777777" w:rsidR="008E3772" w:rsidRPr="008F4E27" w:rsidRDefault="008E3772" w:rsidP="001321D1">
                  <w:pPr>
                    <w:tabs>
                      <w:tab w:val="decimal" w:pos="252"/>
                    </w:tabs>
                    <w:ind w:left="340"/>
                    <w:rPr>
                      <w:rFonts w:asciiTheme="minorHAnsi" w:hAnsiTheme="minorHAnsi" w:cstheme="minorHAnsi"/>
                      <w:sz w:val="22"/>
                      <w:szCs w:val="22"/>
                    </w:rPr>
                  </w:pPr>
                </w:p>
              </w:tc>
            </w:tr>
          </w:tbl>
          <w:p w14:paraId="43128FF4" w14:textId="5EB23EA7" w:rsidR="008E3772" w:rsidRPr="008F4E27" w:rsidRDefault="008E3772" w:rsidP="001321D1">
            <w:pPr>
              <w:pStyle w:val="NoSpacing"/>
              <w:numPr>
                <w:ilvl w:val="0"/>
                <w:numId w:val="45"/>
              </w:numPr>
              <w:rPr>
                <w:rFonts w:cstheme="minorHAnsi"/>
                <w:b/>
              </w:rPr>
            </w:pPr>
            <w:r w:rsidRPr="008F4E27">
              <w:rPr>
                <w:rFonts w:cstheme="minorHAnsi"/>
                <w:b/>
              </w:rPr>
              <w:t>Program Institutional and Implementation Arrangements</w:t>
            </w:r>
          </w:p>
          <w:p w14:paraId="771A7F15" w14:textId="77777777" w:rsidR="007101C9" w:rsidRPr="008F4E27" w:rsidRDefault="007101C9" w:rsidP="001321D1">
            <w:pPr>
              <w:ind w:left="340"/>
              <w:rPr>
                <w:rFonts w:asciiTheme="minorHAnsi" w:hAnsiTheme="minorHAnsi" w:cstheme="minorHAnsi"/>
                <w:b/>
                <w:sz w:val="22"/>
                <w:szCs w:val="22"/>
              </w:rPr>
            </w:pPr>
          </w:p>
          <w:p w14:paraId="7A8EEF13" w14:textId="77777777" w:rsidR="003D7CE4" w:rsidRPr="00053012" w:rsidRDefault="003D7CE4" w:rsidP="001321D1">
            <w:pPr>
              <w:pStyle w:val="NoSpacing"/>
              <w:tabs>
                <w:tab w:val="left" w:pos="900"/>
              </w:tabs>
              <w:ind w:left="340"/>
              <w:jc w:val="both"/>
              <w:rPr>
                <w:rFonts w:cstheme="majorBidi"/>
                <w:b/>
                <w:bCs/>
                <w:i/>
                <w:iCs/>
              </w:rPr>
            </w:pPr>
            <w:r w:rsidRPr="00053012">
              <w:rPr>
                <w:rFonts w:cstheme="majorBidi"/>
                <w:b/>
                <w:bCs/>
                <w:i/>
                <w:iCs/>
              </w:rPr>
              <w:lastRenderedPageBreak/>
              <w:t xml:space="preserve">Program implementation </w:t>
            </w:r>
          </w:p>
          <w:p w14:paraId="5876A1B0" w14:textId="77777777" w:rsidR="003D7CE4" w:rsidRPr="00053012" w:rsidRDefault="003D7CE4" w:rsidP="001321D1">
            <w:pPr>
              <w:ind w:left="340"/>
              <w:jc w:val="both"/>
              <w:rPr>
                <w:rFonts w:cstheme="majorBidi"/>
                <w:b/>
                <w:i/>
              </w:rPr>
            </w:pPr>
          </w:p>
          <w:p w14:paraId="64FB2C06" w14:textId="77777777" w:rsidR="00A5022C" w:rsidRPr="00053012" w:rsidRDefault="00A5022C" w:rsidP="00A5022C">
            <w:pPr>
              <w:pStyle w:val="NoSpacing"/>
              <w:numPr>
                <w:ilvl w:val="0"/>
                <w:numId w:val="36"/>
              </w:numPr>
              <w:tabs>
                <w:tab w:val="left" w:pos="900"/>
              </w:tabs>
              <w:ind w:left="360" w:firstLine="0"/>
              <w:jc w:val="both"/>
              <w:rPr>
                <w:rFonts w:cstheme="majorBidi"/>
              </w:rPr>
            </w:pPr>
            <w:r w:rsidRPr="00053012">
              <w:rPr>
                <w:rFonts w:cstheme="majorBidi"/>
              </w:rPr>
              <w:t xml:space="preserve">The </w:t>
            </w:r>
            <w:r w:rsidRPr="00053012">
              <w:rPr>
                <w:rFonts w:cstheme="majorBidi"/>
                <w:b/>
                <w:bCs/>
              </w:rPr>
              <w:t>Ministry of Education (MOE)</w:t>
            </w:r>
            <w:r w:rsidRPr="00053012">
              <w:rPr>
                <w:rFonts w:cstheme="majorBidi"/>
              </w:rPr>
              <w:t xml:space="preserve"> is the Government’s responsible entity for implementing the program, with the administrative support of the Development Coordination Unit (DCU). Under the leadership of the Minister, MOE directorates will plan and implement activities related to their component. The </w:t>
            </w:r>
            <w:r w:rsidRPr="00053012">
              <w:rPr>
                <w:rFonts w:cstheme="majorBidi"/>
                <w:lang w:eastAsia="ja-JP"/>
              </w:rPr>
              <w:t>MOE</w:t>
            </w:r>
            <w:r w:rsidRPr="00053012">
              <w:rPr>
                <w:rFonts w:cstheme="majorBidi"/>
              </w:rPr>
              <w:t xml:space="preserve"> is </w:t>
            </w:r>
            <w:r w:rsidRPr="00053012">
              <w:rPr>
                <w:rFonts w:cstheme="majorBidi"/>
                <w:lang w:eastAsia="ja-JP"/>
              </w:rPr>
              <w:t xml:space="preserve">ultimately accountable for meeting the program objectives, providing program </w:t>
            </w:r>
            <w:r w:rsidRPr="00053012">
              <w:rPr>
                <w:rFonts w:cstheme="majorBidi"/>
              </w:rPr>
              <w:t xml:space="preserve">oversight through the General Policy Steering Committee (GPSC), monitoring and evaluation, and technical support to the various MOE directorates involved in implementation, and coordinating activities among various stakeholders and donors.  </w:t>
            </w:r>
          </w:p>
          <w:p w14:paraId="12D4DEA3" w14:textId="77777777" w:rsidR="00A5022C" w:rsidRPr="00053012" w:rsidRDefault="00A5022C" w:rsidP="00A5022C">
            <w:pPr>
              <w:autoSpaceDE w:val="0"/>
              <w:autoSpaceDN w:val="0"/>
              <w:adjustRightInd w:val="0"/>
              <w:rPr>
                <w:rFonts w:cstheme="majorBidi"/>
              </w:rPr>
            </w:pPr>
          </w:p>
          <w:p w14:paraId="0B6DE1BE" w14:textId="77777777" w:rsidR="00A5022C" w:rsidRPr="00053012" w:rsidRDefault="00A5022C" w:rsidP="00A5022C">
            <w:pPr>
              <w:pStyle w:val="NoSpacing"/>
              <w:numPr>
                <w:ilvl w:val="0"/>
                <w:numId w:val="36"/>
              </w:numPr>
              <w:tabs>
                <w:tab w:val="left" w:pos="900"/>
              </w:tabs>
              <w:ind w:left="360" w:firstLine="0"/>
              <w:jc w:val="both"/>
              <w:rPr>
                <w:rFonts w:cstheme="majorBidi"/>
              </w:rPr>
            </w:pPr>
            <w:r w:rsidRPr="00053012">
              <w:rPr>
                <w:rFonts w:cstheme="majorBidi"/>
              </w:rPr>
              <w:t xml:space="preserve">The </w:t>
            </w:r>
            <w:r w:rsidRPr="00053012">
              <w:rPr>
                <w:rFonts w:cstheme="majorBidi"/>
                <w:b/>
                <w:bCs/>
              </w:rPr>
              <w:t>Ministry of Public Works and Housing (MOPWH)</w:t>
            </w:r>
            <w:r w:rsidRPr="00053012">
              <w:rPr>
                <w:rFonts w:cstheme="majorBidi"/>
              </w:rPr>
              <w:t>, which was mandated to manage the construction and extension of schools under ERfKE II, will continue to be responsible for the procurement processing and implementation of civil works under the proposed Program. MOPWH will be commissioned by MOE for any works contract over the threshold limit of JOD 250</w:t>
            </w:r>
            <w:r>
              <w:rPr>
                <w:rFonts w:cstheme="majorBidi"/>
              </w:rPr>
              <w:t>,</w:t>
            </w:r>
            <w:r w:rsidRPr="00053012">
              <w:rPr>
                <w:rFonts w:cstheme="majorBidi"/>
              </w:rPr>
              <w:t>000.</w:t>
            </w:r>
          </w:p>
          <w:p w14:paraId="1179F74A" w14:textId="77777777" w:rsidR="00A5022C" w:rsidRPr="00053012" w:rsidRDefault="00A5022C" w:rsidP="00A5022C">
            <w:pPr>
              <w:pStyle w:val="NoSpacing"/>
              <w:tabs>
                <w:tab w:val="left" w:pos="900"/>
              </w:tabs>
              <w:ind w:left="360"/>
              <w:jc w:val="both"/>
              <w:rPr>
                <w:rFonts w:cstheme="majorBidi"/>
                <w:b/>
                <w:i/>
              </w:rPr>
            </w:pPr>
          </w:p>
          <w:p w14:paraId="0F108D61" w14:textId="77777777" w:rsidR="00A5022C" w:rsidRPr="00053012" w:rsidRDefault="00A5022C" w:rsidP="00A5022C">
            <w:pPr>
              <w:pStyle w:val="NoSpacing"/>
              <w:tabs>
                <w:tab w:val="left" w:pos="900"/>
              </w:tabs>
              <w:ind w:left="360"/>
              <w:jc w:val="both"/>
              <w:rPr>
                <w:rFonts w:cstheme="majorBidi"/>
              </w:rPr>
            </w:pPr>
            <w:r w:rsidRPr="00053012">
              <w:rPr>
                <w:rFonts w:cstheme="majorBidi"/>
                <w:b/>
                <w:i/>
              </w:rPr>
              <w:t>Program</w:t>
            </w:r>
            <w:r w:rsidRPr="00053012">
              <w:rPr>
                <w:rFonts w:cstheme="majorBidi"/>
                <w:b/>
                <w:bCs/>
                <w:i/>
                <w:iCs/>
              </w:rPr>
              <w:t xml:space="preserve"> coordination</w:t>
            </w:r>
          </w:p>
          <w:p w14:paraId="090C7E42" w14:textId="77777777" w:rsidR="00A5022C" w:rsidRPr="00053012" w:rsidRDefault="00A5022C" w:rsidP="00A5022C">
            <w:pPr>
              <w:pStyle w:val="NoSpacing"/>
              <w:tabs>
                <w:tab w:val="left" w:pos="900"/>
              </w:tabs>
              <w:ind w:left="360"/>
              <w:jc w:val="both"/>
              <w:rPr>
                <w:rFonts w:cstheme="majorBidi"/>
              </w:rPr>
            </w:pPr>
          </w:p>
          <w:p w14:paraId="3F547069" w14:textId="77777777" w:rsidR="00A5022C" w:rsidRPr="00053012" w:rsidRDefault="00A5022C" w:rsidP="00A5022C">
            <w:pPr>
              <w:pStyle w:val="NoSpacing"/>
              <w:numPr>
                <w:ilvl w:val="0"/>
                <w:numId w:val="36"/>
              </w:numPr>
              <w:tabs>
                <w:tab w:val="left" w:pos="900"/>
              </w:tabs>
              <w:ind w:left="360" w:firstLine="0"/>
              <w:jc w:val="both"/>
              <w:rPr>
                <w:rFonts w:cstheme="majorBidi"/>
              </w:rPr>
            </w:pPr>
            <w:r w:rsidRPr="00A5022C">
              <w:rPr>
                <w:rFonts w:cstheme="majorBidi"/>
              </w:rPr>
              <w:t>At</w:t>
            </w:r>
            <w:r w:rsidRPr="00053012">
              <w:rPr>
                <w:rFonts w:cstheme="majorBidi"/>
                <w:b/>
                <w:i/>
                <w:iCs/>
              </w:rPr>
              <w:t xml:space="preserve"> the policy level</w:t>
            </w:r>
            <w:r w:rsidRPr="00053012">
              <w:rPr>
                <w:rFonts w:cstheme="majorBidi"/>
                <w:b/>
              </w:rPr>
              <w:t>.</w:t>
            </w:r>
            <w:r w:rsidRPr="00053012">
              <w:rPr>
                <w:rFonts w:cstheme="majorBidi"/>
              </w:rPr>
              <w:t xml:space="preserve">  Coordination at the policy level will be ensured by the GPSC. The GPSC, appointed and chaired by the </w:t>
            </w:r>
            <w:r>
              <w:rPr>
                <w:rFonts w:cstheme="majorBidi"/>
              </w:rPr>
              <w:t>m</w:t>
            </w:r>
            <w:r w:rsidRPr="00053012">
              <w:rPr>
                <w:rFonts w:cstheme="majorBidi"/>
              </w:rPr>
              <w:t xml:space="preserve">inister of </w:t>
            </w:r>
            <w:r>
              <w:rPr>
                <w:rFonts w:cstheme="majorBidi"/>
              </w:rPr>
              <w:t>e</w:t>
            </w:r>
            <w:r w:rsidRPr="00053012">
              <w:rPr>
                <w:rFonts w:cstheme="majorBidi"/>
              </w:rPr>
              <w:t xml:space="preserve">ducation or </w:t>
            </w:r>
            <w:r>
              <w:rPr>
                <w:rFonts w:cstheme="majorBidi"/>
              </w:rPr>
              <w:t>their</w:t>
            </w:r>
            <w:r w:rsidRPr="00053012">
              <w:rPr>
                <w:rFonts w:cstheme="majorBidi"/>
              </w:rPr>
              <w:t xml:space="preserve"> representative, will ensure overall oversight of program planning and implementation as well as effective coordination of all institutions and stakeholders involved in the overall education program. The GPSC will also endorse annual plans for MOE’s monitoring and evaluation (M&amp;E) activities. The GPSC will includes representative</w:t>
            </w:r>
            <w:r>
              <w:rPr>
                <w:rFonts w:cstheme="majorBidi"/>
              </w:rPr>
              <w:t>s</w:t>
            </w:r>
            <w:r w:rsidRPr="00053012">
              <w:rPr>
                <w:rFonts w:cstheme="majorBidi"/>
              </w:rPr>
              <w:t xml:space="preserve"> of education reform stakeholders. </w:t>
            </w:r>
            <w:r w:rsidRPr="00053012">
              <w:rPr>
                <w:rFonts w:cs="Times-Roman"/>
              </w:rPr>
              <w:t>The DCU will serve as the Secretariat for the GPSC and will assist the GPSC in its technical and administrative functions and to supplement its capacity in education reform execution.</w:t>
            </w:r>
          </w:p>
          <w:p w14:paraId="25693C18" w14:textId="77777777" w:rsidR="00A5022C" w:rsidRPr="00053012" w:rsidRDefault="00A5022C" w:rsidP="00A5022C">
            <w:pPr>
              <w:pStyle w:val="NoSpacing"/>
              <w:tabs>
                <w:tab w:val="left" w:pos="900"/>
              </w:tabs>
              <w:ind w:left="360"/>
              <w:jc w:val="both"/>
              <w:rPr>
                <w:rFonts w:cs="Times-Roman"/>
              </w:rPr>
            </w:pPr>
          </w:p>
          <w:p w14:paraId="5133374A" w14:textId="77777777" w:rsidR="00A5022C" w:rsidRPr="00B32EF2" w:rsidRDefault="00A5022C" w:rsidP="00A5022C">
            <w:pPr>
              <w:pStyle w:val="NoSpacing"/>
              <w:numPr>
                <w:ilvl w:val="0"/>
                <w:numId w:val="36"/>
              </w:numPr>
              <w:tabs>
                <w:tab w:val="left" w:pos="900"/>
              </w:tabs>
              <w:ind w:left="360" w:firstLine="0"/>
              <w:jc w:val="both"/>
              <w:rPr>
                <w:rFonts w:cs="Times-Roman"/>
              </w:rPr>
            </w:pPr>
            <w:r w:rsidRPr="00A5022C">
              <w:rPr>
                <w:rFonts w:cstheme="majorBidi"/>
              </w:rPr>
              <w:t>At</w:t>
            </w:r>
            <w:r w:rsidRPr="00053012">
              <w:rPr>
                <w:rFonts w:cstheme="majorBidi"/>
                <w:b/>
                <w:i/>
                <w:iCs/>
              </w:rPr>
              <w:t xml:space="preserve"> the Program level</w:t>
            </w:r>
            <w:r w:rsidRPr="00053012">
              <w:rPr>
                <w:rFonts w:cstheme="majorBidi"/>
                <w:b/>
              </w:rPr>
              <w:t>.</w:t>
            </w:r>
            <w:r w:rsidRPr="00053012">
              <w:rPr>
                <w:rFonts w:cstheme="majorBidi"/>
              </w:rPr>
              <w:t xml:space="preserve"> Given its extensive experience in coordinating multi-donor programs such as ERfKE II, the DCU will be the focal point for the program and will be responsible for: (1) facilitating the coordination of implementation with MOE ma</w:t>
            </w:r>
            <w:r>
              <w:rPr>
                <w:rFonts w:cstheme="majorBidi"/>
              </w:rPr>
              <w:t>nagement,</w:t>
            </w:r>
            <w:r w:rsidRPr="00053012">
              <w:rPr>
                <w:rFonts w:cstheme="majorBidi"/>
              </w:rPr>
              <w:t xml:space="preserve"> (2) monitoring and reporting on project implementation progress through the production</w:t>
            </w:r>
            <w:r>
              <w:rPr>
                <w:rFonts w:cstheme="majorBidi"/>
              </w:rPr>
              <w:t xml:space="preserve"> of progress reports,</w:t>
            </w:r>
            <w:r w:rsidRPr="00053012">
              <w:rPr>
                <w:rFonts w:cstheme="majorBidi"/>
              </w:rPr>
              <w:t xml:space="preserve"> (3) preparing </w:t>
            </w:r>
            <w:r w:rsidRPr="00053012">
              <w:rPr>
                <w:rFonts w:cs="Times New Roman"/>
              </w:rPr>
              <w:t>interim unaudited financial reports (IUFRs) for the TA component of the Program</w:t>
            </w:r>
            <w:r>
              <w:rPr>
                <w:rFonts w:cs="Times New Roman"/>
              </w:rPr>
              <w:t xml:space="preserve">, </w:t>
            </w:r>
            <w:r w:rsidRPr="00053012">
              <w:rPr>
                <w:rFonts w:cstheme="majorBidi"/>
              </w:rPr>
              <w:t xml:space="preserve">and (4) coordinating with other donor partners to ensure that parallel financed activities are synchronized with overall program implementation.  Given the scope of the program, the capacity of the DCU will need to </w:t>
            </w:r>
            <w:r w:rsidRPr="00053012">
              <w:rPr>
                <w:rFonts w:cstheme="majorBidi"/>
                <w:lang w:eastAsia="ja-JP"/>
              </w:rPr>
              <w:t xml:space="preserve">be significantly strengthened through recruiting and training additional staff.  With the </w:t>
            </w:r>
            <w:r w:rsidRPr="00053012">
              <w:rPr>
                <w:rFonts w:cstheme="majorBidi"/>
                <w:lang w:eastAsia="ja-JP"/>
              </w:rPr>
              <w:lastRenderedPageBreak/>
              <w:t xml:space="preserve">financial and technical assistance support from donors, the DCU will be reinforced with one senior program manager, one monitoring and evaluation expert, one finance officer and one construction and maintenance expert. </w:t>
            </w:r>
          </w:p>
          <w:p w14:paraId="613BBA9C" w14:textId="0DB55CDF" w:rsidR="008E3772" w:rsidRPr="008F4E27" w:rsidRDefault="008E3772" w:rsidP="001321D1">
            <w:pPr>
              <w:ind w:left="340"/>
              <w:rPr>
                <w:rFonts w:asciiTheme="minorHAnsi" w:hAnsiTheme="minorHAnsi" w:cstheme="minorHAnsi"/>
                <w:i/>
                <w:sz w:val="22"/>
                <w:szCs w:val="22"/>
              </w:rPr>
            </w:pPr>
          </w:p>
          <w:p w14:paraId="4B72E8FC" w14:textId="77777777" w:rsidR="008E3772" w:rsidRPr="008F4E27" w:rsidRDefault="008E3772" w:rsidP="001321D1">
            <w:pPr>
              <w:pStyle w:val="NoSpacing"/>
              <w:numPr>
                <w:ilvl w:val="0"/>
                <w:numId w:val="45"/>
              </w:numPr>
              <w:rPr>
                <w:rFonts w:cstheme="minorHAnsi"/>
                <w:b/>
              </w:rPr>
            </w:pPr>
            <w:r w:rsidRPr="008F4E27">
              <w:rPr>
                <w:rFonts w:cstheme="minorHAnsi"/>
                <w:b/>
              </w:rPr>
              <w:t>Contact point</w:t>
            </w:r>
          </w:p>
          <w:p w14:paraId="1260DE1F" w14:textId="77777777" w:rsidR="008E3772" w:rsidRPr="008F4E27" w:rsidRDefault="008E3772" w:rsidP="008E3772">
            <w:pPr>
              <w:ind w:left="720"/>
              <w:rPr>
                <w:rFonts w:asciiTheme="minorHAnsi" w:hAnsiTheme="minorHAnsi" w:cstheme="minorHAnsi"/>
                <w:b/>
                <w:sz w:val="22"/>
                <w:szCs w:val="22"/>
              </w:rPr>
            </w:pPr>
          </w:p>
          <w:p w14:paraId="2936052F" w14:textId="77777777" w:rsidR="008E3772" w:rsidRPr="008F4E27" w:rsidRDefault="008E3772" w:rsidP="008E3772">
            <w:pPr>
              <w:pStyle w:val="ListParagraph"/>
              <w:ind w:left="0"/>
              <w:rPr>
                <w:rFonts w:asciiTheme="minorHAnsi" w:hAnsiTheme="minorHAnsi" w:cstheme="minorHAnsi"/>
                <w:b/>
                <w:sz w:val="22"/>
                <w:szCs w:val="22"/>
              </w:rPr>
            </w:pPr>
            <w:r w:rsidRPr="008F4E27">
              <w:rPr>
                <w:rFonts w:asciiTheme="minorHAnsi" w:hAnsiTheme="minorHAnsi" w:cstheme="minorHAnsi"/>
                <w:b/>
                <w:sz w:val="22"/>
                <w:szCs w:val="22"/>
              </w:rPr>
              <w:t xml:space="preserve">World Bank </w:t>
            </w:r>
          </w:p>
          <w:p w14:paraId="59F5AADD" w14:textId="6CC2D27B"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 xml:space="preserve">Contact 1: </w:t>
            </w:r>
            <w:r w:rsidR="007101C9" w:rsidRPr="008F4E27">
              <w:rPr>
                <w:rFonts w:asciiTheme="minorHAnsi" w:hAnsiTheme="minorHAnsi" w:cstheme="minorHAnsi"/>
                <w:sz w:val="22"/>
                <w:szCs w:val="22"/>
              </w:rPr>
              <w:t>Juan Manuel Moreno Olmedilla</w:t>
            </w:r>
          </w:p>
          <w:p w14:paraId="40A8CEBB" w14:textId="5491426F" w:rsidR="008E3772" w:rsidRPr="008F4E27" w:rsidRDefault="007101C9" w:rsidP="008E3772">
            <w:pPr>
              <w:rPr>
                <w:rFonts w:asciiTheme="minorHAnsi" w:hAnsiTheme="minorHAnsi" w:cstheme="minorHAnsi"/>
                <w:sz w:val="22"/>
                <w:szCs w:val="22"/>
              </w:rPr>
            </w:pPr>
            <w:r w:rsidRPr="008F4E27">
              <w:rPr>
                <w:rFonts w:asciiTheme="minorHAnsi" w:hAnsiTheme="minorHAnsi" w:cstheme="minorHAnsi"/>
                <w:sz w:val="22"/>
                <w:szCs w:val="22"/>
              </w:rPr>
              <w:t>Title: Lead Education Specialist, Task Team Leader</w:t>
            </w:r>
          </w:p>
          <w:p w14:paraId="270FABBC" w14:textId="12855C0C" w:rsidR="008E3772" w:rsidRPr="008F4E27" w:rsidRDefault="008E3772" w:rsidP="008E3772">
            <w:pPr>
              <w:rPr>
                <w:rFonts w:asciiTheme="minorHAnsi" w:hAnsiTheme="minorHAnsi" w:cstheme="minorHAnsi"/>
                <w:sz w:val="22"/>
                <w:szCs w:val="22"/>
                <w:lang w:val="fr-FR"/>
              </w:rPr>
            </w:pPr>
            <w:r w:rsidRPr="008F4E27">
              <w:rPr>
                <w:rFonts w:asciiTheme="minorHAnsi" w:hAnsiTheme="minorHAnsi" w:cstheme="minorHAnsi"/>
                <w:sz w:val="22"/>
                <w:szCs w:val="22"/>
                <w:lang w:val="fr-FR"/>
              </w:rPr>
              <w:t>Email:</w:t>
            </w:r>
            <w:r w:rsidRPr="008F4E27">
              <w:rPr>
                <w:rFonts w:asciiTheme="minorHAnsi" w:hAnsiTheme="minorHAnsi" w:cstheme="minorHAnsi"/>
                <w:sz w:val="22"/>
                <w:szCs w:val="22"/>
                <w:lang w:val="fr-FR"/>
              </w:rPr>
              <w:tab/>
            </w:r>
            <w:r w:rsidR="007101C9" w:rsidRPr="008F4E27">
              <w:rPr>
                <w:rFonts w:asciiTheme="minorHAnsi" w:hAnsiTheme="minorHAnsi" w:cstheme="minorHAnsi"/>
                <w:sz w:val="22"/>
                <w:szCs w:val="22"/>
                <w:lang w:val="fr-FR"/>
              </w:rPr>
              <w:t>jmoreno@worldbank.org</w:t>
            </w:r>
          </w:p>
          <w:p w14:paraId="1F3C0FEF" w14:textId="77777777" w:rsidR="008E3772" w:rsidRPr="008F4E27" w:rsidRDefault="008E3772" w:rsidP="008E3772">
            <w:pPr>
              <w:rPr>
                <w:rFonts w:asciiTheme="minorHAnsi" w:hAnsiTheme="minorHAnsi" w:cstheme="minorHAnsi"/>
                <w:sz w:val="22"/>
                <w:szCs w:val="22"/>
                <w:lang w:val="fr-FR"/>
              </w:rPr>
            </w:pPr>
          </w:p>
          <w:p w14:paraId="5E3C05FC" w14:textId="77B1AE0C" w:rsidR="008E3772" w:rsidRPr="008F4E27" w:rsidRDefault="008E3772" w:rsidP="008E3772">
            <w:pPr>
              <w:rPr>
                <w:rFonts w:asciiTheme="minorHAnsi" w:hAnsiTheme="minorHAnsi" w:cstheme="minorHAnsi"/>
                <w:sz w:val="22"/>
                <w:szCs w:val="22"/>
                <w:lang w:val="fr-FR"/>
              </w:rPr>
            </w:pPr>
            <w:r w:rsidRPr="008F4E27">
              <w:rPr>
                <w:rFonts w:asciiTheme="minorHAnsi" w:hAnsiTheme="minorHAnsi" w:cstheme="minorHAnsi"/>
                <w:sz w:val="22"/>
                <w:szCs w:val="22"/>
                <w:lang w:val="fr-FR"/>
              </w:rPr>
              <w:t xml:space="preserve">Contact 2: </w:t>
            </w:r>
            <w:r w:rsidR="007101C9" w:rsidRPr="008F4E27">
              <w:rPr>
                <w:rFonts w:asciiTheme="minorHAnsi" w:hAnsiTheme="minorHAnsi" w:cstheme="minorHAnsi"/>
                <w:sz w:val="22"/>
                <w:szCs w:val="22"/>
                <w:lang w:val="fr-FR"/>
              </w:rPr>
              <w:t>Karine Pezzani</w:t>
            </w:r>
          </w:p>
          <w:p w14:paraId="3FBE7D4C" w14:textId="61C15B69" w:rsidR="008E3772" w:rsidRPr="008F4E27" w:rsidRDefault="007101C9" w:rsidP="008E3772">
            <w:pPr>
              <w:rPr>
                <w:rFonts w:asciiTheme="minorHAnsi" w:hAnsiTheme="minorHAnsi" w:cstheme="minorHAnsi"/>
                <w:sz w:val="22"/>
                <w:szCs w:val="22"/>
              </w:rPr>
            </w:pPr>
            <w:r w:rsidRPr="008F4E27">
              <w:rPr>
                <w:rFonts w:asciiTheme="minorHAnsi" w:hAnsiTheme="minorHAnsi" w:cstheme="minorHAnsi"/>
                <w:sz w:val="22"/>
                <w:szCs w:val="22"/>
              </w:rPr>
              <w:t>Title: Senior Operations Officer, co-Task Team Leader</w:t>
            </w:r>
          </w:p>
          <w:p w14:paraId="09D9A3E8" w14:textId="349C79D7"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Te</w:t>
            </w:r>
            <w:r w:rsidR="007101C9" w:rsidRPr="008F4E27">
              <w:rPr>
                <w:rFonts w:asciiTheme="minorHAnsi" w:hAnsiTheme="minorHAnsi" w:cstheme="minorHAnsi"/>
                <w:sz w:val="22"/>
                <w:szCs w:val="22"/>
              </w:rPr>
              <w:t>l: +1 202 492 3783</w:t>
            </w:r>
            <w:r w:rsidRPr="008F4E27">
              <w:rPr>
                <w:rFonts w:asciiTheme="minorHAnsi" w:hAnsiTheme="minorHAnsi" w:cstheme="minorHAnsi"/>
                <w:sz w:val="22"/>
                <w:szCs w:val="22"/>
              </w:rPr>
              <w:tab/>
            </w:r>
            <w:r w:rsidRPr="008F4E27">
              <w:rPr>
                <w:rFonts w:asciiTheme="minorHAnsi" w:hAnsiTheme="minorHAnsi" w:cstheme="minorHAnsi"/>
                <w:sz w:val="22"/>
                <w:szCs w:val="22"/>
              </w:rPr>
              <w:tab/>
            </w:r>
          </w:p>
          <w:p w14:paraId="7D719FD8" w14:textId="5377A125"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 xml:space="preserve">Email:   </w:t>
            </w:r>
            <w:r w:rsidR="007101C9" w:rsidRPr="008F4E27">
              <w:rPr>
                <w:rFonts w:asciiTheme="minorHAnsi" w:hAnsiTheme="minorHAnsi" w:cstheme="minorHAnsi"/>
                <w:sz w:val="22"/>
                <w:szCs w:val="22"/>
              </w:rPr>
              <w:t>kpezzani@worldbank.org</w:t>
            </w:r>
          </w:p>
          <w:p w14:paraId="0B0E13E3" w14:textId="77777777" w:rsidR="008E3772" w:rsidRPr="008F4E27" w:rsidRDefault="008E3772" w:rsidP="008E3772">
            <w:pPr>
              <w:rPr>
                <w:rFonts w:asciiTheme="minorHAnsi" w:hAnsiTheme="minorHAnsi" w:cstheme="minorHAnsi"/>
                <w:sz w:val="22"/>
                <w:szCs w:val="22"/>
              </w:rPr>
            </w:pPr>
          </w:p>
          <w:p w14:paraId="361DAD07" w14:textId="77777777" w:rsidR="008E3772" w:rsidRPr="008F4E27" w:rsidRDefault="008E3772" w:rsidP="008E3772">
            <w:pPr>
              <w:rPr>
                <w:rFonts w:asciiTheme="minorHAnsi" w:hAnsiTheme="minorHAnsi" w:cstheme="minorHAnsi"/>
                <w:b/>
                <w:sz w:val="22"/>
                <w:szCs w:val="22"/>
              </w:rPr>
            </w:pPr>
            <w:r w:rsidRPr="008F4E27">
              <w:rPr>
                <w:rFonts w:asciiTheme="minorHAnsi" w:hAnsiTheme="minorHAnsi" w:cstheme="minorHAnsi"/>
                <w:b/>
                <w:sz w:val="22"/>
                <w:szCs w:val="22"/>
              </w:rPr>
              <w:t>Borrower/Client/Recipient</w:t>
            </w:r>
          </w:p>
          <w:p w14:paraId="2B83BCE9" w14:textId="47A1B18E" w:rsidR="008E3772" w:rsidRPr="008F4E27" w:rsidRDefault="007101C9" w:rsidP="008E3772">
            <w:pPr>
              <w:rPr>
                <w:rFonts w:asciiTheme="minorHAnsi" w:hAnsiTheme="minorHAnsi" w:cstheme="minorHAnsi"/>
                <w:sz w:val="22"/>
                <w:szCs w:val="22"/>
              </w:rPr>
            </w:pPr>
            <w:r w:rsidRPr="008F4E27">
              <w:rPr>
                <w:rFonts w:asciiTheme="minorHAnsi" w:hAnsiTheme="minorHAnsi" w:cstheme="minorHAnsi"/>
                <w:sz w:val="22"/>
                <w:szCs w:val="22"/>
              </w:rPr>
              <w:t>Contact: Ms. Zeina Toukan</w:t>
            </w:r>
          </w:p>
          <w:p w14:paraId="063431D4" w14:textId="72EBC6D7" w:rsidR="008E3772" w:rsidRPr="008F4E27" w:rsidRDefault="008E3772" w:rsidP="00C357F5">
            <w:pPr>
              <w:rPr>
                <w:rFonts w:asciiTheme="minorHAnsi" w:hAnsiTheme="minorHAnsi" w:cstheme="minorHAnsi"/>
                <w:sz w:val="22"/>
                <w:szCs w:val="22"/>
              </w:rPr>
            </w:pPr>
            <w:r w:rsidRPr="008F4E27">
              <w:rPr>
                <w:rFonts w:asciiTheme="minorHAnsi" w:hAnsiTheme="minorHAnsi" w:cstheme="minorHAnsi"/>
                <w:sz w:val="22"/>
                <w:szCs w:val="22"/>
              </w:rPr>
              <w:t>Title:</w:t>
            </w:r>
            <w:r w:rsidRPr="008F4E27">
              <w:rPr>
                <w:rFonts w:asciiTheme="minorHAnsi" w:hAnsiTheme="minorHAnsi" w:cstheme="minorHAnsi"/>
                <w:sz w:val="22"/>
                <w:szCs w:val="22"/>
              </w:rPr>
              <w:tab/>
            </w:r>
            <w:r w:rsidR="007101C9" w:rsidRPr="008F4E27">
              <w:rPr>
                <w:rFonts w:asciiTheme="minorHAnsi" w:hAnsiTheme="minorHAnsi" w:cstheme="minorHAnsi"/>
                <w:sz w:val="22"/>
                <w:szCs w:val="22"/>
              </w:rPr>
              <w:t>Director</w:t>
            </w:r>
            <w:r w:rsidR="00C357F5" w:rsidRPr="008F4E27">
              <w:rPr>
                <w:rFonts w:asciiTheme="minorHAnsi" w:hAnsiTheme="minorHAnsi" w:cstheme="minorHAnsi"/>
                <w:sz w:val="22"/>
                <w:szCs w:val="22"/>
              </w:rPr>
              <w:t>, International Cooperation Department, Ministry of Planning and International Cooperation (MOPIC)</w:t>
            </w:r>
            <w:r w:rsidRPr="008F4E27">
              <w:rPr>
                <w:rFonts w:asciiTheme="minorHAnsi" w:hAnsiTheme="minorHAnsi" w:cstheme="minorHAnsi"/>
                <w:sz w:val="22"/>
                <w:szCs w:val="22"/>
              </w:rPr>
              <w:tab/>
              <w:t xml:space="preserve">   </w:t>
            </w:r>
            <w:r w:rsidRPr="008F4E27">
              <w:rPr>
                <w:rFonts w:asciiTheme="minorHAnsi" w:hAnsiTheme="minorHAnsi" w:cstheme="minorHAnsi"/>
                <w:sz w:val="22"/>
                <w:szCs w:val="22"/>
              </w:rPr>
              <w:tab/>
            </w:r>
          </w:p>
          <w:p w14:paraId="1B683888" w14:textId="0D234E8C"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Email:</w:t>
            </w:r>
            <w:r w:rsidRPr="008F4E27">
              <w:rPr>
                <w:rFonts w:asciiTheme="minorHAnsi" w:hAnsiTheme="minorHAnsi" w:cstheme="minorHAnsi"/>
                <w:sz w:val="22"/>
                <w:szCs w:val="22"/>
              </w:rPr>
              <w:tab/>
              <w:t xml:space="preserve">   </w:t>
            </w:r>
            <w:hyperlink r:id="rId14" w:history="1">
              <w:r w:rsidR="00C357F5" w:rsidRPr="008F4E27">
                <w:rPr>
                  <w:rFonts w:asciiTheme="minorHAnsi" w:hAnsiTheme="minorHAnsi" w:cstheme="minorHAnsi"/>
                  <w:i/>
                  <w:iCs/>
                  <w:color w:val="0000FF"/>
                  <w:sz w:val="22"/>
                  <w:szCs w:val="22"/>
                  <w:u w:val="single"/>
                </w:rPr>
                <w:t>zeina.t@mop.gov.jo</w:t>
              </w:r>
            </w:hyperlink>
            <w:r w:rsidRPr="008F4E27">
              <w:rPr>
                <w:rFonts w:asciiTheme="minorHAnsi" w:hAnsiTheme="minorHAnsi" w:cstheme="minorHAnsi"/>
                <w:sz w:val="22"/>
                <w:szCs w:val="22"/>
              </w:rPr>
              <w:tab/>
            </w:r>
          </w:p>
          <w:p w14:paraId="084D7AD3" w14:textId="77777777" w:rsidR="008E3772" w:rsidRPr="008F4E27" w:rsidRDefault="008E3772" w:rsidP="008E3772">
            <w:pPr>
              <w:rPr>
                <w:rFonts w:asciiTheme="minorHAnsi" w:hAnsiTheme="minorHAnsi" w:cstheme="minorHAnsi"/>
                <w:sz w:val="22"/>
                <w:szCs w:val="22"/>
              </w:rPr>
            </w:pPr>
          </w:p>
          <w:p w14:paraId="1F6D93B9" w14:textId="77777777" w:rsidR="008E3772" w:rsidRPr="008F4E27" w:rsidRDefault="008E3772" w:rsidP="008E3772">
            <w:pPr>
              <w:rPr>
                <w:rFonts w:asciiTheme="minorHAnsi" w:hAnsiTheme="minorHAnsi" w:cstheme="minorHAnsi"/>
                <w:b/>
                <w:sz w:val="22"/>
                <w:szCs w:val="22"/>
              </w:rPr>
            </w:pPr>
            <w:r w:rsidRPr="008F4E27">
              <w:rPr>
                <w:rFonts w:asciiTheme="minorHAnsi" w:hAnsiTheme="minorHAnsi" w:cstheme="minorHAnsi"/>
                <w:b/>
                <w:sz w:val="22"/>
                <w:szCs w:val="22"/>
              </w:rPr>
              <w:t>Implementing Agencies</w:t>
            </w:r>
          </w:p>
          <w:p w14:paraId="49C8D3FB" w14:textId="2DFCB616"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Name of Agency/ies</w:t>
            </w:r>
            <w:r w:rsidR="00C357F5" w:rsidRPr="008F4E27">
              <w:rPr>
                <w:rFonts w:asciiTheme="minorHAnsi" w:hAnsiTheme="minorHAnsi" w:cstheme="minorHAnsi"/>
                <w:sz w:val="22"/>
                <w:szCs w:val="22"/>
              </w:rPr>
              <w:t>: Ministry of Education</w:t>
            </w:r>
          </w:p>
          <w:p w14:paraId="387931BB" w14:textId="40E3A90D"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Contact</w:t>
            </w:r>
            <w:r w:rsidR="00C357F5" w:rsidRPr="008F4E27">
              <w:rPr>
                <w:rFonts w:asciiTheme="minorHAnsi" w:hAnsiTheme="minorHAnsi" w:cstheme="minorHAnsi"/>
                <w:sz w:val="22"/>
                <w:szCs w:val="22"/>
              </w:rPr>
              <w:t xml:space="preserve"> 1</w:t>
            </w:r>
            <w:r w:rsidRPr="008F4E27">
              <w:rPr>
                <w:rFonts w:asciiTheme="minorHAnsi" w:hAnsiTheme="minorHAnsi" w:cstheme="minorHAnsi"/>
                <w:sz w:val="22"/>
                <w:szCs w:val="22"/>
              </w:rPr>
              <w:t>:</w:t>
            </w:r>
            <w:r w:rsidR="00C357F5" w:rsidRPr="008F4E27">
              <w:rPr>
                <w:rFonts w:asciiTheme="minorHAnsi" w:hAnsiTheme="minorHAnsi" w:cstheme="minorHAnsi"/>
                <w:sz w:val="22"/>
                <w:szCs w:val="22"/>
              </w:rPr>
              <w:t xml:space="preserve"> Ms. Firyal Aqel</w:t>
            </w:r>
          </w:p>
          <w:p w14:paraId="1C759BD7" w14:textId="12A38B77" w:rsidR="008E3772" w:rsidRPr="008F4E27" w:rsidRDefault="006805EA" w:rsidP="008E3772">
            <w:pPr>
              <w:rPr>
                <w:rFonts w:asciiTheme="minorHAnsi" w:hAnsiTheme="minorHAnsi" w:cstheme="minorHAnsi"/>
                <w:sz w:val="22"/>
                <w:szCs w:val="22"/>
              </w:rPr>
            </w:pPr>
            <w:r>
              <w:rPr>
                <w:rFonts w:asciiTheme="minorHAnsi" w:hAnsiTheme="minorHAnsi" w:cstheme="minorHAnsi"/>
                <w:sz w:val="22"/>
                <w:szCs w:val="22"/>
              </w:rPr>
              <w:t>Titl</w:t>
            </w:r>
            <w:r w:rsidR="00C357F5" w:rsidRPr="008F4E27">
              <w:rPr>
                <w:rFonts w:asciiTheme="minorHAnsi" w:hAnsiTheme="minorHAnsi" w:cstheme="minorHAnsi"/>
                <w:sz w:val="22"/>
                <w:szCs w:val="22"/>
              </w:rPr>
              <w:t>e: Director, Development Coordination Unit (DCU)</w:t>
            </w:r>
          </w:p>
          <w:p w14:paraId="66E856D4" w14:textId="500F56F0" w:rsidR="008E3772" w:rsidRPr="008F4E27" w:rsidRDefault="00C357F5" w:rsidP="008E3772">
            <w:pPr>
              <w:rPr>
                <w:rFonts w:asciiTheme="minorHAnsi" w:hAnsiTheme="minorHAnsi" w:cstheme="minorHAnsi"/>
                <w:sz w:val="22"/>
                <w:szCs w:val="22"/>
              </w:rPr>
            </w:pPr>
            <w:r w:rsidRPr="008F4E27">
              <w:rPr>
                <w:rFonts w:asciiTheme="minorHAnsi" w:hAnsiTheme="minorHAnsi" w:cstheme="minorHAnsi"/>
                <w:sz w:val="22"/>
                <w:szCs w:val="22"/>
              </w:rPr>
              <w:t>Tel: +962 7 9524 5356</w:t>
            </w:r>
            <w:r w:rsidR="008E3772" w:rsidRPr="008F4E27">
              <w:rPr>
                <w:rFonts w:asciiTheme="minorHAnsi" w:hAnsiTheme="minorHAnsi" w:cstheme="minorHAnsi"/>
                <w:sz w:val="22"/>
                <w:szCs w:val="22"/>
              </w:rPr>
              <w:tab/>
            </w:r>
          </w:p>
          <w:p w14:paraId="19E8B45D" w14:textId="77777777" w:rsidR="00C357F5" w:rsidRPr="008F4E27" w:rsidRDefault="008E3772" w:rsidP="008E3772">
            <w:pPr>
              <w:rPr>
                <w:rFonts w:asciiTheme="minorHAnsi" w:hAnsiTheme="minorHAnsi" w:cstheme="minorHAnsi"/>
                <w:i/>
                <w:color w:val="0000FF"/>
                <w:sz w:val="22"/>
                <w:szCs w:val="22"/>
                <w:u w:val="single"/>
              </w:rPr>
            </w:pPr>
            <w:r w:rsidRPr="008F4E27">
              <w:rPr>
                <w:rFonts w:asciiTheme="minorHAnsi" w:hAnsiTheme="minorHAnsi" w:cstheme="minorHAnsi"/>
                <w:sz w:val="22"/>
                <w:szCs w:val="22"/>
              </w:rPr>
              <w:t>Email:</w:t>
            </w:r>
            <w:r w:rsidRPr="008F4E27">
              <w:rPr>
                <w:rFonts w:asciiTheme="minorHAnsi" w:hAnsiTheme="minorHAnsi" w:cstheme="minorHAnsi"/>
                <w:sz w:val="22"/>
                <w:szCs w:val="22"/>
              </w:rPr>
              <w:tab/>
            </w:r>
            <w:hyperlink r:id="rId15" w:history="1">
              <w:r w:rsidR="00C357F5" w:rsidRPr="008F4E27">
                <w:rPr>
                  <w:rFonts w:asciiTheme="minorHAnsi" w:hAnsiTheme="minorHAnsi" w:cstheme="minorHAnsi"/>
                  <w:i/>
                  <w:color w:val="0000FF"/>
                  <w:sz w:val="22"/>
                  <w:szCs w:val="22"/>
                  <w:u w:val="single"/>
                </w:rPr>
                <w:t>Firyal.Aqel@Moe.gov.jo</w:t>
              </w:r>
            </w:hyperlink>
          </w:p>
          <w:p w14:paraId="58F6E25B" w14:textId="77777777" w:rsidR="00C357F5" w:rsidRPr="008F4E27" w:rsidRDefault="00C357F5" w:rsidP="008E3772">
            <w:pPr>
              <w:rPr>
                <w:rFonts w:asciiTheme="minorHAnsi" w:hAnsiTheme="minorHAnsi" w:cstheme="minorHAnsi"/>
                <w:i/>
                <w:color w:val="0000FF"/>
                <w:sz w:val="22"/>
                <w:szCs w:val="22"/>
                <w:u w:val="single"/>
              </w:rPr>
            </w:pPr>
          </w:p>
          <w:p w14:paraId="12569B8C" w14:textId="27B415D2" w:rsidR="00C357F5" w:rsidRPr="008F4E27" w:rsidRDefault="00C357F5" w:rsidP="00C357F5">
            <w:pPr>
              <w:rPr>
                <w:rFonts w:asciiTheme="minorHAnsi" w:hAnsiTheme="minorHAnsi" w:cstheme="minorHAnsi"/>
                <w:sz w:val="22"/>
                <w:szCs w:val="22"/>
              </w:rPr>
            </w:pPr>
            <w:r w:rsidRPr="008F4E27">
              <w:rPr>
                <w:rFonts w:asciiTheme="minorHAnsi" w:hAnsiTheme="minorHAnsi" w:cstheme="minorHAnsi"/>
                <w:sz w:val="22"/>
                <w:szCs w:val="22"/>
              </w:rPr>
              <w:t>Contact 2: Mr. Fawaz Al-Hammouri</w:t>
            </w:r>
          </w:p>
          <w:p w14:paraId="1F99FF36" w14:textId="0E26D629" w:rsidR="00C357F5" w:rsidRPr="008F4E27" w:rsidRDefault="006805EA" w:rsidP="00C357F5">
            <w:pPr>
              <w:rPr>
                <w:rFonts w:asciiTheme="minorHAnsi" w:hAnsiTheme="minorHAnsi" w:cstheme="minorHAnsi"/>
                <w:sz w:val="22"/>
                <w:szCs w:val="22"/>
                <w:lang w:val="fr-FR"/>
              </w:rPr>
            </w:pPr>
            <w:r>
              <w:rPr>
                <w:rFonts w:asciiTheme="minorHAnsi" w:hAnsiTheme="minorHAnsi" w:cstheme="minorHAnsi"/>
                <w:sz w:val="22"/>
                <w:szCs w:val="22"/>
                <w:lang w:val="fr-FR"/>
              </w:rPr>
              <w:lastRenderedPageBreak/>
              <w:t>Titl</w:t>
            </w:r>
            <w:r w:rsidR="00C357F5" w:rsidRPr="008F4E27">
              <w:rPr>
                <w:rFonts w:asciiTheme="minorHAnsi" w:hAnsiTheme="minorHAnsi" w:cstheme="minorHAnsi"/>
                <w:sz w:val="22"/>
                <w:szCs w:val="22"/>
                <w:lang w:val="fr-FR"/>
              </w:rPr>
              <w:t>e: M&amp;E Officer, Development Coordination Unit (DCU)</w:t>
            </w:r>
          </w:p>
          <w:p w14:paraId="71E07AAE" w14:textId="17E0D744" w:rsidR="00C357F5" w:rsidRPr="008F4E27" w:rsidRDefault="00C357F5" w:rsidP="00C357F5">
            <w:pPr>
              <w:rPr>
                <w:rFonts w:asciiTheme="minorHAnsi" w:hAnsiTheme="minorHAnsi" w:cstheme="minorHAnsi"/>
                <w:sz w:val="22"/>
                <w:szCs w:val="22"/>
              </w:rPr>
            </w:pPr>
            <w:r w:rsidRPr="008F4E27">
              <w:rPr>
                <w:rFonts w:asciiTheme="minorHAnsi" w:hAnsiTheme="minorHAnsi" w:cstheme="minorHAnsi"/>
                <w:sz w:val="22"/>
                <w:szCs w:val="22"/>
              </w:rPr>
              <w:t>Tel: +962 7 9657 9146</w:t>
            </w:r>
          </w:p>
          <w:p w14:paraId="7A57E70B" w14:textId="08002262" w:rsidR="008E3772" w:rsidRPr="008F4E27" w:rsidRDefault="00C357F5" w:rsidP="00C357F5">
            <w:pPr>
              <w:rPr>
                <w:rFonts w:asciiTheme="minorHAnsi" w:hAnsiTheme="minorHAnsi" w:cstheme="minorHAnsi"/>
                <w:sz w:val="22"/>
                <w:szCs w:val="22"/>
              </w:rPr>
            </w:pPr>
            <w:r w:rsidRPr="008F4E27">
              <w:rPr>
                <w:rFonts w:asciiTheme="minorHAnsi" w:hAnsiTheme="minorHAnsi" w:cstheme="minorHAnsi"/>
                <w:sz w:val="22"/>
                <w:szCs w:val="22"/>
              </w:rPr>
              <w:t>Email:</w:t>
            </w:r>
            <w:r w:rsidRPr="008F4E27">
              <w:rPr>
                <w:rFonts w:asciiTheme="minorHAnsi" w:hAnsiTheme="minorHAnsi" w:cstheme="minorHAnsi"/>
                <w:sz w:val="22"/>
                <w:szCs w:val="22"/>
              </w:rPr>
              <w:tab/>
              <w:t>Fawaz.Al-Hammouri@MOE.GOV.JO</w:t>
            </w:r>
            <w:r w:rsidR="008E3772" w:rsidRPr="008F4E27">
              <w:rPr>
                <w:rFonts w:asciiTheme="minorHAnsi" w:hAnsiTheme="minorHAnsi" w:cstheme="minorHAnsi"/>
                <w:sz w:val="22"/>
                <w:szCs w:val="22"/>
              </w:rPr>
              <w:tab/>
            </w:r>
            <w:r w:rsidR="008E3772" w:rsidRPr="008F4E27">
              <w:rPr>
                <w:rFonts w:asciiTheme="minorHAnsi" w:hAnsiTheme="minorHAnsi" w:cstheme="minorHAnsi"/>
                <w:sz w:val="22"/>
                <w:szCs w:val="22"/>
              </w:rPr>
              <w:tab/>
            </w:r>
          </w:p>
          <w:p w14:paraId="19477DA5" w14:textId="77777777" w:rsidR="008E3772" w:rsidRPr="008F4E27" w:rsidRDefault="008E3772" w:rsidP="008E3772">
            <w:pPr>
              <w:rPr>
                <w:rFonts w:asciiTheme="minorHAnsi" w:hAnsiTheme="minorHAnsi" w:cstheme="minorHAnsi"/>
                <w:sz w:val="22"/>
                <w:szCs w:val="22"/>
              </w:rPr>
            </w:pPr>
          </w:p>
          <w:p w14:paraId="6B80FF31" w14:textId="456D881C" w:rsidR="008E3772" w:rsidRPr="008F4E27" w:rsidRDefault="008E3772" w:rsidP="001321D1">
            <w:pPr>
              <w:rPr>
                <w:rFonts w:asciiTheme="minorHAnsi" w:hAnsiTheme="minorHAnsi" w:cstheme="minorHAnsi"/>
                <w:b/>
                <w:sz w:val="22"/>
                <w:szCs w:val="22"/>
              </w:rPr>
            </w:pPr>
            <w:r w:rsidRPr="008F4E27">
              <w:rPr>
                <w:rFonts w:asciiTheme="minorHAnsi" w:hAnsiTheme="minorHAnsi" w:cstheme="minorHAnsi"/>
                <w:b/>
                <w:sz w:val="22"/>
                <w:szCs w:val="22"/>
              </w:rPr>
              <w:t>For more information contact:</w:t>
            </w:r>
          </w:p>
          <w:p w14:paraId="4ECAF874" w14:textId="21DC8E82"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The InfoShop</w:t>
            </w:r>
          </w:p>
          <w:p w14:paraId="5BAA6B81" w14:textId="77777777"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The World Bank</w:t>
            </w:r>
          </w:p>
          <w:p w14:paraId="33EB2D40" w14:textId="77777777"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1818 H Street, NW</w:t>
            </w:r>
          </w:p>
          <w:p w14:paraId="6033AD9D" w14:textId="77777777"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Washington, D.C. 20433</w:t>
            </w:r>
          </w:p>
          <w:p w14:paraId="3998572C" w14:textId="77777777"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Telephone:  (202) 458-4500</w:t>
            </w:r>
          </w:p>
          <w:p w14:paraId="2455057C" w14:textId="77777777" w:rsidR="008E3772" w:rsidRPr="008F4E27" w:rsidRDefault="008E3772" w:rsidP="008E3772">
            <w:pPr>
              <w:rPr>
                <w:rFonts w:asciiTheme="minorHAnsi" w:hAnsiTheme="minorHAnsi" w:cstheme="minorHAnsi"/>
                <w:sz w:val="22"/>
                <w:szCs w:val="22"/>
              </w:rPr>
            </w:pPr>
            <w:r w:rsidRPr="008F4E27">
              <w:rPr>
                <w:rFonts w:asciiTheme="minorHAnsi" w:hAnsiTheme="minorHAnsi" w:cstheme="minorHAnsi"/>
                <w:sz w:val="22"/>
                <w:szCs w:val="22"/>
              </w:rPr>
              <w:t>Fax:  (202) 522-1500</w:t>
            </w:r>
          </w:p>
          <w:p w14:paraId="208BDC42" w14:textId="15A4A17E" w:rsidR="008E3772" w:rsidRPr="008F4E27" w:rsidRDefault="008E3772" w:rsidP="00F97E27">
            <w:pPr>
              <w:rPr>
                <w:rFonts w:asciiTheme="minorHAnsi" w:hAnsiTheme="minorHAnsi" w:cstheme="minorHAnsi"/>
                <w:b/>
                <w:bCs/>
                <w:sz w:val="22"/>
                <w:szCs w:val="22"/>
              </w:rPr>
            </w:pPr>
            <w:r w:rsidRPr="008F4E27">
              <w:rPr>
                <w:rFonts w:asciiTheme="minorHAnsi" w:hAnsiTheme="minorHAnsi" w:cstheme="minorHAnsi"/>
                <w:sz w:val="22"/>
                <w:szCs w:val="22"/>
              </w:rPr>
              <w:t>Web: http://www.worldbank.org/infoshop</w:t>
            </w:r>
          </w:p>
        </w:tc>
      </w:tr>
      <w:tr w:rsidR="007101C9" w:rsidRPr="008F4E27" w14:paraId="652CA592" w14:textId="77777777" w:rsidTr="008E3772">
        <w:tc>
          <w:tcPr>
            <w:tcW w:w="9576" w:type="dxa"/>
          </w:tcPr>
          <w:p w14:paraId="70220BD4" w14:textId="77777777" w:rsidR="007101C9" w:rsidRPr="008F4E27" w:rsidRDefault="007101C9" w:rsidP="008E3772">
            <w:pPr>
              <w:jc w:val="center"/>
              <w:rPr>
                <w:rFonts w:asciiTheme="minorHAnsi" w:hAnsiTheme="minorHAnsi" w:cstheme="minorHAnsi"/>
                <w:b/>
                <w:bCs/>
                <w:sz w:val="22"/>
                <w:szCs w:val="22"/>
              </w:rPr>
            </w:pPr>
          </w:p>
        </w:tc>
      </w:tr>
    </w:tbl>
    <w:p w14:paraId="443D19AB" w14:textId="77777777" w:rsidR="008E3772" w:rsidRPr="00551BC9" w:rsidRDefault="008E3772" w:rsidP="008E3772">
      <w:pPr>
        <w:rPr>
          <w:rFonts w:asciiTheme="majorBidi" w:hAnsiTheme="majorBidi" w:cstheme="majorBidi"/>
          <w:b/>
          <w:bCs/>
          <w:sz w:val="22"/>
          <w:szCs w:val="22"/>
        </w:rPr>
      </w:pPr>
      <w:bookmarkStart w:id="4" w:name="_GoBack"/>
      <w:bookmarkEnd w:id="4"/>
    </w:p>
    <w:sectPr w:rsidR="008E3772" w:rsidRPr="00551BC9"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5F99" w14:textId="77777777" w:rsidR="00593547" w:rsidRDefault="00593547">
      <w:r>
        <w:separator/>
      </w:r>
    </w:p>
  </w:endnote>
  <w:endnote w:type="continuationSeparator" w:id="0">
    <w:p w14:paraId="493D4B84" w14:textId="77777777" w:rsidR="00593547" w:rsidRDefault="005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AC12" w14:textId="77777777" w:rsidR="00593547" w:rsidRDefault="00593547">
      <w:r>
        <w:separator/>
      </w:r>
    </w:p>
  </w:footnote>
  <w:footnote w:type="continuationSeparator" w:id="0">
    <w:p w14:paraId="349E4901" w14:textId="77777777" w:rsidR="00593547" w:rsidRDefault="00593547">
      <w:r>
        <w:continuationSeparator/>
      </w:r>
    </w:p>
  </w:footnote>
  <w:footnote w:id="1">
    <w:p w14:paraId="45E5FC05" w14:textId="77777777" w:rsidR="00302563" w:rsidRPr="00F21955" w:rsidRDefault="00302563" w:rsidP="00302563">
      <w:pPr>
        <w:pStyle w:val="FootnoteText"/>
        <w:rPr>
          <w:rFonts w:asciiTheme="minorHAnsi" w:hAnsiTheme="minorHAnsi" w:cstheme="minorHAnsi"/>
        </w:rPr>
      </w:pPr>
      <w:r w:rsidRPr="00EF55E6">
        <w:rPr>
          <w:rStyle w:val="FootnoteReference"/>
          <w:rFonts w:asciiTheme="minorHAnsi" w:hAnsiTheme="minorHAnsi" w:cstheme="minorHAnsi"/>
        </w:rPr>
        <w:footnoteRef/>
      </w:r>
      <w:r w:rsidRPr="00EF55E6">
        <w:rPr>
          <w:rFonts w:asciiTheme="minorHAnsi" w:hAnsiTheme="minorHAnsi" w:cstheme="minorHAnsi"/>
        </w:rPr>
        <w:t xml:space="preserve"> </w:t>
      </w:r>
      <w:r w:rsidRPr="00F21955">
        <w:rPr>
          <w:rFonts w:asciiTheme="minorHAnsi" w:hAnsiTheme="minorHAnsi" w:cstheme="minorHAnsi"/>
        </w:rPr>
        <w:t>Human Development Data (1990</w:t>
      </w:r>
      <w:r>
        <w:rPr>
          <w:rFonts w:asciiTheme="minorHAnsi" w:hAnsiTheme="minorHAnsi" w:cstheme="minorHAnsi"/>
        </w:rPr>
        <w:t>–</w:t>
      </w:r>
      <w:r w:rsidRPr="00F21955">
        <w:rPr>
          <w:rFonts w:asciiTheme="minorHAnsi" w:hAnsiTheme="minorHAnsi" w:cstheme="minorHAnsi"/>
        </w:rPr>
        <w:t>2015); Human Development Report 2016.</w:t>
      </w:r>
    </w:p>
  </w:footnote>
  <w:footnote w:id="2">
    <w:p w14:paraId="23022762" w14:textId="77777777" w:rsidR="00302563" w:rsidRPr="00F21955" w:rsidRDefault="00302563" w:rsidP="00302563">
      <w:pPr>
        <w:pStyle w:val="FootnoteText"/>
        <w:rPr>
          <w:rFonts w:asciiTheme="minorHAnsi" w:hAnsiTheme="minorHAnsi" w:cstheme="minorHAnsi"/>
        </w:rPr>
      </w:pPr>
      <w:r w:rsidRPr="00F21955">
        <w:rPr>
          <w:rStyle w:val="FootnoteReference"/>
          <w:rFonts w:asciiTheme="minorHAnsi" w:hAnsiTheme="minorHAnsi" w:cstheme="minorHAnsi"/>
        </w:rPr>
        <w:footnoteRef/>
      </w:r>
      <w:r w:rsidRPr="00F21955">
        <w:rPr>
          <w:rFonts w:asciiTheme="minorHAnsi" w:hAnsiTheme="minorHAnsi" w:cstheme="minorHAnsi"/>
        </w:rPr>
        <w:t xml:space="preserve"> United Nations High Commissioner for Refugees (UNHCR), August 6, 2017.</w:t>
      </w:r>
    </w:p>
  </w:footnote>
  <w:footnote w:id="3">
    <w:p w14:paraId="24AD8CBB" w14:textId="77777777" w:rsidR="00302563" w:rsidRPr="00F21955" w:rsidRDefault="00302563" w:rsidP="00302563">
      <w:pPr>
        <w:pStyle w:val="FootnoteText"/>
        <w:rPr>
          <w:rFonts w:asciiTheme="minorHAnsi" w:hAnsiTheme="minorHAnsi"/>
        </w:rPr>
      </w:pPr>
      <w:r w:rsidRPr="00F21955">
        <w:rPr>
          <w:rStyle w:val="FootnoteReference"/>
          <w:rFonts w:asciiTheme="minorHAnsi" w:hAnsiTheme="minorHAnsi"/>
        </w:rPr>
        <w:footnoteRef/>
      </w:r>
      <w:r w:rsidRPr="00F21955">
        <w:rPr>
          <w:rFonts w:asciiTheme="minorHAnsi" w:hAnsiTheme="minorHAnsi"/>
        </w:rPr>
        <w:t xml:space="preserve"> Brussels Conference Paper, 2017.</w:t>
      </w:r>
    </w:p>
  </w:footnote>
  <w:footnote w:id="4">
    <w:p w14:paraId="30FCA944" w14:textId="77777777" w:rsidR="00302563" w:rsidRPr="00F21955" w:rsidRDefault="00302563" w:rsidP="00302563">
      <w:pPr>
        <w:pStyle w:val="FootnoteText"/>
        <w:rPr>
          <w:rFonts w:asciiTheme="minorHAnsi" w:hAnsiTheme="minorHAnsi" w:cstheme="minorHAnsi"/>
        </w:rPr>
      </w:pPr>
      <w:r w:rsidRPr="00F21955">
        <w:rPr>
          <w:rStyle w:val="FootnoteReference"/>
          <w:rFonts w:asciiTheme="minorHAnsi" w:hAnsiTheme="minorHAnsi" w:cstheme="minorHAnsi"/>
        </w:rPr>
        <w:footnoteRef/>
      </w:r>
      <w:r w:rsidRPr="00F21955">
        <w:rPr>
          <w:rFonts w:asciiTheme="minorHAnsi" w:hAnsiTheme="minorHAnsi" w:cstheme="minorHAnsi"/>
        </w:rPr>
        <w:t xml:space="preserve"> Department of Statistics (D</w:t>
      </w:r>
      <w:r>
        <w:rPr>
          <w:rFonts w:asciiTheme="minorHAnsi" w:hAnsiTheme="minorHAnsi" w:cstheme="minorHAnsi"/>
        </w:rPr>
        <w:t>O</w:t>
      </w:r>
      <w:r w:rsidRPr="00F21955">
        <w:rPr>
          <w:rFonts w:asciiTheme="minorHAnsi" w:hAnsiTheme="minorHAnsi" w:cstheme="minorHAnsi"/>
        </w:rPr>
        <w:t>S); National census November 2016.</w:t>
      </w:r>
    </w:p>
  </w:footnote>
  <w:footnote w:id="5">
    <w:p w14:paraId="73AEFE57" w14:textId="38B3ED47" w:rsidR="00302563" w:rsidRPr="00F21955" w:rsidRDefault="00302563" w:rsidP="00667364">
      <w:pPr>
        <w:pStyle w:val="CommentText"/>
        <w:rPr>
          <w:rFonts w:asciiTheme="minorHAnsi" w:hAnsiTheme="minorHAnsi"/>
        </w:rPr>
      </w:pPr>
      <w:r w:rsidRPr="00F21955">
        <w:rPr>
          <w:rStyle w:val="FootnoteReference"/>
          <w:rFonts w:asciiTheme="minorHAnsi" w:hAnsiTheme="minorHAnsi" w:cstheme="minorHAnsi"/>
        </w:rPr>
        <w:footnoteRef/>
      </w:r>
      <w:r w:rsidRPr="00F21955">
        <w:rPr>
          <w:rFonts w:asciiTheme="minorHAnsi" w:hAnsiTheme="minorHAnsi" w:cstheme="minorHAnsi"/>
        </w:rPr>
        <w:t xml:space="preserve"> OECD</w:t>
      </w:r>
      <w:r>
        <w:rPr>
          <w:rFonts w:asciiTheme="minorHAnsi" w:hAnsiTheme="minorHAnsi" w:cstheme="minorHAnsi"/>
        </w:rPr>
        <w:t>.</w:t>
      </w:r>
      <w:r w:rsidRPr="00F21955">
        <w:rPr>
          <w:rFonts w:asciiTheme="minorHAnsi" w:hAnsiTheme="minorHAnsi" w:cstheme="minorHAnsi"/>
        </w:rPr>
        <w:t> 2016</w:t>
      </w:r>
      <w:r>
        <w:rPr>
          <w:rFonts w:asciiTheme="minorHAnsi" w:hAnsiTheme="minorHAnsi" w:cstheme="minorHAnsi"/>
        </w:rPr>
        <w:t>.</w:t>
      </w:r>
      <w:r w:rsidRPr="00F21955">
        <w:rPr>
          <w:rFonts w:asciiTheme="minorHAnsi" w:hAnsiTheme="minorHAnsi" w:cstheme="minorHAnsi"/>
        </w:rPr>
        <w:t> PISA 2015 Results (Volume I): Excellence and Equity in Education, OECD Publishing, Paris.</w:t>
      </w:r>
      <w:r w:rsidRPr="00F21955">
        <w:rPr>
          <w:rFonts w:asciiTheme="minorHAnsi" w:hAnsiTheme="minorHAnsi" w:cstheme="minorHAnsi"/>
        </w:rPr>
        <w:br/>
      </w:r>
      <w:hyperlink r:id="rId1" w:tgtFrame="_blank" w:tooltip="http://dx.doi.org/10.1787/9789264266490-en" w:history="1">
        <w:r w:rsidRPr="00F21955">
          <w:rPr>
            <w:rFonts w:asciiTheme="minorHAnsi" w:hAnsiTheme="minorHAnsi" w:cstheme="minorHAnsi"/>
          </w:rPr>
          <w:t>http://dx.doi.org/10.1787/9789264266490-en</w:t>
        </w:r>
      </w:hyperlink>
      <w:r w:rsidRPr="00F21955">
        <w:rPr>
          <w:rFonts w:asciiTheme="minorHAnsi" w:hAnsiTheme="minorHAnsi" w:cstheme="minorHAnsi"/>
        </w:rPr>
        <w:t>.</w:t>
      </w:r>
    </w:p>
  </w:footnote>
  <w:footnote w:id="6">
    <w:p w14:paraId="6E2C9D4F" w14:textId="77777777" w:rsidR="00302563" w:rsidRPr="00BA45D1" w:rsidRDefault="00302563" w:rsidP="00302563">
      <w:pPr>
        <w:pStyle w:val="FootnoteText"/>
        <w:rPr>
          <w:rFonts w:asciiTheme="minorHAnsi" w:hAnsiTheme="minorHAnsi" w:cstheme="majorBidi"/>
        </w:rPr>
      </w:pPr>
      <w:r w:rsidRPr="00334D57">
        <w:rPr>
          <w:rStyle w:val="FootnoteReference"/>
          <w:rFonts w:asciiTheme="minorHAnsi" w:hAnsiTheme="minorHAnsi" w:cstheme="majorBidi"/>
        </w:rPr>
        <w:footnoteRef/>
      </w:r>
      <w:r w:rsidRPr="00317D45">
        <w:rPr>
          <w:rFonts w:asciiTheme="minorHAnsi" w:hAnsiTheme="minorHAnsi" w:cstheme="majorBidi"/>
        </w:rPr>
        <w:t xml:space="preserve"> </w:t>
      </w:r>
      <w:r w:rsidRPr="000C48D3">
        <w:rPr>
          <w:rFonts w:asciiTheme="minorHAnsi" w:hAnsiTheme="minorHAnsi" w:cstheme="majorBidi"/>
        </w:rPr>
        <w:t xml:space="preserve">World Bank </w:t>
      </w:r>
      <w:r w:rsidRPr="00BA45D1">
        <w:rPr>
          <w:rFonts w:asciiTheme="minorHAnsi" w:hAnsiTheme="minorHAnsi" w:cstheme="majorBidi"/>
        </w:rPr>
        <w:t>EdStats data base—illiteracy rates, primary gross enrollment ratio, and transition rate to secondary school.</w:t>
      </w:r>
    </w:p>
  </w:footnote>
  <w:footnote w:id="7">
    <w:p w14:paraId="409BD783" w14:textId="77777777" w:rsidR="00302563" w:rsidRPr="000C48D3" w:rsidRDefault="00302563" w:rsidP="00302563">
      <w:pPr>
        <w:pStyle w:val="FootnoteText"/>
        <w:jc w:val="both"/>
        <w:rPr>
          <w:rFonts w:asciiTheme="minorHAnsi" w:hAnsiTheme="minorHAnsi"/>
        </w:rPr>
      </w:pPr>
      <w:r w:rsidRPr="000C48D3">
        <w:rPr>
          <w:rStyle w:val="FootnoteReference"/>
          <w:rFonts w:asciiTheme="minorHAnsi" w:hAnsiTheme="minorHAnsi"/>
        </w:rPr>
        <w:footnoteRef/>
      </w:r>
      <w:r w:rsidRPr="000C48D3">
        <w:rPr>
          <w:rFonts w:asciiTheme="minorHAnsi" w:hAnsiTheme="minorHAnsi"/>
        </w:rPr>
        <w:t xml:space="preserve"> The Jordan Compact was presented at the 2016 London conference and sets out a series of major commitments aimed at improving the resilience of refugee and host communities, focusing mainly on livelihoods and education.</w:t>
      </w:r>
    </w:p>
  </w:footnote>
  <w:footnote w:id="8">
    <w:p w14:paraId="35A78126" w14:textId="77777777" w:rsidR="00302563" w:rsidRPr="000C48D3" w:rsidRDefault="00302563" w:rsidP="00302563">
      <w:pPr>
        <w:pStyle w:val="FootnoteText"/>
        <w:rPr>
          <w:rFonts w:asciiTheme="minorHAnsi" w:hAnsiTheme="minorHAnsi"/>
        </w:rPr>
      </w:pPr>
      <w:r w:rsidRPr="000C48D3">
        <w:rPr>
          <w:rStyle w:val="FootnoteReference"/>
          <w:rFonts w:asciiTheme="minorHAnsi" w:hAnsiTheme="minorHAnsi"/>
        </w:rPr>
        <w:footnoteRef/>
      </w:r>
      <w:r w:rsidRPr="000C48D3">
        <w:rPr>
          <w:rFonts w:asciiTheme="minorHAnsi" w:hAnsiTheme="minorHAnsi"/>
        </w:rPr>
        <w:t xml:space="preserve"> These include the governments of the United States (USAID), UK (DFID), EU, Canada, Norway, and Germany (KFW).</w:t>
      </w:r>
    </w:p>
  </w:footnote>
  <w:footnote w:id="9">
    <w:p w14:paraId="7612705C" w14:textId="77777777" w:rsidR="00302563" w:rsidRPr="000C48D3" w:rsidRDefault="00302563" w:rsidP="00302563">
      <w:pPr>
        <w:pStyle w:val="FootnoteText"/>
        <w:rPr>
          <w:rFonts w:asciiTheme="minorHAnsi" w:hAnsiTheme="minorHAnsi"/>
        </w:rPr>
      </w:pPr>
      <w:r w:rsidRPr="000C48D3">
        <w:rPr>
          <w:rStyle w:val="FootnoteReference"/>
          <w:rFonts w:asciiTheme="minorHAnsi" w:hAnsiTheme="minorHAnsi"/>
        </w:rPr>
        <w:footnoteRef/>
      </w:r>
      <w:r w:rsidRPr="000C48D3">
        <w:rPr>
          <w:rFonts w:asciiTheme="minorHAnsi" w:hAnsiTheme="minorHAnsi"/>
        </w:rPr>
        <w:t xml:space="preserve"> </w:t>
      </w:r>
      <w:r w:rsidRPr="00BA45D1">
        <w:rPr>
          <w:rFonts w:asciiTheme="minorHAnsi" w:hAnsiTheme="minorHAnsi" w:cstheme="minorHAnsi"/>
        </w:rPr>
        <w:t>Brussels conference paper, 2017.</w:t>
      </w:r>
    </w:p>
  </w:footnote>
  <w:footnote w:id="10">
    <w:p w14:paraId="3C6D664B" w14:textId="77777777" w:rsidR="00302563" w:rsidRPr="00F21955" w:rsidRDefault="00302563" w:rsidP="00302563">
      <w:pPr>
        <w:rPr>
          <w:rFonts w:asciiTheme="minorHAnsi" w:hAnsiTheme="minorHAnsi" w:cstheme="majorBidi"/>
          <w:sz w:val="20"/>
          <w:szCs w:val="20"/>
        </w:rPr>
      </w:pPr>
      <w:r w:rsidRPr="009A5732">
        <w:rPr>
          <w:rStyle w:val="FootnoteReference"/>
          <w:rFonts w:cstheme="majorBidi"/>
          <w:sz w:val="20"/>
          <w:szCs w:val="20"/>
        </w:rPr>
        <w:footnoteRef/>
      </w:r>
      <w:r w:rsidRPr="007E6B5D">
        <w:rPr>
          <w:rFonts w:cstheme="majorBidi"/>
          <w:sz w:val="20"/>
          <w:szCs w:val="20"/>
        </w:rPr>
        <w:t xml:space="preserve"> </w:t>
      </w:r>
      <w:r w:rsidRPr="00F21955">
        <w:rPr>
          <w:rFonts w:asciiTheme="minorHAnsi" w:hAnsiTheme="minorHAnsi" w:cstheme="majorBidi"/>
          <w:sz w:val="20"/>
          <w:szCs w:val="20"/>
        </w:rPr>
        <w:t xml:space="preserve">Gertler </w:t>
      </w:r>
      <w:r>
        <w:rPr>
          <w:rFonts w:asciiTheme="minorHAnsi" w:hAnsiTheme="minorHAnsi" w:cstheme="majorBidi"/>
          <w:sz w:val="20"/>
          <w:szCs w:val="20"/>
        </w:rPr>
        <w:t>and others</w:t>
      </w:r>
      <w:r w:rsidRPr="00F21955">
        <w:rPr>
          <w:rFonts w:asciiTheme="minorHAnsi" w:hAnsiTheme="minorHAnsi" w:cstheme="majorBidi"/>
          <w:sz w:val="20"/>
          <w:szCs w:val="20"/>
        </w:rPr>
        <w:t xml:space="preserve">. 2014, Karoly 2016, Phillips </w:t>
      </w:r>
      <w:r>
        <w:rPr>
          <w:rFonts w:asciiTheme="minorHAnsi" w:hAnsiTheme="minorHAnsi" w:cstheme="majorBidi"/>
          <w:sz w:val="20"/>
          <w:szCs w:val="20"/>
        </w:rPr>
        <w:t>and others</w:t>
      </w:r>
      <w:r w:rsidRPr="00F21955">
        <w:rPr>
          <w:rFonts w:asciiTheme="minorHAnsi" w:hAnsiTheme="minorHAnsi" w:cstheme="majorBidi"/>
          <w:sz w:val="20"/>
          <w:szCs w:val="20"/>
        </w:rPr>
        <w:t xml:space="preserve">. 2016., Dickens </w:t>
      </w:r>
      <w:r>
        <w:rPr>
          <w:rFonts w:asciiTheme="minorHAnsi" w:hAnsiTheme="minorHAnsi" w:cstheme="majorBidi"/>
          <w:sz w:val="20"/>
          <w:szCs w:val="20"/>
        </w:rPr>
        <w:t>and others</w:t>
      </w:r>
      <w:r w:rsidRPr="00F21955">
        <w:rPr>
          <w:rFonts w:asciiTheme="minorHAnsi" w:hAnsiTheme="minorHAnsi" w:cstheme="majorBidi"/>
          <w:sz w:val="20"/>
          <w:szCs w:val="20"/>
        </w:rPr>
        <w:t>. 2006.</w:t>
      </w:r>
    </w:p>
  </w:footnote>
  <w:footnote w:id="11">
    <w:p w14:paraId="4BFA223D" w14:textId="77777777" w:rsidR="00302563" w:rsidRPr="00F21955" w:rsidRDefault="00302563" w:rsidP="00302563">
      <w:pPr>
        <w:pStyle w:val="FootnoteText"/>
        <w:rPr>
          <w:rFonts w:asciiTheme="minorHAnsi" w:hAnsiTheme="minorHAnsi" w:cstheme="majorBidi"/>
        </w:rPr>
      </w:pPr>
      <w:r w:rsidRPr="00F21955">
        <w:rPr>
          <w:rStyle w:val="FootnoteReference"/>
          <w:rFonts w:asciiTheme="minorHAnsi" w:hAnsiTheme="minorHAnsi" w:cstheme="majorBidi"/>
        </w:rPr>
        <w:footnoteRef/>
      </w:r>
      <w:r w:rsidRPr="00F21955">
        <w:rPr>
          <w:rFonts w:asciiTheme="minorHAnsi" w:hAnsiTheme="minorHAnsi" w:cstheme="majorBidi"/>
        </w:rPr>
        <w:t xml:space="preserve"> El-Kogali </w:t>
      </w:r>
      <w:r>
        <w:rPr>
          <w:rFonts w:asciiTheme="minorHAnsi" w:hAnsiTheme="minorHAnsi" w:cstheme="majorBidi"/>
        </w:rPr>
        <w:t>and</w:t>
      </w:r>
      <w:r w:rsidRPr="00F21955">
        <w:rPr>
          <w:rFonts w:asciiTheme="minorHAnsi" w:hAnsiTheme="minorHAnsi" w:cstheme="majorBidi"/>
        </w:rPr>
        <w:t xml:space="preserve"> Krafft 2015; EDI 2014.</w:t>
      </w:r>
    </w:p>
  </w:footnote>
  <w:footnote w:id="12">
    <w:p w14:paraId="56005394" w14:textId="77777777" w:rsidR="00302563" w:rsidRPr="000C48D3" w:rsidRDefault="00302563" w:rsidP="00302563">
      <w:pPr>
        <w:pStyle w:val="FootnoteText"/>
        <w:rPr>
          <w:rFonts w:asciiTheme="minorHAnsi" w:hAnsiTheme="minorHAnsi" w:cstheme="majorBidi"/>
        </w:rPr>
      </w:pPr>
      <w:r w:rsidRPr="000C48D3">
        <w:rPr>
          <w:rFonts w:asciiTheme="minorHAnsi" w:hAnsiTheme="minorHAnsi" w:cstheme="majorBidi"/>
          <w:vertAlign w:val="superscript"/>
        </w:rPr>
        <w:footnoteRef/>
      </w:r>
      <w:r w:rsidRPr="000C48D3">
        <w:rPr>
          <w:rFonts w:asciiTheme="minorHAnsi" w:hAnsiTheme="minorHAnsi" w:cstheme="majorBidi"/>
          <w:vertAlign w:val="superscript"/>
        </w:rPr>
        <w:t xml:space="preserve"> </w:t>
      </w:r>
      <w:r w:rsidRPr="000C48D3">
        <w:rPr>
          <w:rFonts w:asciiTheme="minorHAnsi" w:hAnsiTheme="minorHAnsi" w:cstheme="majorBidi"/>
        </w:rPr>
        <w:t>According to MOE data for the 2015-2016 academic year, enrollment is similar for girls and boys</w:t>
      </w:r>
      <w:r>
        <w:rPr>
          <w:rFonts w:asciiTheme="minorHAnsi" w:hAnsiTheme="minorHAnsi" w:cstheme="majorBidi"/>
        </w:rPr>
        <w:t>.</w:t>
      </w:r>
    </w:p>
  </w:footnote>
  <w:footnote w:id="13">
    <w:p w14:paraId="6593314D" w14:textId="77777777" w:rsidR="00302563" w:rsidRPr="009A5732" w:rsidRDefault="00302563" w:rsidP="00302563">
      <w:pPr>
        <w:pStyle w:val="FootnoteText"/>
        <w:rPr>
          <w:rFonts w:asciiTheme="minorHAnsi" w:hAnsiTheme="minorHAnsi" w:cstheme="majorBidi"/>
        </w:rPr>
      </w:pPr>
      <w:r w:rsidRPr="009A5732">
        <w:rPr>
          <w:rStyle w:val="FootnoteReference"/>
          <w:rFonts w:asciiTheme="minorHAnsi" w:hAnsiTheme="minorHAnsi" w:cstheme="majorBidi"/>
        </w:rPr>
        <w:footnoteRef/>
      </w:r>
      <w:r w:rsidRPr="009A5732">
        <w:rPr>
          <w:rFonts w:asciiTheme="minorHAnsi" w:hAnsiTheme="minorHAnsi" w:cstheme="majorBidi"/>
        </w:rPr>
        <w:t xml:space="preserve"> Latest (2012) EGRA and EGMA scores for Jordan.</w:t>
      </w:r>
    </w:p>
  </w:footnote>
  <w:footnote w:id="14">
    <w:p w14:paraId="5AD73D53" w14:textId="77777777" w:rsidR="00302563" w:rsidRPr="009A5732" w:rsidRDefault="00302563" w:rsidP="00302563">
      <w:pPr>
        <w:pStyle w:val="FootnoteText"/>
        <w:rPr>
          <w:rFonts w:asciiTheme="minorHAnsi" w:hAnsiTheme="minorHAnsi" w:cstheme="majorBidi"/>
        </w:rPr>
      </w:pPr>
      <w:r w:rsidRPr="009A5732">
        <w:rPr>
          <w:rStyle w:val="FootnoteReference"/>
          <w:rFonts w:asciiTheme="minorHAnsi" w:hAnsiTheme="minorHAnsi" w:cstheme="majorBidi"/>
        </w:rPr>
        <w:footnoteRef/>
      </w:r>
      <w:r w:rsidRPr="009A5732">
        <w:rPr>
          <w:rFonts w:asciiTheme="minorHAnsi" w:hAnsiTheme="minorHAnsi" w:cstheme="majorBidi"/>
        </w:rPr>
        <w:t xml:space="preserve"> </w:t>
      </w:r>
      <w:r>
        <w:rPr>
          <w:rFonts w:asciiTheme="minorHAnsi" w:hAnsiTheme="minorHAnsi" w:cstheme="majorBidi"/>
        </w:rPr>
        <w:t>Thirty</w:t>
      </w:r>
      <w:r w:rsidRPr="009A5732">
        <w:rPr>
          <w:rFonts w:asciiTheme="minorHAnsi" w:hAnsiTheme="minorHAnsi" w:cstheme="majorBidi"/>
        </w:rPr>
        <w:t xml:space="preserve"> points in the PISA scale are estimated to be the equivalent of roughly one year of schooling.</w:t>
      </w:r>
    </w:p>
  </w:footnote>
  <w:footnote w:id="15">
    <w:p w14:paraId="0E5877A4" w14:textId="77777777" w:rsidR="00302563" w:rsidRPr="00505242" w:rsidRDefault="00302563" w:rsidP="00302563">
      <w:pPr>
        <w:pStyle w:val="FootnoteText"/>
        <w:jc w:val="both"/>
        <w:rPr>
          <w:rFonts w:asciiTheme="minorHAnsi" w:hAnsiTheme="minorHAnsi"/>
        </w:rPr>
      </w:pPr>
      <w:r w:rsidRPr="00953F9D">
        <w:rPr>
          <w:rStyle w:val="FootnoteReference"/>
          <w:rFonts w:asciiTheme="minorHAnsi" w:hAnsiTheme="minorHAnsi"/>
        </w:rPr>
        <w:footnoteRef/>
      </w:r>
      <w:r w:rsidRPr="00953F9D">
        <w:rPr>
          <w:rFonts w:asciiTheme="minorHAnsi" w:hAnsiTheme="minorHAnsi"/>
        </w:rPr>
        <w:t xml:space="preserve"> TIMSS </w:t>
      </w:r>
      <w:r w:rsidRPr="005E44A7">
        <w:rPr>
          <w:rFonts w:asciiTheme="minorHAnsi" w:hAnsiTheme="minorHAnsi"/>
        </w:rPr>
        <w:t xml:space="preserve">assesses </w:t>
      </w:r>
      <w:r>
        <w:rPr>
          <w:rFonts w:asciiTheme="minorHAnsi" w:hAnsiTheme="minorHAnsi"/>
        </w:rPr>
        <w:t>g</w:t>
      </w:r>
      <w:r w:rsidRPr="005E44A7">
        <w:rPr>
          <w:rFonts w:asciiTheme="minorHAnsi" w:hAnsiTheme="minorHAnsi"/>
        </w:rPr>
        <w:t xml:space="preserve">rades 4 and 8 students worldwide, but Jordan only participates in </w:t>
      </w:r>
      <w:r>
        <w:rPr>
          <w:rFonts w:asciiTheme="minorHAnsi" w:hAnsiTheme="minorHAnsi"/>
        </w:rPr>
        <w:t xml:space="preserve">the </w:t>
      </w:r>
      <w:r w:rsidRPr="005E44A7">
        <w:rPr>
          <w:rFonts w:asciiTheme="minorHAnsi" w:hAnsiTheme="minorHAnsi"/>
        </w:rPr>
        <w:t>grade</w:t>
      </w:r>
      <w:r w:rsidRPr="00505242">
        <w:rPr>
          <w:rFonts w:asciiTheme="minorHAnsi" w:hAnsiTheme="minorHAnsi"/>
        </w:rPr>
        <w:t xml:space="preserve"> </w:t>
      </w:r>
      <w:r>
        <w:rPr>
          <w:rFonts w:asciiTheme="minorHAnsi" w:hAnsiTheme="minorHAnsi"/>
        </w:rPr>
        <w:t>8</w:t>
      </w:r>
      <w:r w:rsidRPr="00505242">
        <w:rPr>
          <w:rFonts w:asciiTheme="minorHAnsi" w:hAnsiTheme="minorHAnsi"/>
        </w:rPr>
        <w:t xml:space="preserve"> assessment.</w:t>
      </w:r>
    </w:p>
  </w:footnote>
  <w:footnote w:id="16">
    <w:p w14:paraId="72F283ED" w14:textId="77777777" w:rsidR="00302563" w:rsidRPr="00505242" w:rsidRDefault="00302563" w:rsidP="00302563">
      <w:pPr>
        <w:pStyle w:val="FootnoteText"/>
        <w:jc w:val="both"/>
        <w:rPr>
          <w:rFonts w:asciiTheme="minorHAnsi" w:hAnsiTheme="minorHAnsi"/>
        </w:rPr>
      </w:pPr>
      <w:r w:rsidRPr="00505242">
        <w:rPr>
          <w:rStyle w:val="FootnoteReference"/>
          <w:rFonts w:asciiTheme="minorHAnsi" w:hAnsiTheme="minorHAnsi"/>
        </w:rPr>
        <w:footnoteRef/>
      </w:r>
      <w:r w:rsidRPr="00505242">
        <w:rPr>
          <w:rFonts w:asciiTheme="minorHAnsi" w:hAnsiTheme="minorHAnsi"/>
        </w:rPr>
        <w:t xml:space="preserve"> EGRA and EGMA were sponsored and supported by USAID and </w:t>
      </w:r>
      <w:r>
        <w:rPr>
          <w:rFonts w:asciiTheme="minorHAnsi" w:hAnsiTheme="minorHAnsi"/>
        </w:rPr>
        <w:t>are</w:t>
      </w:r>
      <w:r w:rsidRPr="00505242">
        <w:rPr>
          <w:rFonts w:asciiTheme="minorHAnsi" w:hAnsiTheme="minorHAnsi"/>
        </w:rPr>
        <w:t xml:space="preserve"> considered </w:t>
      </w:r>
      <w:r>
        <w:rPr>
          <w:rFonts w:asciiTheme="minorHAnsi" w:hAnsiTheme="minorHAnsi"/>
        </w:rPr>
        <w:t xml:space="preserve">by GOJ </w:t>
      </w:r>
      <w:r w:rsidRPr="00505242">
        <w:rPr>
          <w:rFonts w:asciiTheme="minorHAnsi" w:hAnsiTheme="minorHAnsi"/>
        </w:rPr>
        <w:t xml:space="preserve">to be part of </w:t>
      </w:r>
      <w:r>
        <w:rPr>
          <w:rFonts w:asciiTheme="minorHAnsi" w:hAnsiTheme="minorHAnsi"/>
        </w:rPr>
        <w:t xml:space="preserve">the </w:t>
      </w:r>
      <w:r w:rsidRPr="00505242">
        <w:rPr>
          <w:rFonts w:asciiTheme="minorHAnsi" w:hAnsiTheme="minorHAnsi"/>
        </w:rPr>
        <w:t>institutional student assessment system in the country.</w:t>
      </w:r>
      <w:r>
        <w:rPr>
          <w:rFonts w:asciiTheme="minorHAnsi" w:hAnsiTheme="minorHAnsi"/>
        </w:rPr>
        <w:t xml:space="preserve"> Assessments were conducted nationwide over five years (2012-2017) in grades K-3 (about 400,000 children).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831DC"/>
    <w:multiLevelType w:val="hybridMultilevel"/>
    <w:tmpl w:val="9B90599E"/>
    <w:lvl w:ilvl="0" w:tplc="680E794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9A3DD5"/>
    <w:multiLevelType w:val="hybridMultilevel"/>
    <w:tmpl w:val="BDF28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E0ADD"/>
    <w:multiLevelType w:val="hybridMultilevel"/>
    <w:tmpl w:val="513E0C24"/>
    <w:lvl w:ilvl="0" w:tplc="FC26D4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4686"/>
    <w:multiLevelType w:val="hybridMultilevel"/>
    <w:tmpl w:val="C19ACFD0"/>
    <w:lvl w:ilvl="0" w:tplc="E0F807BC">
      <w:start w:val="1"/>
      <w:numFmt w:val="decimal"/>
      <w:lvlText w:val="%1."/>
      <w:lvlJc w:val="left"/>
      <w:pPr>
        <w:ind w:left="1620" w:hanging="360"/>
      </w:pPr>
      <w:rPr>
        <w:rFonts w:asciiTheme="minorHAnsi" w:hAnsiTheme="minorHAns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52231"/>
    <w:multiLevelType w:val="hybridMultilevel"/>
    <w:tmpl w:val="9C783CD0"/>
    <w:lvl w:ilvl="0" w:tplc="508C5AAC">
      <w:start w:val="1"/>
      <w:numFmt w:val="decimal"/>
      <w:lvlText w:val="%1."/>
      <w:lvlJc w:val="left"/>
      <w:pPr>
        <w:ind w:left="1620" w:hanging="360"/>
      </w:pPr>
      <w:rPr>
        <w:rFonts w:asciiTheme="majorBidi" w:hAnsiTheme="majorBid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61474"/>
    <w:multiLevelType w:val="hybridMultilevel"/>
    <w:tmpl w:val="A0B269CC"/>
    <w:lvl w:ilvl="0" w:tplc="51FA4D4E">
      <w:start w:val="1"/>
      <w:numFmt w:val="decimal"/>
      <w:lvlText w:val="%1."/>
      <w:lvlJc w:val="left"/>
      <w:pPr>
        <w:ind w:left="1620" w:hanging="360"/>
      </w:pPr>
      <w:rPr>
        <w:rFonts w:asciiTheme="minorHAnsi" w:hAnsiTheme="minorHAnsi" w:cstheme="minorHAns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86D7A"/>
    <w:multiLevelType w:val="hybridMultilevel"/>
    <w:tmpl w:val="186A033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95E02"/>
    <w:multiLevelType w:val="hybridMultilevel"/>
    <w:tmpl w:val="598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300FBC"/>
    <w:multiLevelType w:val="hybridMultilevel"/>
    <w:tmpl w:val="1A581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6336DA"/>
    <w:multiLevelType w:val="hybridMultilevel"/>
    <w:tmpl w:val="D7BCD112"/>
    <w:lvl w:ilvl="0" w:tplc="1B7497C8">
      <w:start w:val="1"/>
      <w:numFmt w:val="decimal"/>
      <w:pStyle w:val="Subheading1"/>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DC1B42"/>
    <w:multiLevelType w:val="hybridMultilevel"/>
    <w:tmpl w:val="A0B269CC"/>
    <w:lvl w:ilvl="0" w:tplc="51FA4D4E">
      <w:start w:val="1"/>
      <w:numFmt w:val="decimal"/>
      <w:lvlText w:val="%1."/>
      <w:lvlJc w:val="left"/>
      <w:pPr>
        <w:ind w:left="1620" w:hanging="360"/>
      </w:pPr>
      <w:rPr>
        <w:rFonts w:asciiTheme="minorHAnsi" w:hAnsiTheme="minorHAnsi" w:cstheme="minorHAns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70862"/>
    <w:multiLevelType w:val="hybridMultilevel"/>
    <w:tmpl w:val="FBBE4968"/>
    <w:lvl w:ilvl="0" w:tplc="6DA27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D2B61"/>
    <w:multiLevelType w:val="hybridMultilevel"/>
    <w:tmpl w:val="AD565A6E"/>
    <w:lvl w:ilvl="0" w:tplc="EB329B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4358A"/>
    <w:multiLevelType w:val="hybridMultilevel"/>
    <w:tmpl w:val="9C783CD0"/>
    <w:lvl w:ilvl="0" w:tplc="508C5AAC">
      <w:start w:val="1"/>
      <w:numFmt w:val="decimal"/>
      <w:lvlText w:val="%1."/>
      <w:lvlJc w:val="left"/>
      <w:pPr>
        <w:ind w:left="1620" w:hanging="360"/>
      </w:pPr>
      <w:rPr>
        <w:rFonts w:asciiTheme="majorBidi" w:hAnsiTheme="majorBid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E74BD6"/>
    <w:multiLevelType w:val="hybridMultilevel"/>
    <w:tmpl w:val="CC7A0AB6"/>
    <w:lvl w:ilvl="0" w:tplc="540A76D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CA3096"/>
    <w:multiLevelType w:val="hybridMultilevel"/>
    <w:tmpl w:val="9C783CD0"/>
    <w:lvl w:ilvl="0" w:tplc="508C5AAC">
      <w:start w:val="1"/>
      <w:numFmt w:val="decimal"/>
      <w:lvlText w:val="%1."/>
      <w:lvlJc w:val="left"/>
      <w:pPr>
        <w:ind w:left="1620" w:hanging="360"/>
      </w:pPr>
      <w:rPr>
        <w:rFonts w:asciiTheme="majorBidi" w:hAnsiTheme="majorBidi" w:cstheme="majorBid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54F4A"/>
    <w:multiLevelType w:val="hybridMultilevel"/>
    <w:tmpl w:val="09A0B02E"/>
    <w:lvl w:ilvl="0" w:tplc="F75C222A">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445B8"/>
    <w:multiLevelType w:val="hybridMultilevel"/>
    <w:tmpl w:val="F026A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4532B1"/>
    <w:multiLevelType w:val="hybridMultilevel"/>
    <w:tmpl w:val="EAEAA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1" w15:restartNumberingAfterBreak="0">
    <w:nsid w:val="773D2F0C"/>
    <w:multiLevelType w:val="hybridMultilevel"/>
    <w:tmpl w:val="B96282C0"/>
    <w:lvl w:ilvl="0" w:tplc="9B78BBDC">
      <w:start w:val="1"/>
      <w:numFmt w:val="upperRoman"/>
      <w:lvlText w:val="%1."/>
      <w:lvlJc w:val="left"/>
      <w:pPr>
        <w:tabs>
          <w:tab w:val="num" w:pos="720"/>
        </w:tabs>
        <w:ind w:left="720" w:hanging="720"/>
      </w:pPr>
      <w:rPr>
        <w:rFonts w:asciiTheme="minorHAnsi" w:hAnsiTheme="minorHAnsi" w:cstheme="minorHAnsi"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BA2B55"/>
    <w:multiLevelType w:val="hybridMultilevel"/>
    <w:tmpl w:val="3640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85740F"/>
    <w:multiLevelType w:val="hybridMultilevel"/>
    <w:tmpl w:val="A0B269CC"/>
    <w:lvl w:ilvl="0" w:tplc="51FA4D4E">
      <w:start w:val="1"/>
      <w:numFmt w:val="decimal"/>
      <w:lvlText w:val="%1."/>
      <w:lvlJc w:val="left"/>
      <w:pPr>
        <w:ind w:left="1620" w:hanging="360"/>
      </w:pPr>
      <w:rPr>
        <w:rFonts w:asciiTheme="minorHAnsi" w:hAnsiTheme="minorHAnsi" w:cstheme="minorHAns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44"/>
  </w:num>
  <w:num w:numId="4">
    <w:abstractNumId w:val="2"/>
  </w:num>
  <w:num w:numId="5">
    <w:abstractNumId w:val="24"/>
  </w:num>
  <w:num w:numId="6">
    <w:abstractNumId w:val="0"/>
  </w:num>
  <w:num w:numId="7">
    <w:abstractNumId w:val="34"/>
  </w:num>
  <w:num w:numId="8">
    <w:abstractNumId w:val="15"/>
  </w:num>
  <w:num w:numId="9">
    <w:abstractNumId w:val="26"/>
  </w:num>
  <w:num w:numId="10">
    <w:abstractNumId w:val="3"/>
  </w:num>
  <w:num w:numId="11">
    <w:abstractNumId w:val="20"/>
  </w:num>
  <w:num w:numId="12">
    <w:abstractNumId w:val="25"/>
  </w:num>
  <w:num w:numId="13">
    <w:abstractNumId w:val="19"/>
  </w:num>
  <w:num w:numId="14">
    <w:abstractNumId w:val="40"/>
  </w:num>
  <w:num w:numId="15">
    <w:abstractNumId w:val="46"/>
  </w:num>
  <w:num w:numId="16">
    <w:abstractNumId w:val="17"/>
  </w:num>
  <w:num w:numId="17">
    <w:abstractNumId w:val="22"/>
  </w:num>
  <w:num w:numId="18">
    <w:abstractNumId w:val="42"/>
  </w:num>
  <w:num w:numId="19">
    <w:abstractNumId w:val="27"/>
  </w:num>
  <w:num w:numId="20">
    <w:abstractNumId w:val="4"/>
  </w:num>
  <w:num w:numId="21">
    <w:abstractNumId w:val="39"/>
  </w:num>
  <w:num w:numId="22">
    <w:abstractNumId w:val="31"/>
  </w:num>
  <w:num w:numId="23">
    <w:abstractNumId w:val="6"/>
  </w:num>
  <w:num w:numId="24">
    <w:abstractNumId w:val="41"/>
  </w:num>
  <w:num w:numId="25">
    <w:abstractNumId w:val="32"/>
  </w:num>
  <w:num w:numId="26">
    <w:abstractNumId w:val="5"/>
  </w:num>
  <w:num w:numId="27">
    <w:abstractNumId w:val="33"/>
  </w:num>
  <w:num w:numId="28">
    <w:abstractNumId w:val="43"/>
  </w:num>
  <w:num w:numId="29">
    <w:abstractNumId w:val="29"/>
  </w:num>
  <w:num w:numId="30">
    <w:abstractNumId w:val="18"/>
  </w:num>
  <w:num w:numId="31">
    <w:abstractNumId w:val="7"/>
  </w:num>
  <w:num w:numId="32">
    <w:abstractNumId w:val="12"/>
  </w:num>
  <w:num w:numId="33">
    <w:abstractNumId w:val="36"/>
  </w:num>
  <w:num w:numId="34">
    <w:abstractNumId w:val="14"/>
  </w:num>
  <w:num w:numId="35">
    <w:abstractNumId w:val="16"/>
  </w:num>
  <w:num w:numId="36">
    <w:abstractNumId w:val="11"/>
  </w:num>
  <w:num w:numId="37">
    <w:abstractNumId w:val="35"/>
  </w:num>
  <w:num w:numId="38">
    <w:abstractNumId w:val="1"/>
  </w:num>
  <w:num w:numId="39">
    <w:abstractNumId w:val="38"/>
  </w:num>
  <w:num w:numId="40">
    <w:abstractNumId w:val="8"/>
  </w:num>
  <w:num w:numId="41">
    <w:abstractNumId w:val="9"/>
  </w:num>
  <w:num w:numId="42">
    <w:abstractNumId w:val="37"/>
  </w:num>
  <w:num w:numId="43">
    <w:abstractNumId w:val="30"/>
  </w:num>
  <w:num w:numId="44">
    <w:abstractNumId w:val="10"/>
  </w:num>
  <w:num w:numId="45">
    <w:abstractNumId w:val="28"/>
  </w:num>
  <w:num w:numId="46">
    <w:abstractNumId w:val="4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30402"/>
    <w:rsid w:val="00071B65"/>
    <w:rsid w:val="00084ABC"/>
    <w:rsid w:val="000A77BF"/>
    <w:rsid w:val="000B0A0E"/>
    <w:rsid w:val="000C13BA"/>
    <w:rsid w:val="000C3ED0"/>
    <w:rsid w:val="000D1B5F"/>
    <w:rsid w:val="001321D1"/>
    <w:rsid w:val="00133E79"/>
    <w:rsid w:val="001527BE"/>
    <w:rsid w:val="00171E5D"/>
    <w:rsid w:val="00190E2C"/>
    <w:rsid w:val="001A4469"/>
    <w:rsid w:val="001B25E0"/>
    <w:rsid w:val="001B45FA"/>
    <w:rsid w:val="001C5EDF"/>
    <w:rsid w:val="001E440D"/>
    <w:rsid w:val="001E638A"/>
    <w:rsid w:val="002344B9"/>
    <w:rsid w:val="002446B2"/>
    <w:rsid w:val="002546F7"/>
    <w:rsid w:val="00273928"/>
    <w:rsid w:val="00295C0C"/>
    <w:rsid w:val="002A0BDC"/>
    <w:rsid w:val="002A2178"/>
    <w:rsid w:val="002A7BEE"/>
    <w:rsid w:val="002B7076"/>
    <w:rsid w:val="002E065F"/>
    <w:rsid w:val="00302563"/>
    <w:rsid w:val="003103C4"/>
    <w:rsid w:val="0032200C"/>
    <w:rsid w:val="00324F44"/>
    <w:rsid w:val="00337CE7"/>
    <w:rsid w:val="00344C61"/>
    <w:rsid w:val="003723D9"/>
    <w:rsid w:val="00383CBB"/>
    <w:rsid w:val="003901B6"/>
    <w:rsid w:val="0039671E"/>
    <w:rsid w:val="003C714A"/>
    <w:rsid w:val="003D5308"/>
    <w:rsid w:val="003D7CE4"/>
    <w:rsid w:val="003E0732"/>
    <w:rsid w:val="003E3E86"/>
    <w:rsid w:val="003F669F"/>
    <w:rsid w:val="003F7D7B"/>
    <w:rsid w:val="00410562"/>
    <w:rsid w:val="00417A9A"/>
    <w:rsid w:val="004228F5"/>
    <w:rsid w:val="004605F4"/>
    <w:rsid w:val="004B2501"/>
    <w:rsid w:val="004B5DCF"/>
    <w:rsid w:val="004C5683"/>
    <w:rsid w:val="004C6525"/>
    <w:rsid w:val="004F0F64"/>
    <w:rsid w:val="00507604"/>
    <w:rsid w:val="005172A3"/>
    <w:rsid w:val="00551BC9"/>
    <w:rsid w:val="00577870"/>
    <w:rsid w:val="0059349F"/>
    <w:rsid w:val="00593547"/>
    <w:rsid w:val="005A091D"/>
    <w:rsid w:val="005B1A39"/>
    <w:rsid w:val="005E0D8B"/>
    <w:rsid w:val="00630C43"/>
    <w:rsid w:val="00667364"/>
    <w:rsid w:val="00672F47"/>
    <w:rsid w:val="0067697E"/>
    <w:rsid w:val="006805EA"/>
    <w:rsid w:val="00690F9A"/>
    <w:rsid w:val="006B4727"/>
    <w:rsid w:val="006C6F1E"/>
    <w:rsid w:val="00701460"/>
    <w:rsid w:val="007101C9"/>
    <w:rsid w:val="007150F6"/>
    <w:rsid w:val="00720447"/>
    <w:rsid w:val="00731BC4"/>
    <w:rsid w:val="0076696F"/>
    <w:rsid w:val="007863D3"/>
    <w:rsid w:val="00787B7C"/>
    <w:rsid w:val="00793D7D"/>
    <w:rsid w:val="00794AB5"/>
    <w:rsid w:val="008451FE"/>
    <w:rsid w:val="00857757"/>
    <w:rsid w:val="008D1E93"/>
    <w:rsid w:val="008E3772"/>
    <w:rsid w:val="008F0B46"/>
    <w:rsid w:val="008F2C61"/>
    <w:rsid w:val="008F4E27"/>
    <w:rsid w:val="009041F5"/>
    <w:rsid w:val="00914E33"/>
    <w:rsid w:val="00915C26"/>
    <w:rsid w:val="00915DAE"/>
    <w:rsid w:val="00921E31"/>
    <w:rsid w:val="00923AC9"/>
    <w:rsid w:val="00931279"/>
    <w:rsid w:val="0094238F"/>
    <w:rsid w:val="009617EE"/>
    <w:rsid w:val="00963593"/>
    <w:rsid w:val="00985525"/>
    <w:rsid w:val="00987386"/>
    <w:rsid w:val="00996EEB"/>
    <w:rsid w:val="009979EE"/>
    <w:rsid w:val="009A4C57"/>
    <w:rsid w:val="009B1086"/>
    <w:rsid w:val="009B1BF2"/>
    <w:rsid w:val="009D3F59"/>
    <w:rsid w:val="009D7D7D"/>
    <w:rsid w:val="009F5E4D"/>
    <w:rsid w:val="00A05BC0"/>
    <w:rsid w:val="00A126FA"/>
    <w:rsid w:val="00A25C56"/>
    <w:rsid w:val="00A42C53"/>
    <w:rsid w:val="00A430DF"/>
    <w:rsid w:val="00A5022C"/>
    <w:rsid w:val="00A5611A"/>
    <w:rsid w:val="00A91654"/>
    <w:rsid w:val="00AB0F65"/>
    <w:rsid w:val="00AC054A"/>
    <w:rsid w:val="00B0344D"/>
    <w:rsid w:val="00B14568"/>
    <w:rsid w:val="00B16EEE"/>
    <w:rsid w:val="00B17C5F"/>
    <w:rsid w:val="00B52F3C"/>
    <w:rsid w:val="00B677C4"/>
    <w:rsid w:val="00B8792D"/>
    <w:rsid w:val="00B966C3"/>
    <w:rsid w:val="00BA4035"/>
    <w:rsid w:val="00BF1DC6"/>
    <w:rsid w:val="00BF75CD"/>
    <w:rsid w:val="00C0531A"/>
    <w:rsid w:val="00C357F5"/>
    <w:rsid w:val="00C418BA"/>
    <w:rsid w:val="00C4388E"/>
    <w:rsid w:val="00C47686"/>
    <w:rsid w:val="00C63E52"/>
    <w:rsid w:val="00C67E15"/>
    <w:rsid w:val="00C948B9"/>
    <w:rsid w:val="00C94BA3"/>
    <w:rsid w:val="00CA0EC0"/>
    <w:rsid w:val="00CB4B05"/>
    <w:rsid w:val="00CC7630"/>
    <w:rsid w:val="00CD73EC"/>
    <w:rsid w:val="00D13092"/>
    <w:rsid w:val="00D2365D"/>
    <w:rsid w:val="00D545E4"/>
    <w:rsid w:val="00DA1232"/>
    <w:rsid w:val="00DE739D"/>
    <w:rsid w:val="00DF1288"/>
    <w:rsid w:val="00E13443"/>
    <w:rsid w:val="00E522BF"/>
    <w:rsid w:val="00E528E0"/>
    <w:rsid w:val="00EB0CB2"/>
    <w:rsid w:val="00EC09FB"/>
    <w:rsid w:val="00EC4733"/>
    <w:rsid w:val="00EF5CF6"/>
    <w:rsid w:val="00F0007C"/>
    <w:rsid w:val="00F0622C"/>
    <w:rsid w:val="00F325CF"/>
    <w:rsid w:val="00F41703"/>
    <w:rsid w:val="00F77194"/>
    <w:rsid w:val="00F97E27"/>
    <w:rsid w:val="00FB2559"/>
    <w:rsid w:val="00FD60B7"/>
    <w:rsid w:val="00FD6433"/>
    <w:rsid w:val="00FE17F1"/>
    <w:rsid w:val="00FE319A"/>
    <w:rsid w:val="00FE468E"/>
    <w:rsid w:val="00FF2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B2CE0"/>
  <w15:docId w15:val="{9569A64F-4AE3-4743-9649-64FE110F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semiHidden/>
    <w:rsid w:val="00731BC4"/>
    <w:rPr>
      <w:sz w:val="16"/>
      <w:szCs w:val="16"/>
    </w:rPr>
  </w:style>
  <w:style w:type="paragraph" w:styleId="CommentText">
    <w:name w:val="annotation text"/>
    <w:basedOn w:val="Normal"/>
    <w:link w:val="CommentTextChar"/>
    <w:uiPriority w:val="99"/>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basedOn w:val="DefaultParagraphFont"/>
    <w:link w:val="CharChar1CharCharCharChar1CharCharCharCharCharCharCharChar"/>
    <w:uiPriority w:val="99"/>
    <w:qFormat/>
    <w:rsid w:val="00731BC4"/>
    <w:rPr>
      <w:vertAlign w:val="superscript"/>
    </w:rPr>
  </w:style>
  <w:style w:type="paragraph" w:styleId="FootnoteText">
    <w:name w:val="footnote text"/>
    <w:aliases w:val="FOOTNOTES,fn,single space,footnote text,ADB,single space1,footnote text1,FOOTNOTES1,fn1,ADB1,single space2,footnote text2,FOOTNOTES2,fn2,ADB2,single space3,footnote text3,FOOTNOTES3,fn3,ADB3,Fodnotetekst Tegn,Texto nota pie Car1,ft,Char,Ch"/>
    <w:basedOn w:val="Normal"/>
    <w:link w:val="FootnoteTextChar"/>
    <w:uiPriority w:val="99"/>
    <w:qFormat/>
    <w:rsid w:val="00731BC4"/>
    <w:rPr>
      <w:sz w:val="20"/>
      <w:szCs w:val="20"/>
    </w:rPr>
  </w:style>
  <w:style w:type="table" w:styleId="TableGrid">
    <w:name w:val="Table Grid"/>
    <w:aliases w:val="Table Grid CFAA"/>
    <w:basedOn w:val="TableNormal"/>
    <w:uiPriority w:val="39"/>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single space1 Char,footnote text1 Char,FOOTNOTES1 Char,fn1 Char,ADB1 Char,single space2 Char,footnote text2 Char,FOOTNOTES2 Char,fn2 Char,ADB2 Char,FOOTNOTES3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References,Bullets,Title Style 1,Numbered List Paragraph,lp1,Liste 1,ReferencesCxSpLast,Medium Grid 1 - Accent 21,List Bullet Mary,List Paragraph 1,Akapit z listą BS,Numbered Paragraph,Main numbered paragraph,123 List Paragraph,numbered,L"/>
    <w:basedOn w:val="Normal"/>
    <w:link w:val="ListParagraphChar"/>
    <w:uiPriority w:val="34"/>
    <w:qFormat/>
    <w:rsid w:val="00FF23CF"/>
    <w:pPr>
      <w:ind w:left="720"/>
      <w:contextualSpacing/>
    </w:pPr>
  </w:style>
  <w:style w:type="paragraph" w:styleId="Header">
    <w:name w:val="header"/>
    <w:basedOn w:val="Normal"/>
    <w:link w:val="HeaderChar"/>
    <w:uiPriority w:val="99"/>
    <w:rsid w:val="00E522BF"/>
    <w:pPr>
      <w:tabs>
        <w:tab w:val="center" w:pos="4680"/>
        <w:tab w:val="right" w:pos="9360"/>
      </w:tabs>
    </w:pPr>
  </w:style>
  <w:style w:type="character" w:customStyle="1" w:styleId="HeaderChar">
    <w:name w:val="Header Char"/>
    <w:basedOn w:val="DefaultParagraphFont"/>
    <w:link w:val="Header"/>
    <w:uiPriority w:val="99"/>
    <w:rsid w:val="00E522BF"/>
    <w:rPr>
      <w:sz w:val="24"/>
      <w:szCs w:val="24"/>
    </w:rPr>
  </w:style>
  <w:style w:type="paragraph" w:styleId="Footer">
    <w:name w:val="footer"/>
    <w:basedOn w:val="Normal"/>
    <w:link w:val="FooterChar"/>
    <w:rsid w:val="00E522BF"/>
    <w:pPr>
      <w:tabs>
        <w:tab w:val="center" w:pos="4680"/>
        <w:tab w:val="right" w:pos="9360"/>
      </w:tabs>
    </w:pPr>
  </w:style>
  <w:style w:type="character" w:customStyle="1" w:styleId="FooterChar">
    <w:name w:val="Footer Char"/>
    <w:basedOn w:val="DefaultParagraphFont"/>
    <w:link w:val="Footer"/>
    <w:rsid w:val="00E522BF"/>
    <w:rPr>
      <w:sz w:val="24"/>
      <w:szCs w:val="24"/>
    </w:rPr>
  </w:style>
  <w:style w:type="paragraph" w:styleId="NoSpacing">
    <w:name w:val="No Spacing"/>
    <w:aliases w:val="Numbered Para,Bullet 1,Table,My Normal"/>
    <w:link w:val="NoSpacingChar"/>
    <w:uiPriority w:val="1"/>
    <w:qFormat/>
    <w:rsid w:val="00DA1232"/>
    <w:rPr>
      <w:rFonts w:asciiTheme="minorHAnsi" w:eastAsiaTheme="minorHAnsi" w:hAnsiTheme="minorHAnsi" w:cstheme="minorBidi"/>
      <w:sz w:val="22"/>
      <w:szCs w:val="22"/>
    </w:rPr>
  </w:style>
  <w:style w:type="character" w:customStyle="1" w:styleId="NoSpacingChar">
    <w:name w:val="No Spacing Char"/>
    <w:aliases w:val="Numbered Para Char,Bullet 1 Char,Table Char,My Normal Char"/>
    <w:basedOn w:val="DefaultParagraphFont"/>
    <w:link w:val="NoSpacing"/>
    <w:uiPriority w:val="1"/>
    <w:rsid w:val="00DA1232"/>
    <w:rPr>
      <w:rFonts w:asciiTheme="minorHAnsi" w:eastAsiaTheme="minorHAnsi" w:hAnsiTheme="minorHAnsi" w:cstheme="minorBidi"/>
      <w:sz w:val="22"/>
      <w:szCs w:val="22"/>
    </w:rPr>
  </w:style>
  <w:style w:type="character" w:customStyle="1" w:styleId="ListParagraphChar">
    <w:name w:val="List Paragraph Char"/>
    <w:aliases w:val="References Char,Bullets Char,Title Style 1 Char,Numbered List Paragraph Char,lp1 Char,Liste 1 Char,ReferencesCxSpLast Char,Medium Grid 1 - Accent 21 Char,List Bullet Mary Char,List Paragraph 1 Char,Akapit z listą BS Char,L Char"/>
    <w:basedOn w:val="DefaultParagraphFont"/>
    <w:link w:val="ListParagraph"/>
    <w:uiPriority w:val="34"/>
    <w:qFormat/>
    <w:rsid w:val="00DA1232"/>
    <w:rPr>
      <w:sz w:val="24"/>
      <w:szCs w:val="24"/>
    </w:rPr>
  </w:style>
  <w:style w:type="paragraph" w:customStyle="1" w:styleId="Subheading1">
    <w:name w:val="Subheading1"/>
    <w:basedOn w:val="Normal"/>
    <w:link w:val="Subheading1Char"/>
    <w:qFormat/>
    <w:rsid w:val="00DA1232"/>
    <w:pPr>
      <w:numPr>
        <w:numId w:val="30"/>
      </w:numPr>
      <w:tabs>
        <w:tab w:val="left" w:pos="360"/>
      </w:tabs>
      <w:autoSpaceDE w:val="0"/>
      <w:autoSpaceDN w:val="0"/>
      <w:adjustRightInd w:val="0"/>
      <w:spacing w:after="267"/>
    </w:pPr>
    <w:rPr>
      <w:rFonts w:ascii="Calibri" w:eastAsiaTheme="minorHAnsi" w:hAnsi="Calibri"/>
      <w:b/>
      <w:color w:val="000000"/>
      <w:u w:val="single"/>
    </w:rPr>
  </w:style>
  <w:style w:type="character" w:customStyle="1" w:styleId="Subheading1Char">
    <w:name w:val="Subheading1 Char"/>
    <w:basedOn w:val="DefaultParagraphFont"/>
    <w:link w:val="Subheading1"/>
    <w:rsid w:val="00DA1232"/>
    <w:rPr>
      <w:rFonts w:ascii="Calibri" w:eastAsiaTheme="minorHAnsi" w:hAnsi="Calibri"/>
      <w:b/>
      <w:color w:val="000000"/>
      <w:sz w:val="24"/>
      <w:szCs w:val="24"/>
      <w:u w:val="single"/>
    </w:rPr>
  </w:style>
  <w:style w:type="paragraph" w:customStyle="1" w:styleId="Default">
    <w:name w:val="Default"/>
    <w:link w:val="DefaultChar"/>
    <w:rsid w:val="00DA1232"/>
    <w:pPr>
      <w:autoSpaceDE w:val="0"/>
      <w:autoSpaceDN w:val="0"/>
      <w:adjustRightInd w:val="0"/>
    </w:pPr>
    <w:rPr>
      <w:rFonts w:eastAsiaTheme="minorHAnsi"/>
      <w:color w:val="000000"/>
      <w:sz w:val="24"/>
      <w:szCs w:val="24"/>
    </w:rPr>
  </w:style>
  <w:style w:type="character" w:customStyle="1" w:styleId="DefaultChar">
    <w:name w:val="Default Char"/>
    <w:basedOn w:val="DefaultParagraphFont"/>
    <w:link w:val="Default"/>
    <w:rsid w:val="00DA1232"/>
    <w:rPr>
      <w:rFonts w:eastAsiaTheme="minorHAnsi"/>
      <w:color w:val="000000"/>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9D7D7D"/>
    <w:pPr>
      <w:spacing w:after="160" w:line="240" w:lineRule="exact"/>
    </w:pPr>
    <w:rPr>
      <w:sz w:val="20"/>
      <w:szCs w:val="20"/>
      <w:vertAlign w:val="superscript"/>
    </w:rPr>
  </w:style>
  <w:style w:type="paragraph" w:customStyle="1" w:styleId="p3">
    <w:name w:val="p3"/>
    <w:basedOn w:val="Normal"/>
    <w:rsid w:val="00CD73EC"/>
    <w:rPr>
      <w:rFonts w:eastAsiaTheme="minorHAnsi"/>
      <w:color w:val="212121"/>
      <w:sz w:val="23"/>
      <w:szCs w:val="23"/>
    </w:rPr>
  </w:style>
  <w:style w:type="character" w:customStyle="1" w:styleId="s1">
    <w:name w:val="s1"/>
    <w:basedOn w:val="DefaultParagraphFont"/>
    <w:rsid w:val="00CD73EC"/>
  </w:style>
  <w:style w:type="character" w:customStyle="1" w:styleId="CommentTextChar">
    <w:name w:val="Comment Text Char"/>
    <w:basedOn w:val="DefaultParagraphFont"/>
    <w:link w:val="CommentText"/>
    <w:uiPriority w:val="99"/>
    <w:rsid w:val="00672F47"/>
  </w:style>
  <w:style w:type="paragraph" w:styleId="TOC3">
    <w:name w:val="toc 3"/>
    <w:basedOn w:val="Normal"/>
    <w:next w:val="Normal"/>
    <w:autoRedefine/>
    <w:uiPriority w:val="39"/>
    <w:unhideWhenUsed/>
    <w:qFormat/>
    <w:rsid w:val="00190E2C"/>
    <w:pPr>
      <w:spacing w:line="276" w:lineRule="auto"/>
      <w:ind w:left="44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semiHidden/>
    <w:unhideWhenUsed/>
    <w:rsid w:val="00295C0C"/>
    <w:rPr>
      <w:b/>
      <w:bCs/>
    </w:rPr>
  </w:style>
  <w:style w:type="character" w:customStyle="1" w:styleId="CommentSubjectChar">
    <w:name w:val="Comment Subject Char"/>
    <w:basedOn w:val="CommentTextChar"/>
    <w:link w:val="CommentSubject"/>
    <w:semiHidden/>
    <w:rsid w:val="00295C0C"/>
    <w:rPr>
      <w:b/>
      <w:bCs/>
    </w:rPr>
  </w:style>
  <w:style w:type="paragraph" w:styleId="Revision">
    <w:name w:val="Revision"/>
    <w:hidden/>
    <w:uiPriority w:val="99"/>
    <w:semiHidden/>
    <w:rsid w:val="00295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pectionpanel.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orldbank.org/G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iryal.Aqel@Moe.gov.j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eina.t@mop.gov.j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6649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xmlns:pkg="http://schemas.microsoft.com/office/2006/xmlPackage"/>
</file>

<file path=customXml/item2.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pkg="http://schemas.microsoft.com/office/2006/xmlPackage" ct:_="" ma:_="" ma:contentTypeDescription="" ma:contentTypeID="0x01010099B6B9EF8F35F840B8C1B763013CF53600CE25AF614DB28246AF64A03CA0F82515" ma:contentTypeName="Select Content Type" ma:contentTypeScope="" ma:contentTypeVersion="4" ma:versionID="1248548af08e382c1260260fd8404fa4">
  <xsd:schema xmlns:xsd="http://www.w3.org/2001/XMLSchema" xmlns:ns2="4f665c86-b6e3-4427-8f26-07c07c084871" xmlns:p="http://schemas.microsoft.com/office/2006/metadata/properties" xmlns:xs="http://www.w3.org/2001/XMLSchema" ma:fieldsID="fbb835408aee4b19ec09bc3948176eb1" ma:root="true" ns2:_="" targetNamespace="http://schemas.microsoft.com/office/2006/metadata/properties">
    <xsd:import namespace="4f665c86-b6e3-4427-8f26-07c07c084871"/>
    <xsd:element name="properties">
      <xsd:complexType>
        <xsd:sequence>
          <xsd:element name="documentManagement">
            <xsd:complexType>
              <xsd:all>
                <xsd:element minOccurs="0" ref="ns2:_dlc_DocId"/>
                <xsd:element minOccurs="0" ref="ns2:_dlc_DocIdUrl"/>
                <xsd:element minOccurs="0" ref="ns2:_dlc_DocIdPersistId"/>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scription="The value of the document ID assigned to this item." ma:displayName="Document ID Value" ma:index="8" ma:internalName="_dlc_DocId" ma:readOnly="true" name="_dlc_DocId" nillable="true">
      <xsd:simpleType>
        <xsd:restriction base="dms:Text"/>
      </xsd:simpleType>
    </xsd:element>
    <xsd:element ma:description="Permanent link to this document." ma:displayName="Document ID"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0"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SharedContentType xmlns="Microsoft.SharePoint.Taxonomy.ContentTypeSync" xmlns:pkg="http://schemas.microsoft.com/office/2006/xmlPackage" ContentTypeId="0x01010099B6B9EF8F35F840B8C1B763013CF536" PreviousValue="false" SourceId="04fe4a42-127e-478d-9b6e-420dd7ce26ac"/>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A5C2782-3FBE-49F9-9C91-F2CB66334A13}">
  <ds:schemaRefs>
    <ds:schemaRef ds:uri="http://schemas.microsoft.com/sharepoint/events"/>
    <ds:schemaRef ds:uri="http://schemas.microsoft.com/office/2006/xmlPackage"/>
  </ds:schemaRefs>
</ds:datastoreItem>
</file>

<file path=customXml/itemProps2.xml><?xml version="1.0" encoding="utf-8"?>
<ds:datastoreItem xmlns:ds="http://schemas.openxmlformats.org/officeDocument/2006/customXml" ds:itemID="{EF3986F9-4A6A-4078-9517-BA8F114FCBAB}">
  <ds:schemaRefs>
    <ds:schemaRef ds:uri="http://schemas.microsoft.com/sharepoint/v3/contenttype/forms"/>
    <ds:schemaRef ds:uri="http://schemas.microsoft.com/office/2006/xmlPackage"/>
  </ds:schemaRefs>
</ds:datastoreItem>
</file>

<file path=customXml/itemProps3.xml><?xml version="1.0" encoding="utf-8"?>
<ds:datastoreItem xmlns:ds="http://schemas.openxmlformats.org/officeDocument/2006/customXml" ds:itemID="{687ABB6A-7697-4288-9C57-6DF3BFBB6640}">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AD5B3-C9C6-45C3-99EB-B9ECF9DB2CE4}">
  <ds:schemaRefs>
    <ds:schemaRef ds:uri="Microsoft.SharePoint.Taxonomy.ContentTypeSync"/>
    <ds:schemaRef ds:uri="http://schemas.microsoft.com/office/2006/xmlPackage"/>
  </ds:schemaRefs>
</ds:datastoreItem>
</file>

<file path=customXml/itemProps5.xml><?xml version="1.0" encoding="utf-8"?>
<ds:datastoreItem xmlns:ds="http://schemas.openxmlformats.org/officeDocument/2006/customXml" ds:itemID="{D6F50B2B-13ED-4045-A2F6-E567EE5F6A6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38290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 Pezzani</dc:creator>
  <cp:lastModifiedBy>Karine M. Pezzani</cp:lastModifiedBy>
  <cp:revision>3</cp:revision>
  <dcterms:created xsi:type="dcterms:W3CDTF">2017-10-20T12:23:00Z</dcterms:created>
  <dcterms:modified xsi:type="dcterms:W3CDTF">2017-10-20T12:24:00Z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y fmtid="{D5CDD505-2E9C-101B-9397-08002B2CF9AE}" pid="4" name="ContentTypeId">
    <vt:lpwstr>0x01010099B6B9EF8F35F840B8C1B763013CF53600CE25AF614DB28246AF64A03CA0F82515</vt:lpwstr>
  </property>
  <property fmtid="{D5CDD505-2E9C-101B-9397-08002B2CF9AE}" pid="5" name="OPSCustomProjectID">
    <vt:lpwstr>P102900</vt:lpwstr>
  </property>
  <property fmtid="{D5CDD505-2E9C-101B-9397-08002B2CF9AE}" pid="6" name="Author0">
    <vt:lpwstr>Malek Atallah</vt:lpwstr>
  </property>
</Properties>
</file>