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AC9" w:rsidRPr="005503A8" w:rsidRDefault="009C4AC9">
      <w:pPr>
        <w:jc w:val="center"/>
        <w:rPr>
          <w:b/>
          <w:bCs/>
        </w:rPr>
      </w:pPr>
      <w:r w:rsidRPr="005503A8">
        <w:rPr>
          <w:b/>
          <w:bCs/>
        </w:rPr>
        <w:t>PROJECT INFORMATION DOCUMENT (PID)</w:t>
      </w:r>
    </w:p>
    <w:p w:rsidR="009C4AC9" w:rsidRDefault="00A70DCB">
      <w:pPr>
        <w:jc w:val="center"/>
        <w:rPr>
          <w:b/>
          <w:bCs/>
        </w:rPr>
      </w:pPr>
      <w:r>
        <w:rPr>
          <w:b/>
          <w:bCs/>
        </w:rPr>
        <w:t xml:space="preserve">APPRAISAL </w:t>
      </w:r>
      <w:r w:rsidR="009C4AC9">
        <w:rPr>
          <w:b/>
          <w:bCs/>
        </w:rPr>
        <w:t>STAGE</w:t>
      </w:r>
    </w:p>
    <w:p w:rsidR="00CC24CE" w:rsidRDefault="009C4AC9" w:rsidP="00CC24CE">
      <w:pPr>
        <w:jc w:val="right"/>
      </w:pPr>
      <w:r w:rsidRPr="006D5812">
        <w:t>Report No.:</w:t>
      </w:r>
      <w:r w:rsidR="0033000B">
        <w:t xml:space="preserve"> 85588</w:t>
      </w:r>
      <w:bookmarkStart w:id="0" w:name="_GoBack"/>
      <w:bookmarkEnd w:id="0"/>
      <w:r w:rsidRPr="006D5812">
        <w:t xml:space="preserve"> </w:t>
      </w:r>
    </w:p>
    <w:p w:rsidR="009D0C48" w:rsidRPr="006D5812" w:rsidRDefault="009D0C48" w:rsidP="00CC24CE">
      <w:pPr>
        <w:jc w:val="right"/>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6660"/>
      </w:tblGrid>
      <w:tr w:rsidR="009C4AC9">
        <w:tc>
          <w:tcPr>
            <w:tcW w:w="2880" w:type="dxa"/>
          </w:tcPr>
          <w:p w:rsidR="009C4AC9" w:rsidRDefault="009C4AC9">
            <w:pPr>
              <w:rPr>
                <w:b/>
                <w:bCs/>
              </w:rPr>
            </w:pPr>
            <w:r>
              <w:rPr>
                <w:b/>
                <w:bCs/>
              </w:rPr>
              <w:t>Project Name</w:t>
            </w:r>
          </w:p>
        </w:tc>
        <w:tc>
          <w:tcPr>
            <w:tcW w:w="6660" w:type="dxa"/>
          </w:tcPr>
          <w:p w:rsidR="009C4AC9" w:rsidRDefault="008F12DA" w:rsidP="009D0C48">
            <w:r>
              <w:t>National Cyclone R</w:t>
            </w:r>
            <w:r w:rsidR="005503A8">
              <w:t xml:space="preserve">isk Mitigation </w:t>
            </w:r>
            <w:r>
              <w:t xml:space="preserve">Project I </w:t>
            </w:r>
            <w:r w:rsidR="005503A8">
              <w:t>Additional Financing</w:t>
            </w:r>
          </w:p>
        </w:tc>
      </w:tr>
      <w:tr w:rsidR="009C4AC9">
        <w:tc>
          <w:tcPr>
            <w:tcW w:w="2880" w:type="dxa"/>
          </w:tcPr>
          <w:p w:rsidR="009C4AC9" w:rsidRDefault="009C4AC9">
            <w:pPr>
              <w:rPr>
                <w:b/>
                <w:bCs/>
              </w:rPr>
            </w:pPr>
            <w:r>
              <w:rPr>
                <w:b/>
                <w:bCs/>
              </w:rPr>
              <w:t>Region</w:t>
            </w:r>
          </w:p>
        </w:tc>
        <w:tc>
          <w:tcPr>
            <w:tcW w:w="6660" w:type="dxa"/>
          </w:tcPr>
          <w:p w:rsidR="009C4AC9" w:rsidRDefault="009C4AC9">
            <w:bookmarkStart w:id="1" w:name="REGION"/>
            <w:r>
              <w:t>SOUTH ASIA</w:t>
            </w:r>
            <w:bookmarkEnd w:id="1"/>
          </w:p>
        </w:tc>
      </w:tr>
      <w:tr w:rsidR="00F21726">
        <w:tc>
          <w:tcPr>
            <w:tcW w:w="2880" w:type="dxa"/>
          </w:tcPr>
          <w:p w:rsidR="00F21726" w:rsidRDefault="00F21726">
            <w:pPr>
              <w:rPr>
                <w:b/>
                <w:bCs/>
              </w:rPr>
            </w:pPr>
            <w:r>
              <w:rPr>
                <w:b/>
                <w:bCs/>
              </w:rPr>
              <w:t>Country</w:t>
            </w:r>
          </w:p>
        </w:tc>
        <w:tc>
          <w:tcPr>
            <w:tcW w:w="6660" w:type="dxa"/>
          </w:tcPr>
          <w:p w:rsidR="00F21726" w:rsidRDefault="00F21726">
            <w:r>
              <w:t>India</w:t>
            </w:r>
          </w:p>
        </w:tc>
      </w:tr>
      <w:tr w:rsidR="009C4AC9">
        <w:tc>
          <w:tcPr>
            <w:tcW w:w="2880" w:type="dxa"/>
          </w:tcPr>
          <w:p w:rsidR="009C4AC9" w:rsidRDefault="009C4AC9">
            <w:pPr>
              <w:rPr>
                <w:b/>
                <w:bCs/>
              </w:rPr>
            </w:pPr>
            <w:r>
              <w:rPr>
                <w:b/>
                <w:bCs/>
              </w:rPr>
              <w:t>Sector</w:t>
            </w:r>
            <w:r w:rsidR="009D0C48">
              <w:rPr>
                <w:b/>
                <w:bCs/>
              </w:rPr>
              <w:t>(s)</w:t>
            </w:r>
          </w:p>
        </w:tc>
        <w:tc>
          <w:tcPr>
            <w:tcW w:w="6660" w:type="dxa"/>
          </w:tcPr>
          <w:p w:rsidR="009C4AC9" w:rsidRDefault="009C4AC9">
            <w:bookmarkStart w:id="2" w:name="SECTOR"/>
            <w:r>
              <w:t>General water, sanitation and flood protection sector (100%)</w:t>
            </w:r>
            <w:bookmarkEnd w:id="2"/>
          </w:p>
        </w:tc>
      </w:tr>
      <w:tr w:rsidR="009D0C48">
        <w:tc>
          <w:tcPr>
            <w:tcW w:w="2880" w:type="dxa"/>
          </w:tcPr>
          <w:p w:rsidR="009D0C48" w:rsidRDefault="009D0C48">
            <w:pPr>
              <w:rPr>
                <w:b/>
                <w:bCs/>
              </w:rPr>
            </w:pPr>
            <w:r>
              <w:rPr>
                <w:b/>
                <w:bCs/>
              </w:rPr>
              <w:t>Theme(s)</w:t>
            </w:r>
          </w:p>
        </w:tc>
        <w:tc>
          <w:tcPr>
            <w:tcW w:w="6660" w:type="dxa"/>
          </w:tcPr>
          <w:p w:rsidR="009D0C48" w:rsidRDefault="009D0C48">
            <w:r>
              <w:t>Natural disaster management (100%)</w:t>
            </w:r>
          </w:p>
        </w:tc>
      </w:tr>
      <w:tr w:rsidR="003E11BD">
        <w:tc>
          <w:tcPr>
            <w:tcW w:w="2880" w:type="dxa"/>
          </w:tcPr>
          <w:p w:rsidR="003E11BD" w:rsidRDefault="003E11BD">
            <w:pPr>
              <w:rPr>
                <w:b/>
                <w:bCs/>
              </w:rPr>
            </w:pPr>
            <w:r>
              <w:rPr>
                <w:b/>
                <w:bCs/>
              </w:rPr>
              <w:t>Lending Instrument</w:t>
            </w:r>
          </w:p>
        </w:tc>
        <w:tc>
          <w:tcPr>
            <w:tcW w:w="6660" w:type="dxa"/>
          </w:tcPr>
          <w:p w:rsidR="003E11BD" w:rsidRPr="003E11BD" w:rsidRDefault="0021770A" w:rsidP="00C46DD3">
            <w:r>
              <w:t xml:space="preserve">Investment Project Financing </w:t>
            </w:r>
          </w:p>
        </w:tc>
      </w:tr>
      <w:tr w:rsidR="009C4AC9">
        <w:tc>
          <w:tcPr>
            <w:tcW w:w="2880" w:type="dxa"/>
          </w:tcPr>
          <w:p w:rsidR="009C4AC9" w:rsidRDefault="009C4AC9">
            <w:pPr>
              <w:rPr>
                <w:b/>
                <w:bCs/>
              </w:rPr>
            </w:pPr>
            <w:r>
              <w:rPr>
                <w:b/>
                <w:bCs/>
              </w:rPr>
              <w:t>Project ID</w:t>
            </w:r>
          </w:p>
        </w:tc>
        <w:tc>
          <w:tcPr>
            <w:tcW w:w="6660" w:type="dxa"/>
          </w:tcPr>
          <w:p w:rsidR="009C4AC9" w:rsidRDefault="009C4AC9" w:rsidP="005503A8">
            <w:bookmarkStart w:id="3" w:name="PROJECTCODE"/>
            <w:r>
              <w:t>P</w:t>
            </w:r>
            <w:bookmarkEnd w:id="3"/>
            <w:r w:rsidR="005503A8">
              <w:t>148870</w:t>
            </w:r>
          </w:p>
        </w:tc>
      </w:tr>
      <w:tr w:rsidR="009C4AC9">
        <w:tc>
          <w:tcPr>
            <w:tcW w:w="2880" w:type="dxa"/>
            <w:tcBorders>
              <w:bottom w:val="single" w:sz="4" w:space="0" w:color="auto"/>
            </w:tcBorders>
          </w:tcPr>
          <w:p w:rsidR="009C4AC9" w:rsidRDefault="009C4AC9">
            <w:pPr>
              <w:rPr>
                <w:b/>
                <w:bCs/>
              </w:rPr>
            </w:pPr>
            <w:r>
              <w:rPr>
                <w:b/>
                <w:bCs/>
              </w:rPr>
              <w:t>Borrower(s)</w:t>
            </w:r>
          </w:p>
        </w:tc>
        <w:tc>
          <w:tcPr>
            <w:tcW w:w="6660" w:type="dxa"/>
            <w:tcBorders>
              <w:bottom w:val="single" w:sz="4" w:space="0" w:color="auto"/>
            </w:tcBorders>
          </w:tcPr>
          <w:p w:rsidR="0010157B" w:rsidRDefault="009C4AC9" w:rsidP="002B7493">
            <w:bookmarkStart w:id="4" w:name="BORROWERNAME"/>
            <w:r>
              <w:t>GOI</w:t>
            </w:r>
            <w:bookmarkEnd w:id="4"/>
            <w:r>
              <w:t xml:space="preserve"> (</w:t>
            </w:r>
            <w:r w:rsidR="002B7493">
              <w:t>80</w:t>
            </w:r>
            <w:r>
              <w:t>%); State Government (</w:t>
            </w:r>
            <w:r w:rsidR="00941668">
              <w:t>2</w:t>
            </w:r>
            <w:r w:rsidR="002B7493">
              <w:t>0</w:t>
            </w:r>
            <w:r>
              <w:t>%)</w:t>
            </w:r>
          </w:p>
        </w:tc>
      </w:tr>
      <w:tr w:rsidR="009C4AC9">
        <w:trPr>
          <w:cantSplit/>
          <w:trHeight w:val="140"/>
        </w:trPr>
        <w:tc>
          <w:tcPr>
            <w:tcW w:w="2880" w:type="dxa"/>
            <w:tcBorders>
              <w:bottom w:val="nil"/>
              <w:right w:val="single" w:sz="4" w:space="0" w:color="auto"/>
            </w:tcBorders>
          </w:tcPr>
          <w:p w:rsidR="009C4AC9" w:rsidRDefault="009C4AC9">
            <w:pPr>
              <w:rPr>
                <w:b/>
                <w:bCs/>
              </w:rPr>
            </w:pPr>
            <w:r>
              <w:rPr>
                <w:b/>
                <w:bCs/>
              </w:rPr>
              <w:t>Implementing Agency</w:t>
            </w:r>
          </w:p>
        </w:tc>
        <w:tc>
          <w:tcPr>
            <w:tcW w:w="6660" w:type="dxa"/>
            <w:tcBorders>
              <w:top w:val="single" w:sz="4" w:space="0" w:color="auto"/>
              <w:left w:val="single" w:sz="4" w:space="0" w:color="auto"/>
              <w:bottom w:val="nil"/>
              <w:right w:val="single" w:sz="4" w:space="0" w:color="auto"/>
            </w:tcBorders>
          </w:tcPr>
          <w:p w:rsidR="009C4AC9" w:rsidRDefault="009C4AC9">
            <w:bookmarkStart w:id="5" w:name="IMPLEMENTINGAGENCY"/>
            <w:bookmarkEnd w:id="5"/>
            <w:r>
              <w:t>Ministry of Home Affairs</w:t>
            </w:r>
          </w:p>
        </w:tc>
      </w:tr>
      <w:tr w:rsidR="009C4AC9">
        <w:trPr>
          <w:cantSplit/>
          <w:trHeight w:val="285"/>
        </w:trPr>
        <w:tc>
          <w:tcPr>
            <w:tcW w:w="2880" w:type="dxa"/>
          </w:tcPr>
          <w:p w:rsidR="009C4AC9" w:rsidRDefault="009C4AC9">
            <w:pPr>
              <w:rPr>
                <w:b/>
                <w:bCs/>
              </w:rPr>
            </w:pPr>
            <w:r>
              <w:rPr>
                <w:b/>
                <w:bCs/>
              </w:rPr>
              <w:t>Environment</w:t>
            </w:r>
            <w:r w:rsidR="00F21726">
              <w:rPr>
                <w:b/>
                <w:bCs/>
              </w:rPr>
              <w:t>al</w:t>
            </w:r>
            <w:r>
              <w:rPr>
                <w:b/>
                <w:bCs/>
              </w:rPr>
              <w:t xml:space="preserve"> Category</w:t>
            </w:r>
          </w:p>
        </w:tc>
        <w:tc>
          <w:tcPr>
            <w:tcW w:w="6660" w:type="dxa"/>
            <w:tcBorders>
              <w:top w:val="single" w:sz="4" w:space="0" w:color="auto"/>
            </w:tcBorders>
          </w:tcPr>
          <w:p w:rsidR="009C4AC9" w:rsidRDefault="009C4AC9" w:rsidP="000C5F98">
            <w:r>
              <w:t>[</w:t>
            </w:r>
            <w:bookmarkStart w:id="6" w:name="ENVCAT_A"/>
            <w:r w:rsidR="000C5F98">
              <w:t>X</w:t>
            </w:r>
            <w:r>
              <w:t xml:space="preserve"> </w:t>
            </w:r>
            <w:bookmarkEnd w:id="6"/>
            <w:r>
              <w:t xml:space="preserve">] A  </w:t>
            </w:r>
            <w:r w:rsidR="000C5F98">
              <w:t xml:space="preserve">[ </w:t>
            </w:r>
            <w:r>
              <w:t>] B   [</w:t>
            </w:r>
            <w:bookmarkStart w:id="7" w:name="ENVCAT_C"/>
            <w:r>
              <w:t xml:space="preserve"> </w:t>
            </w:r>
            <w:bookmarkEnd w:id="7"/>
            <w:r>
              <w:t>] C   [</w:t>
            </w:r>
            <w:bookmarkStart w:id="8" w:name="ENVCAT_FI"/>
            <w:r>
              <w:t xml:space="preserve"> </w:t>
            </w:r>
            <w:bookmarkEnd w:id="8"/>
            <w:r>
              <w:t>] FI   [</w:t>
            </w:r>
            <w:bookmarkStart w:id="9" w:name="ENVCAT_TBD"/>
            <w:r>
              <w:t xml:space="preserve"> </w:t>
            </w:r>
            <w:bookmarkEnd w:id="9"/>
            <w:r>
              <w:t>] TBD (to be determined)</w:t>
            </w:r>
          </w:p>
        </w:tc>
      </w:tr>
      <w:tr w:rsidR="009C4AC9">
        <w:tc>
          <w:tcPr>
            <w:tcW w:w="2880" w:type="dxa"/>
          </w:tcPr>
          <w:p w:rsidR="009C4AC9" w:rsidRDefault="009C4AC9">
            <w:pPr>
              <w:rPr>
                <w:b/>
                <w:bCs/>
              </w:rPr>
            </w:pPr>
            <w:r>
              <w:rPr>
                <w:b/>
                <w:bCs/>
              </w:rPr>
              <w:t>Date PID Prepared</w:t>
            </w:r>
          </w:p>
        </w:tc>
        <w:tc>
          <w:tcPr>
            <w:tcW w:w="6660" w:type="dxa"/>
          </w:tcPr>
          <w:p w:rsidR="009C4AC9" w:rsidRDefault="009C4AC9" w:rsidP="005503A8">
            <w:bookmarkStart w:id="10" w:name="DATEPREPARED"/>
            <w:r>
              <w:t xml:space="preserve">December </w:t>
            </w:r>
            <w:bookmarkEnd w:id="10"/>
            <w:r w:rsidR="005503A8">
              <w:t>18, 2013</w:t>
            </w:r>
          </w:p>
        </w:tc>
      </w:tr>
      <w:tr w:rsidR="009C4AC9">
        <w:tc>
          <w:tcPr>
            <w:tcW w:w="2880" w:type="dxa"/>
          </w:tcPr>
          <w:p w:rsidR="009C4AC9" w:rsidRDefault="009C4AC9" w:rsidP="009D0C48">
            <w:pPr>
              <w:rPr>
                <w:b/>
                <w:bCs/>
              </w:rPr>
            </w:pPr>
            <w:r>
              <w:rPr>
                <w:b/>
                <w:bCs/>
              </w:rPr>
              <w:t xml:space="preserve">Estimated Date of Appraisal </w:t>
            </w:r>
            <w:r w:rsidR="009D0C48">
              <w:rPr>
                <w:b/>
                <w:bCs/>
              </w:rPr>
              <w:t>Completion</w:t>
            </w:r>
          </w:p>
        </w:tc>
        <w:tc>
          <w:tcPr>
            <w:tcW w:w="6660" w:type="dxa"/>
          </w:tcPr>
          <w:p w:rsidR="009C4AC9" w:rsidRPr="000C5F98" w:rsidRDefault="009D0C48" w:rsidP="009D0C48">
            <w:r>
              <w:t>January 10, 2014</w:t>
            </w:r>
          </w:p>
        </w:tc>
      </w:tr>
      <w:tr w:rsidR="009C4AC9">
        <w:tc>
          <w:tcPr>
            <w:tcW w:w="2880" w:type="dxa"/>
          </w:tcPr>
          <w:p w:rsidR="009C4AC9" w:rsidRPr="00F21726" w:rsidRDefault="009C4AC9">
            <w:pPr>
              <w:rPr>
                <w:b/>
                <w:bCs/>
              </w:rPr>
            </w:pPr>
            <w:r w:rsidRPr="00F21726">
              <w:rPr>
                <w:b/>
                <w:bCs/>
              </w:rPr>
              <w:t>Estimated Date of Board Approval</w:t>
            </w:r>
          </w:p>
        </w:tc>
        <w:tc>
          <w:tcPr>
            <w:tcW w:w="6660" w:type="dxa"/>
          </w:tcPr>
          <w:p w:rsidR="009C4AC9" w:rsidRPr="000C5F98" w:rsidRDefault="000143A3" w:rsidP="009D0C48">
            <w:r>
              <w:t>April 10</w:t>
            </w:r>
            <w:r w:rsidR="009D0C48">
              <w:t xml:space="preserve">, </w:t>
            </w:r>
            <w:r w:rsidR="005503A8">
              <w:t>2014</w:t>
            </w:r>
          </w:p>
        </w:tc>
      </w:tr>
      <w:tr w:rsidR="009D0C48">
        <w:tc>
          <w:tcPr>
            <w:tcW w:w="2880" w:type="dxa"/>
          </w:tcPr>
          <w:p w:rsidR="009D0C48" w:rsidRPr="00F21726" w:rsidRDefault="009D0C48">
            <w:pPr>
              <w:rPr>
                <w:b/>
                <w:bCs/>
              </w:rPr>
            </w:pPr>
            <w:r>
              <w:rPr>
                <w:b/>
                <w:bCs/>
              </w:rPr>
              <w:t>Decision</w:t>
            </w:r>
          </w:p>
        </w:tc>
        <w:tc>
          <w:tcPr>
            <w:tcW w:w="6660" w:type="dxa"/>
          </w:tcPr>
          <w:p w:rsidR="009D0C48" w:rsidRDefault="009D0C48" w:rsidP="009D0C48"/>
        </w:tc>
      </w:tr>
    </w:tbl>
    <w:p w:rsidR="009C4AC9" w:rsidRDefault="009C4AC9"/>
    <w:p w:rsidR="009C4AC9" w:rsidRPr="003E2FF5" w:rsidRDefault="00F21726" w:rsidP="00F21726">
      <w:pPr>
        <w:pStyle w:val="ListParagraph"/>
        <w:numPr>
          <w:ilvl w:val="0"/>
          <w:numId w:val="14"/>
        </w:numPr>
        <w:rPr>
          <w:b/>
        </w:rPr>
      </w:pPr>
      <w:bookmarkStart w:id="11" w:name="KeyDevelopmentIssues"/>
      <w:r w:rsidRPr="003E2FF5">
        <w:rPr>
          <w:b/>
        </w:rPr>
        <w:t xml:space="preserve">Project Context </w:t>
      </w:r>
    </w:p>
    <w:p w:rsidR="009C4AC9" w:rsidRDefault="009C4AC9"/>
    <w:p w:rsidR="00F21726" w:rsidRPr="00F21726" w:rsidRDefault="00F21726">
      <w:pPr>
        <w:rPr>
          <w:i/>
        </w:rPr>
      </w:pPr>
      <w:r>
        <w:rPr>
          <w:i/>
        </w:rPr>
        <w:t>Country Context</w:t>
      </w:r>
    </w:p>
    <w:p w:rsidR="00F21726" w:rsidRDefault="00F21726"/>
    <w:p w:rsidR="00131675" w:rsidRDefault="00131675" w:rsidP="0010444B">
      <w:pPr>
        <w:pStyle w:val="MainParanoChapter"/>
        <w:ind w:firstLine="720"/>
        <w:jc w:val="both"/>
      </w:pPr>
      <w:r>
        <w:t xml:space="preserve">India is highly vulnerable to natural hazards, particularly earthquakes, flood, drought, cyclone and landslides. </w:t>
      </w:r>
      <w:r w:rsidR="009C4AC9">
        <w:t>Cyclone</w:t>
      </w:r>
      <w:r w:rsidR="00B67B9B">
        <w:t>s are</w:t>
      </w:r>
      <w:r w:rsidR="009C4AC9">
        <w:t xml:space="preserve"> one of the most </w:t>
      </w:r>
      <w:r w:rsidR="00B67B9B">
        <w:t xml:space="preserve">frequently </w:t>
      </w:r>
      <w:r w:rsidR="009C4AC9">
        <w:t xml:space="preserve">recurring natural disasters in India, with nearly 300 cyclones (of which 40 percent were severe) affecting the country during the past century. </w:t>
      </w:r>
      <w:r>
        <w:t>Analyzed data for the period 1980-2000 indicates that on an average, annually, 370 million people are exposed to tropical storms and cyclones in India and e</w:t>
      </w:r>
      <w:r w:rsidR="009C4AC9">
        <w:t>conomic losses resulting from these cyclones are staggeringly high, estimated at about US$ 200 million annually.</w:t>
      </w:r>
      <w:r w:rsidR="00F8407B">
        <w:t xml:space="preserve"> </w:t>
      </w:r>
      <w:r>
        <w:t>As climate change and variability become more pronounced, hazard events are set to grow, both in terms of frequency and intensity. Climate change prediction models show greater number of high storm surges. In addition, models show an increased occurrence of cyclones in the Bay of Bengal, particularly in the post-monsoon period, along with increased maximum wind speeds associated with cyclones.</w:t>
      </w:r>
    </w:p>
    <w:p w:rsidR="00F21726" w:rsidRPr="0000386C" w:rsidRDefault="0000386C" w:rsidP="00F21726">
      <w:pPr>
        <w:pStyle w:val="MainParanoChapter"/>
        <w:jc w:val="both"/>
        <w:rPr>
          <w:i/>
        </w:rPr>
      </w:pPr>
      <w:proofErr w:type="spellStart"/>
      <w:r>
        <w:rPr>
          <w:i/>
        </w:rPr>
        <w:t>Sectoral</w:t>
      </w:r>
      <w:proofErr w:type="spellEnd"/>
      <w:r>
        <w:rPr>
          <w:i/>
        </w:rPr>
        <w:t xml:space="preserve"> and Institutional Context</w:t>
      </w:r>
    </w:p>
    <w:p w:rsidR="00F8407B" w:rsidRDefault="00F8407B">
      <w:pPr>
        <w:pStyle w:val="MainParanoChapter"/>
        <w:ind w:firstLine="720"/>
        <w:jc w:val="both"/>
      </w:pPr>
      <w:r>
        <w:t xml:space="preserve">For more than a decade now, the </w:t>
      </w:r>
      <w:r w:rsidR="00777431">
        <w:t xml:space="preserve">World </w:t>
      </w:r>
      <w:r>
        <w:t>Bank has been assisting</w:t>
      </w:r>
      <w:r w:rsidR="00777431">
        <w:t xml:space="preserve"> the Government of India (</w:t>
      </w:r>
      <w:proofErr w:type="spellStart"/>
      <w:r>
        <w:t>GoI</w:t>
      </w:r>
      <w:proofErr w:type="spellEnd"/>
      <w:r w:rsidR="00777431">
        <w:t>)</w:t>
      </w:r>
      <w:r>
        <w:t xml:space="preserve"> in effectively responding to disasters </w:t>
      </w:r>
      <w:r w:rsidR="00777431">
        <w:t xml:space="preserve">including </w:t>
      </w:r>
      <w:r>
        <w:t xml:space="preserve">the </w:t>
      </w:r>
      <w:proofErr w:type="spellStart"/>
      <w:r>
        <w:t>Latur</w:t>
      </w:r>
      <w:proofErr w:type="spellEnd"/>
      <w:r>
        <w:t xml:space="preserve"> (Maharashtra) earthquake in 1993, the Andhra Pradesh cyclone in 1997, the Orissa super-cyclone in 1999, the </w:t>
      </w:r>
      <w:proofErr w:type="spellStart"/>
      <w:r>
        <w:t>Bhuj</w:t>
      </w:r>
      <w:proofErr w:type="spellEnd"/>
      <w:r>
        <w:t>, Gujarat earthquake in 2001, the Tsunami in South India in 2004</w:t>
      </w:r>
      <w:r w:rsidR="000143A3">
        <w:t>,</w:t>
      </w:r>
      <w:r w:rsidR="005503A8">
        <w:t xml:space="preserve"> </w:t>
      </w:r>
      <w:proofErr w:type="spellStart"/>
      <w:r w:rsidR="00777431">
        <w:t>Uttarakhand</w:t>
      </w:r>
      <w:proofErr w:type="spellEnd"/>
      <w:r w:rsidR="00777431">
        <w:t xml:space="preserve"> floods</w:t>
      </w:r>
      <w:r w:rsidR="000143A3">
        <w:t xml:space="preserve"> in 2013</w:t>
      </w:r>
      <w:r w:rsidR="00777431">
        <w:t xml:space="preserve"> </w:t>
      </w:r>
      <w:r w:rsidR="005503A8">
        <w:t xml:space="preserve">and most recently Cyclone </w:t>
      </w:r>
      <w:proofErr w:type="spellStart"/>
      <w:r w:rsidR="005503A8">
        <w:t>Phailin</w:t>
      </w:r>
      <w:proofErr w:type="spellEnd"/>
      <w:r w:rsidR="005503A8">
        <w:t xml:space="preserve"> in 2013</w:t>
      </w:r>
      <w:r>
        <w:t xml:space="preserve">. Globally, understanding has grown over the past decade around the important role played by disaster risk mitigation and preparedness projects in reducing the overall impacts of a disaster. In India too, this partnership between </w:t>
      </w:r>
      <w:proofErr w:type="spellStart"/>
      <w:r>
        <w:t>GoI</w:t>
      </w:r>
      <w:proofErr w:type="spellEnd"/>
      <w:r>
        <w:t xml:space="preserve"> and the </w:t>
      </w:r>
      <w:r w:rsidR="00777431">
        <w:lastRenderedPageBreak/>
        <w:t xml:space="preserve">World </w:t>
      </w:r>
      <w:r>
        <w:t>Bank and their joint learning experience of disaster recovery and reconstruction, are leading to an increased focus towards future oriented, risk mitigation programs and strategies.</w:t>
      </w:r>
    </w:p>
    <w:p w:rsidR="00A70DCB" w:rsidRDefault="00A70DCB">
      <w:pPr>
        <w:pStyle w:val="MainParanoChapter"/>
        <w:ind w:firstLine="720"/>
        <w:jc w:val="both"/>
      </w:pPr>
      <w:r>
        <w:t>India’s response to the biggest disasters</w:t>
      </w:r>
      <w:r w:rsidR="00F21726">
        <w:t xml:space="preserve"> of the past decade</w:t>
      </w:r>
      <w:r>
        <w:t xml:space="preserve">, the Gujarat earthquake </w:t>
      </w:r>
      <w:r w:rsidR="00F21726">
        <w:t xml:space="preserve">and </w:t>
      </w:r>
      <w:r>
        <w:t xml:space="preserve">the Asian tsunami, has been efficient and very effective. Through this period </w:t>
      </w:r>
      <w:smartTag w:uri="urn:schemas-microsoft-com:office:smarttags" w:element="place">
        <w:smartTag w:uri="urn:schemas-microsoft-com:office:smarttags" w:element="country-region">
          <w:r>
            <w:t>India</w:t>
          </w:r>
        </w:smartTag>
      </w:smartTag>
      <w:r>
        <w:t xml:space="preserve"> has made great strides in moving from reactive emergency response to being proactive and implementing disaster preparedness and risk reduction initiatives. India enacted the Disaster Management Act in 2005 paving the way for the establishment of the National Disaster Management Authority (NDMA) and State Disaster Management Authorities (State DMAs). The NDMA has proactively formulated guidelines and procedures for dealing with specific calamities. NDMA is mandated to lay down the policies, plans and guidelines for Disaster Management to ensure timely and effective response to disasters. They are engaged in prioritizing and building capacity for risk mitigation programs across the country. The </w:t>
      </w:r>
      <w:r w:rsidRPr="00F83A54">
        <w:t xml:space="preserve">Risk Framework </w:t>
      </w:r>
      <w:r>
        <w:t xml:space="preserve">developed in India has </w:t>
      </w:r>
      <w:r w:rsidRPr="00F83A54">
        <w:t>served as blue print and best practice model for other countries</w:t>
      </w:r>
      <w:r>
        <w:t>.</w:t>
      </w:r>
    </w:p>
    <w:p w:rsidR="0000386C" w:rsidRPr="0000386C" w:rsidRDefault="0000386C" w:rsidP="0000386C">
      <w:pPr>
        <w:pStyle w:val="MainParanoChapter"/>
        <w:jc w:val="both"/>
        <w:rPr>
          <w:i/>
        </w:rPr>
      </w:pPr>
      <w:r>
        <w:rPr>
          <w:i/>
        </w:rPr>
        <w:t>Rationale for Additional Financing</w:t>
      </w:r>
    </w:p>
    <w:p w:rsidR="00F21726" w:rsidRDefault="00F21726" w:rsidP="0000386C">
      <w:pPr>
        <w:pStyle w:val="BankNormal"/>
        <w:spacing w:after="0"/>
        <w:ind w:firstLine="720"/>
        <w:jc w:val="both"/>
        <w:rPr>
          <w:szCs w:val="24"/>
        </w:rPr>
      </w:pPr>
      <w:r w:rsidRPr="00002B2A">
        <w:rPr>
          <w:szCs w:val="24"/>
        </w:rPr>
        <w:t xml:space="preserve">On October 12 2013, Cyclone </w:t>
      </w:r>
      <w:proofErr w:type="spellStart"/>
      <w:r w:rsidRPr="00002B2A">
        <w:rPr>
          <w:szCs w:val="24"/>
        </w:rPr>
        <w:t>Phailin</w:t>
      </w:r>
      <w:proofErr w:type="spellEnd"/>
      <w:r w:rsidRPr="00002B2A">
        <w:rPr>
          <w:szCs w:val="24"/>
        </w:rPr>
        <w:t xml:space="preserve"> hit the state</w:t>
      </w:r>
      <w:r>
        <w:rPr>
          <w:szCs w:val="24"/>
        </w:rPr>
        <w:t>s</w:t>
      </w:r>
      <w:r w:rsidRPr="00002B2A">
        <w:rPr>
          <w:szCs w:val="24"/>
        </w:rPr>
        <w:t xml:space="preserve"> of Odisha</w:t>
      </w:r>
      <w:r>
        <w:rPr>
          <w:szCs w:val="24"/>
        </w:rPr>
        <w:t xml:space="preserve"> and Andhra Pradesh</w:t>
      </w:r>
      <w:r w:rsidRPr="00002B2A">
        <w:rPr>
          <w:szCs w:val="24"/>
        </w:rPr>
        <w:t xml:space="preserve"> with wind gusts up to 220 kilometer per hour, heavy rains measuring up to 25 centimeter and storm surge over 3 meters; the sea pushed in as much as 40 meters along parts of the coast. It was the strongest cyclone to hit the Indian coast in the past 14 years: a category 4 cyclone (Katrina in comparison, was category 3 upon landfall) similar to the Super Cyclone 05B of 1999 to hit Odisha and kill more than 10,000, destroying 275,000 homes and leaving 1.67 million homeless. The cyclone hit a densely populated area, with 4.5 million people within the hurricane force wind path and significant informal housing.</w:t>
      </w:r>
    </w:p>
    <w:p w:rsidR="0000386C" w:rsidRDefault="0000386C" w:rsidP="0000386C">
      <w:pPr>
        <w:pStyle w:val="BankNormal"/>
        <w:spacing w:after="0"/>
        <w:jc w:val="both"/>
        <w:rPr>
          <w:szCs w:val="24"/>
        </w:rPr>
      </w:pPr>
    </w:p>
    <w:p w:rsidR="00F21726" w:rsidRDefault="00777431" w:rsidP="0000386C">
      <w:pPr>
        <w:pStyle w:val="BankNormal"/>
        <w:spacing w:after="0"/>
        <w:ind w:firstLine="720"/>
        <w:jc w:val="both"/>
        <w:rPr>
          <w:szCs w:val="24"/>
        </w:rPr>
      </w:pPr>
      <w:r>
        <w:rPr>
          <w:szCs w:val="24"/>
        </w:rPr>
        <w:t>The death toll, according to r</w:t>
      </w:r>
      <w:r w:rsidRPr="00813B35">
        <w:rPr>
          <w:szCs w:val="24"/>
        </w:rPr>
        <w:t xml:space="preserve">eports </w:t>
      </w:r>
      <w:r>
        <w:rPr>
          <w:szCs w:val="24"/>
        </w:rPr>
        <w:t>was</w:t>
      </w:r>
      <w:r w:rsidRPr="00813B35">
        <w:rPr>
          <w:szCs w:val="24"/>
        </w:rPr>
        <w:t xml:space="preserve"> 44, </w:t>
      </w:r>
      <w:r>
        <w:rPr>
          <w:szCs w:val="24"/>
        </w:rPr>
        <w:t xml:space="preserve">which was </w:t>
      </w:r>
      <w:r w:rsidRPr="00813B35">
        <w:rPr>
          <w:szCs w:val="24"/>
        </w:rPr>
        <w:t>0.4 percent that of the 1999 cyclone</w:t>
      </w:r>
      <w:r w:rsidR="0000386C">
        <w:rPr>
          <w:szCs w:val="24"/>
        </w:rPr>
        <w:t>; the National Cyclone Risk Mitigation Project (NCRMP Phase I)</w:t>
      </w:r>
      <w:r w:rsidR="00F21726" w:rsidRPr="00002B2A">
        <w:rPr>
          <w:szCs w:val="24"/>
        </w:rPr>
        <w:t xml:space="preserve"> contributed to this enhanced resilience. The state governments</w:t>
      </w:r>
      <w:r>
        <w:rPr>
          <w:szCs w:val="24"/>
        </w:rPr>
        <w:t xml:space="preserve"> of Odisha and Andhra Pradesh (the target states of NCRMP-I which were also most affected by Cyclone </w:t>
      </w:r>
      <w:proofErr w:type="spellStart"/>
      <w:r>
        <w:rPr>
          <w:szCs w:val="24"/>
        </w:rPr>
        <w:t>Phailin</w:t>
      </w:r>
      <w:proofErr w:type="spellEnd"/>
      <w:r>
        <w:rPr>
          <w:szCs w:val="24"/>
        </w:rPr>
        <w:t>)</w:t>
      </w:r>
      <w:r w:rsidR="00F21726" w:rsidRPr="00002B2A">
        <w:rPr>
          <w:szCs w:val="24"/>
        </w:rPr>
        <w:t>, in collaboration with the National Disaster Management Authority (NDMA)</w:t>
      </w:r>
      <w:r>
        <w:rPr>
          <w:szCs w:val="24"/>
        </w:rPr>
        <w:t>,</w:t>
      </w:r>
      <w:r w:rsidR="00F21726" w:rsidRPr="00002B2A">
        <w:rPr>
          <w:szCs w:val="24"/>
        </w:rPr>
        <w:t xml:space="preserve"> evacuated over 900,000 people from low-lying coastal areas - the largest such operation in India’s history. State authorities set up over 1,200 relief camps and stocked over 500 cyclone shelter with adequate food, water and supplies. Over 2,300 officers from the National Disaster Response Force and 600 personnel from the Indian Army fanned out to provide relief and assess the damage across 14,500 affected villages.</w:t>
      </w:r>
    </w:p>
    <w:p w:rsidR="0000386C" w:rsidRDefault="0000386C" w:rsidP="0000386C">
      <w:pPr>
        <w:pStyle w:val="BankNormal"/>
        <w:spacing w:after="0"/>
        <w:jc w:val="both"/>
        <w:rPr>
          <w:szCs w:val="24"/>
        </w:rPr>
      </w:pPr>
    </w:p>
    <w:p w:rsidR="0000386C" w:rsidRDefault="00F21726" w:rsidP="0000386C">
      <w:pPr>
        <w:pStyle w:val="BankNormal"/>
        <w:spacing w:after="0"/>
        <w:ind w:firstLine="720"/>
        <w:jc w:val="both"/>
        <w:rPr>
          <w:szCs w:val="24"/>
        </w:rPr>
      </w:pPr>
      <w:r w:rsidRPr="00002B2A">
        <w:rPr>
          <w:szCs w:val="24"/>
        </w:rPr>
        <w:t xml:space="preserve">As a result of Cyclone </w:t>
      </w:r>
      <w:proofErr w:type="spellStart"/>
      <w:r w:rsidRPr="00002B2A">
        <w:rPr>
          <w:szCs w:val="24"/>
        </w:rPr>
        <w:t>Phailin</w:t>
      </w:r>
      <w:proofErr w:type="spellEnd"/>
      <w:r w:rsidRPr="00002B2A">
        <w:rPr>
          <w:szCs w:val="24"/>
        </w:rPr>
        <w:t>, the Government of India</w:t>
      </w:r>
      <w:r w:rsidR="0000386C">
        <w:rPr>
          <w:szCs w:val="24"/>
        </w:rPr>
        <w:t xml:space="preserve">, </w:t>
      </w:r>
      <w:r w:rsidR="0000386C" w:rsidRPr="00002B2A">
        <w:rPr>
          <w:szCs w:val="24"/>
        </w:rPr>
        <w:t>ever more conscious of the need for cyclone risk mitigation infrastructure in the vulnerable coastal states of Odisha and Andhra Pradesh</w:t>
      </w:r>
      <w:r w:rsidR="0000386C">
        <w:rPr>
          <w:szCs w:val="24"/>
        </w:rPr>
        <w:t xml:space="preserve">, </w:t>
      </w:r>
      <w:r w:rsidR="0000386C" w:rsidRPr="001D2776">
        <w:rPr>
          <w:szCs w:val="24"/>
        </w:rPr>
        <w:t xml:space="preserve">has requested </w:t>
      </w:r>
      <w:r w:rsidR="0000386C">
        <w:t xml:space="preserve">an </w:t>
      </w:r>
      <w:r w:rsidR="0000386C" w:rsidRPr="001D2776">
        <w:rPr>
          <w:szCs w:val="24"/>
        </w:rPr>
        <w:t xml:space="preserve">additional credit </w:t>
      </w:r>
      <w:r w:rsidR="0000386C">
        <w:t xml:space="preserve">to </w:t>
      </w:r>
      <w:r w:rsidR="0000386C" w:rsidRPr="001D2776">
        <w:rPr>
          <w:szCs w:val="24"/>
        </w:rPr>
        <w:t xml:space="preserve">further the engagement </w:t>
      </w:r>
      <w:r w:rsidR="00C10EC8">
        <w:rPr>
          <w:szCs w:val="24"/>
        </w:rPr>
        <w:t xml:space="preserve">of </w:t>
      </w:r>
      <w:r w:rsidR="0000386C">
        <w:rPr>
          <w:szCs w:val="24"/>
        </w:rPr>
        <w:t xml:space="preserve">NCRMP </w:t>
      </w:r>
      <w:r w:rsidR="00C10EC8">
        <w:rPr>
          <w:szCs w:val="24"/>
        </w:rPr>
        <w:t>in these states by providing improved access to emergency shelter and evacuation against wind storms, flooding and storm surge in high risk areas currently not covered by the original project.</w:t>
      </w:r>
    </w:p>
    <w:p w:rsidR="000F0100" w:rsidRDefault="0000386C" w:rsidP="0000386C">
      <w:pPr>
        <w:pStyle w:val="BankNormal"/>
        <w:spacing w:after="0"/>
        <w:ind w:firstLine="720"/>
        <w:jc w:val="both"/>
      </w:pPr>
      <w:r w:rsidRPr="001D2776">
        <w:rPr>
          <w:szCs w:val="24"/>
        </w:rPr>
        <w:t xml:space="preserve"> </w:t>
      </w:r>
    </w:p>
    <w:p w:rsidR="00F21726" w:rsidRDefault="00F8407B" w:rsidP="00C10EC8">
      <w:pPr>
        <w:pStyle w:val="MainParanoChapter"/>
        <w:ind w:firstLine="720"/>
        <w:jc w:val="both"/>
      </w:pPr>
      <w:r w:rsidRPr="0072208C">
        <w:t xml:space="preserve">The World Bank </w:t>
      </w:r>
      <w:r>
        <w:t xml:space="preserve">is committed to continuing its efforts </w:t>
      </w:r>
      <w:r w:rsidRPr="0072208C">
        <w:t xml:space="preserve">of reducing vulnerability of India to natural disaster events and its social and economic impacts </w:t>
      </w:r>
      <w:r>
        <w:t>by</w:t>
      </w:r>
      <w:r w:rsidRPr="0072208C">
        <w:t xml:space="preserve"> promoting a proactive and strategic approach to managing natural </w:t>
      </w:r>
      <w:r>
        <w:t>disaster</w:t>
      </w:r>
      <w:r w:rsidRPr="0072208C">
        <w:t xml:space="preserve"> risk. </w:t>
      </w:r>
      <w:r w:rsidRPr="00251C83">
        <w:t>The underlying principles of the framework are that both loss of life and economic impact of disasters can be reduced by advance planning and investment.</w:t>
      </w:r>
      <w:r>
        <w:t xml:space="preserve"> </w:t>
      </w:r>
      <w:r w:rsidR="00C10EC8">
        <w:t xml:space="preserve">This commitment is consistent with the Country Partnership Strategy for India </w:t>
      </w:r>
      <w:r w:rsidR="00777431">
        <w:lastRenderedPageBreak/>
        <w:t xml:space="preserve">(2013-17) </w:t>
      </w:r>
      <w:r w:rsidR="00C10EC8">
        <w:t>in promoting integration, transformation and inclusion: integration through connecting communities through additional roads and bridges used for evacuation and resilience but also for market integration; transformation by enhancing capacity at both central and community levels to promote disaster risk management capacity and inclusion through building resilience infrastructure which support fragile segments of the population most at risk of being left behind.</w:t>
      </w:r>
    </w:p>
    <w:p w:rsidR="009C4AC9" w:rsidRPr="003E2FF5" w:rsidRDefault="00C10EC8" w:rsidP="00C10EC8">
      <w:pPr>
        <w:pStyle w:val="ListParagraph"/>
        <w:numPr>
          <w:ilvl w:val="0"/>
          <w:numId w:val="14"/>
        </w:numPr>
        <w:rPr>
          <w:b/>
        </w:rPr>
      </w:pPr>
      <w:bookmarkStart w:id="12" w:name="ProjectDevelopmentObjectives"/>
      <w:bookmarkEnd w:id="11"/>
      <w:r w:rsidRPr="003E2FF5">
        <w:rPr>
          <w:b/>
        </w:rPr>
        <w:t>Project Development Objectives</w:t>
      </w:r>
    </w:p>
    <w:p w:rsidR="009C4AC9" w:rsidRDefault="009C4AC9"/>
    <w:p w:rsidR="005C7037" w:rsidRDefault="009C4AC9">
      <w:pPr>
        <w:pStyle w:val="BodyTextIndent"/>
        <w:ind w:left="0" w:firstLine="720"/>
      </w:pPr>
      <w:r>
        <w:t>The overall development objectives of the pro</w:t>
      </w:r>
      <w:r w:rsidR="005C7037">
        <w:t>gram</w:t>
      </w:r>
      <w:r>
        <w:t xml:space="preserve"> </w:t>
      </w:r>
      <w:r w:rsidR="00C10EC8">
        <w:t>remains</w:t>
      </w:r>
      <w:r>
        <w:t xml:space="preserve"> to assist the Government of India mitigat</w:t>
      </w:r>
      <w:r w:rsidR="00777431">
        <w:t>e</w:t>
      </w:r>
      <w:r>
        <w:t xml:space="preserve"> the risks and vulnerability of the people of India to natural disasters, particularly cyclones, in order to save lives and reduce social, economic and financial impacts in the event of future disasters.</w:t>
      </w:r>
      <w:r w:rsidR="005C7037">
        <w:t xml:space="preserve"> </w:t>
      </w:r>
      <w:r w:rsidR="00331F0E" w:rsidRPr="00E62E42">
        <w:rPr>
          <w:color w:val="000000"/>
        </w:rPr>
        <w:t xml:space="preserve">The PDO of the </w:t>
      </w:r>
      <w:r w:rsidR="00C10EC8">
        <w:rPr>
          <w:color w:val="000000"/>
        </w:rPr>
        <w:t>NCRMP and its additional financing</w:t>
      </w:r>
      <w:r w:rsidR="00331F0E" w:rsidRPr="00E62E42">
        <w:rPr>
          <w:color w:val="000000"/>
        </w:rPr>
        <w:t xml:space="preserve"> is to reduce the vulnerability of coastal communities to cyclone and other </w:t>
      </w:r>
      <w:proofErr w:type="spellStart"/>
      <w:r w:rsidR="00331F0E" w:rsidRPr="00E62E42">
        <w:rPr>
          <w:color w:val="000000"/>
        </w:rPr>
        <w:t>hydrometeorological</w:t>
      </w:r>
      <w:proofErr w:type="spellEnd"/>
      <w:r w:rsidR="00331F0E" w:rsidRPr="00E62E42">
        <w:rPr>
          <w:color w:val="000000"/>
        </w:rPr>
        <w:t xml:space="preserve"> hazards through (</w:t>
      </w:r>
      <w:proofErr w:type="spellStart"/>
      <w:r w:rsidR="00331F0E" w:rsidRPr="00E62E42">
        <w:rPr>
          <w:color w:val="000000"/>
        </w:rPr>
        <w:t>i</w:t>
      </w:r>
      <w:proofErr w:type="spellEnd"/>
      <w:r w:rsidR="00331F0E" w:rsidRPr="00E62E42">
        <w:rPr>
          <w:color w:val="000000"/>
        </w:rPr>
        <w:t>) improved early warning and communication systems, (ii) enhanced capacity of local communities to respond to disasters, (iii) improved access to emergency shelter, evacuation, and protection against wind storms, flooding and storm surge in high risk areas, and (iv) strengthening disaster risk management capacity at central, state and local levels in order to enable mainstreaming of risk mitigation measures into the overall development agenda</w:t>
      </w:r>
      <w:r w:rsidR="00331F0E">
        <w:rPr>
          <w:color w:val="000000"/>
        </w:rPr>
        <w:t>.</w:t>
      </w:r>
      <w:r>
        <w:t xml:space="preserve">  </w:t>
      </w:r>
    </w:p>
    <w:p w:rsidR="00331F0E" w:rsidRDefault="00331F0E">
      <w:pPr>
        <w:pStyle w:val="BodyTextIndent"/>
        <w:ind w:left="0" w:firstLine="720"/>
      </w:pPr>
    </w:p>
    <w:p w:rsidR="00E8189B" w:rsidRDefault="00E832BE" w:rsidP="00E8189B">
      <w:pPr>
        <w:ind w:firstLine="720"/>
        <w:jc w:val="both"/>
      </w:pPr>
      <w:r>
        <w:t xml:space="preserve">The program is </w:t>
      </w:r>
      <w:r w:rsidR="00B0740F">
        <w:t xml:space="preserve">designed as </w:t>
      </w:r>
      <w:r w:rsidR="00777431">
        <w:t xml:space="preserve">an </w:t>
      </w:r>
      <w:r w:rsidR="00B0740F">
        <w:t xml:space="preserve">Adaptable Program Loan (APL) and is </w:t>
      </w:r>
      <w:r>
        <w:t>expected to have three phases. Phase I includes the states of O</w:t>
      </w:r>
      <w:r w:rsidR="00C10EC8">
        <w:t>disha</w:t>
      </w:r>
      <w:r>
        <w:t xml:space="preserve"> and Andhra Pradesh that are ready to start implementation of the program. Phase II will focus on West Bengal, Maharashtra</w:t>
      </w:r>
      <w:r w:rsidR="00213004">
        <w:t>, Kerala</w:t>
      </w:r>
      <w:r>
        <w:t xml:space="preserve"> and Gujarat. The remaining coastal states will be covered under </w:t>
      </w:r>
      <w:r w:rsidR="00777431">
        <w:t>P</w:t>
      </w:r>
      <w:r>
        <w:t>hase III.</w:t>
      </w:r>
      <w:r w:rsidR="00FF2CFB">
        <w:t xml:space="preserve"> The programmatic approach of </w:t>
      </w:r>
      <w:r w:rsidR="00777431">
        <w:t xml:space="preserve">the </w:t>
      </w:r>
      <w:r w:rsidR="00FF2CFB">
        <w:t xml:space="preserve">APL will allow for incorporation of lessons learned from earlier phases, </w:t>
      </w:r>
      <w:r w:rsidR="00777431">
        <w:t xml:space="preserve">as well as </w:t>
      </w:r>
      <w:r w:rsidR="007D509D">
        <w:t xml:space="preserve">the adoption of </w:t>
      </w:r>
      <w:r w:rsidR="00FF2CFB">
        <w:t>new ideas and technologi</w:t>
      </w:r>
      <w:r w:rsidR="007D509D">
        <w:t>es</w:t>
      </w:r>
      <w:r w:rsidR="00FF2CFB">
        <w:t xml:space="preserve"> into subsequent phases of the program. The programmatic approach will also help in </w:t>
      </w:r>
      <w:r w:rsidR="007D509D">
        <w:t xml:space="preserve">the </w:t>
      </w:r>
      <w:r w:rsidR="00FF2CFB">
        <w:t>creation of monitoring and evaluation capacities of the NDMA and other state nodal agencies</w:t>
      </w:r>
      <w:r w:rsidR="007D509D">
        <w:t>,</w:t>
      </w:r>
      <w:r w:rsidR="00FF2CFB">
        <w:t xml:space="preserve"> and will also relate to the readiness of various coastal states vis-à-vis identification and detailing of the specific investment proposals.</w:t>
      </w:r>
    </w:p>
    <w:p w:rsidR="00E8189B" w:rsidRDefault="00E8189B" w:rsidP="00E8189B">
      <w:pPr>
        <w:ind w:firstLine="720"/>
        <w:jc w:val="both"/>
      </w:pPr>
    </w:p>
    <w:p w:rsidR="006D5A08" w:rsidRDefault="006D5A08" w:rsidP="00E8189B">
      <w:pPr>
        <w:ind w:firstLine="720"/>
        <w:jc w:val="both"/>
      </w:pPr>
      <w:r w:rsidRPr="00591883">
        <w:t xml:space="preserve">The proposed additional financing </w:t>
      </w:r>
      <w:r w:rsidR="007D509D">
        <w:t xml:space="preserve">will </w:t>
      </w:r>
      <w:r w:rsidRPr="00591883">
        <w:t xml:space="preserve">scale up risk mitigation activities </w:t>
      </w:r>
      <w:r w:rsidR="00E8189B">
        <w:t xml:space="preserve">under Phase I </w:t>
      </w:r>
      <w:r w:rsidRPr="00591883">
        <w:t xml:space="preserve">and </w:t>
      </w:r>
      <w:r w:rsidR="007D509D">
        <w:t xml:space="preserve">strengthen </w:t>
      </w:r>
      <w:r w:rsidRPr="00591883">
        <w:t xml:space="preserve">their impact and development effectiveness in the context of the October 2013 cyclone. These aims would be targeted through expanded </w:t>
      </w:r>
      <w:r w:rsidR="00E8189B">
        <w:t>construction of multi-purpose cyclone shelters and its related evacuation infrastructure.</w:t>
      </w:r>
      <w:r w:rsidRPr="00591883">
        <w:t xml:space="preserve"> </w:t>
      </w:r>
    </w:p>
    <w:p w:rsidR="006D5A08" w:rsidRDefault="006D5A08" w:rsidP="0010444B">
      <w:pPr>
        <w:ind w:firstLine="720"/>
        <w:jc w:val="both"/>
      </w:pPr>
    </w:p>
    <w:p w:rsidR="009C4AC9" w:rsidRPr="003E2FF5" w:rsidRDefault="003E2FF5" w:rsidP="003E2FF5">
      <w:pPr>
        <w:pStyle w:val="ListParagraph"/>
        <w:numPr>
          <w:ilvl w:val="0"/>
          <w:numId w:val="14"/>
        </w:numPr>
        <w:rPr>
          <w:b/>
        </w:rPr>
      </w:pPr>
      <w:bookmarkStart w:id="13" w:name="ProjectDescription"/>
      <w:bookmarkEnd w:id="12"/>
      <w:r w:rsidRPr="003E2FF5">
        <w:rPr>
          <w:b/>
        </w:rPr>
        <w:t>Project Description</w:t>
      </w:r>
      <w:r w:rsidR="00E832BE" w:rsidRPr="003E2FF5">
        <w:rPr>
          <w:b/>
        </w:rPr>
        <w:t xml:space="preserve"> (Phase I)</w:t>
      </w:r>
    </w:p>
    <w:p w:rsidR="009C4AC9" w:rsidRDefault="009C4AC9"/>
    <w:p w:rsidR="009C4AC9" w:rsidRDefault="009C4AC9">
      <w:pPr>
        <w:pStyle w:val="BodyText"/>
        <w:ind w:firstLine="720"/>
        <w:jc w:val="both"/>
        <w:rPr>
          <w:b w:val="0"/>
          <w:bCs w:val="0"/>
        </w:rPr>
      </w:pPr>
      <w:r>
        <w:rPr>
          <w:b w:val="0"/>
          <w:bCs w:val="0"/>
        </w:rPr>
        <w:t xml:space="preserve">The project development objective is expected to be achieved through the following main components:  </w:t>
      </w:r>
    </w:p>
    <w:p w:rsidR="009C4AC9" w:rsidRDefault="009C4AC9">
      <w:pPr>
        <w:jc w:val="both"/>
      </w:pPr>
    </w:p>
    <w:p w:rsidR="000B666C" w:rsidRDefault="000B666C" w:rsidP="00BF7708">
      <w:pPr>
        <w:ind w:firstLine="720"/>
        <w:jc w:val="both"/>
      </w:pPr>
      <w:r w:rsidRPr="000B666C">
        <w:rPr>
          <w:i/>
        </w:rPr>
        <w:t>Component A: Early Warning Dissemination to Coastal Communities ($</w:t>
      </w:r>
      <w:r w:rsidR="00E832BE">
        <w:rPr>
          <w:i/>
        </w:rPr>
        <w:t>15</w:t>
      </w:r>
      <w:r w:rsidRPr="000B666C">
        <w:rPr>
          <w:i/>
        </w:rPr>
        <w:t xml:space="preserve"> million)</w:t>
      </w:r>
      <w:r>
        <w:t xml:space="preserve">: The objective of this component is to reduce the vulnerability of coastal communities by addressing the gap of early warning dissemination in a timely, reliable and efficient manner. The component will support </w:t>
      </w:r>
      <w:r w:rsidR="007D509D">
        <w:t xml:space="preserve">the </w:t>
      </w:r>
      <w:r>
        <w:t>installation of an early warning system</w:t>
      </w:r>
      <w:r w:rsidR="007D509D">
        <w:t>,</w:t>
      </w:r>
      <w:r>
        <w:t xml:space="preserve"> allowing the state and/or district/sub district level control centre to send communication</w:t>
      </w:r>
      <w:r w:rsidR="007D509D">
        <w:t>s</w:t>
      </w:r>
      <w:r>
        <w:t xml:space="preserve"> directly to the village level; </w:t>
      </w:r>
      <w:r w:rsidR="007D509D">
        <w:t xml:space="preserve">it will also help </w:t>
      </w:r>
      <w:r>
        <w:t xml:space="preserve">strengthen </w:t>
      </w:r>
      <w:r w:rsidR="007D509D">
        <w:t xml:space="preserve">the </w:t>
      </w:r>
      <w:r>
        <w:t>community</w:t>
      </w:r>
      <w:r w:rsidR="007D509D">
        <w:t>’s</w:t>
      </w:r>
      <w:r>
        <w:t xml:space="preserve"> capacity </w:t>
      </w:r>
      <w:r w:rsidR="007D509D">
        <w:t xml:space="preserve">to </w:t>
      </w:r>
      <w:r>
        <w:t>maintain and operat</w:t>
      </w:r>
      <w:r w:rsidR="007D509D">
        <w:t>e</w:t>
      </w:r>
      <w:r>
        <w:t xml:space="preserve"> the early warning system</w:t>
      </w:r>
      <w:r w:rsidR="007D509D">
        <w:t>,</w:t>
      </w:r>
      <w:r>
        <w:t xml:space="preserve"> as well as community mobilization during an emergency.</w:t>
      </w:r>
      <w:r w:rsidRPr="003236EC">
        <w:t xml:space="preserve"> </w:t>
      </w:r>
    </w:p>
    <w:p w:rsidR="000B666C" w:rsidRDefault="000B666C" w:rsidP="000B666C">
      <w:pPr>
        <w:jc w:val="both"/>
      </w:pPr>
    </w:p>
    <w:p w:rsidR="000B666C" w:rsidRDefault="000B666C" w:rsidP="00BF7708">
      <w:pPr>
        <w:ind w:firstLine="720"/>
        <w:jc w:val="both"/>
      </w:pPr>
      <w:r w:rsidRPr="005C1FB4">
        <w:rPr>
          <w:i/>
        </w:rPr>
        <w:t>Component B: Cyclone Risk Mitigation Infrastructure</w:t>
      </w:r>
      <w:r>
        <w:rPr>
          <w:i/>
        </w:rPr>
        <w:t xml:space="preserve"> ($</w:t>
      </w:r>
      <w:r w:rsidR="003E2FF5">
        <w:rPr>
          <w:i/>
        </w:rPr>
        <w:t>379</w:t>
      </w:r>
      <w:r>
        <w:rPr>
          <w:i/>
        </w:rPr>
        <w:t>million)</w:t>
      </w:r>
      <w:r>
        <w:t xml:space="preserve">: The objective of </w:t>
      </w:r>
      <w:r>
        <w:rPr>
          <w:lang w:val="en-IN"/>
        </w:rPr>
        <w:t xml:space="preserve">this component is to mitigate cyclone risks through strengthening related infrastructure along the coastal areas. These include cyclone shelters and evacuation routes; improving access to key roads and bridges; strengthening coastal embankments; drainage improvement measures and creation of corpus funds for operation and maintenance of cyclone shelters. </w:t>
      </w:r>
    </w:p>
    <w:p w:rsidR="000B666C" w:rsidRDefault="000B666C" w:rsidP="000B666C">
      <w:pPr>
        <w:jc w:val="both"/>
      </w:pPr>
    </w:p>
    <w:p w:rsidR="000B666C" w:rsidRDefault="000B666C" w:rsidP="00BF7708">
      <w:pPr>
        <w:ind w:firstLine="720"/>
        <w:jc w:val="both"/>
      </w:pPr>
      <w:r w:rsidRPr="004063F1">
        <w:rPr>
          <w:i/>
        </w:rPr>
        <w:t xml:space="preserve">Component C: </w:t>
      </w:r>
      <w:r w:rsidRPr="002507E6">
        <w:rPr>
          <w:i/>
        </w:rPr>
        <w:t>Technical Assistance for Strengthening Capacity towards Disaster Risk Management</w:t>
      </w:r>
      <w:r>
        <w:rPr>
          <w:i/>
        </w:rPr>
        <w:t xml:space="preserve"> ($</w:t>
      </w:r>
      <w:r w:rsidR="00E832BE">
        <w:rPr>
          <w:i/>
        </w:rPr>
        <w:t>6</w:t>
      </w:r>
      <w:r>
        <w:rPr>
          <w:i/>
        </w:rPr>
        <w:t xml:space="preserve"> million)</w:t>
      </w:r>
      <w:r w:rsidRPr="004063F1">
        <w:rPr>
          <w:i/>
        </w:rPr>
        <w:t xml:space="preserve">: </w:t>
      </w:r>
      <w:r w:rsidRPr="004063F1">
        <w:t xml:space="preserve">The objective of </w:t>
      </w:r>
      <w:r>
        <w:t xml:space="preserve">this component </w:t>
      </w:r>
      <w:r w:rsidRPr="004063F1">
        <w:t xml:space="preserve">is to help understand risk and vulnerabilities better, and prepare the key institutions for addressing them effectively, across </w:t>
      </w:r>
      <w:r>
        <w:t>all 13 vulnerable coastal states and UTs in a demand responsive manner</w:t>
      </w:r>
      <w:r w:rsidRPr="004063F1">
        <w:t>. This component mainly consists of studies, assessments, training and capacity activities related to risk and damage assessments, institutional capacities; development of training modules, training and capacity building action plans and implementing them.</w:t>
      </w:r>
    </w:p>
    <w:p w:rsidR="000B666C" w:rsidRDefault="000B666C" w:rsidP="000B666C"/>
    <w:p w:rsidR="000B666C" w:rsidRDefault="000B666C" w:rsidP="00BF7708">
      <w:pPr>
        <w:ind w:firstLine="720"/>
        <w:jc w:val="both"/>
      </w:pPr>
      <w:r w:rsidRPr="002507E6">
        <w:rPr>
          <w:i/>
        </w:rPr>
        <w:t>Component D: Project Management and Implementation</w:t>
      </w:r>
      <w:r>
        <w:rPr>
          <w:i/>
        </w:rPr>
        <w:t xml:space="preserve"> Support ($</w:t>
      </w:r>
      <w:r w:rsidR="003E2FF5">
        <w:rPr>
          <w:i/>
        </w:rPr>
        <w:t>29</w:t>
      </w:r>
      <w:r>
        <w:rPr>
          <w:i/>
        </w:rPr>
        <w:t xml:space="preserve"> million)</w:t>
      </w:r>
      <w:r w:rsidRPr="002507E6">
        <w:rPr>
          <w:i/>
        </w:rPr>
        <w:t>:</w:t>
      </w:r>
      <w:r>
        <w:t xml:space="preserve"> </w:t>
      </w:r>
      <w:r>
        <w:rPr>
          <w:lang w:val="en-IN"/>
        </w:rPr>
        <w:t xml:space="preserve">This Component’s objective is to support project implementation through provision of necessary office equipment and financing of associated incremental cost of project management teams with NDMA, State PIU’s and various </w:t>
      </w:r>
      <w:r w:rsidRPr="007F648E">
        <w:t>Implementing</w:t>
      </w:r>
      <w:r>
        <w:rPr>
          <w:lang w:val="en-IN"/>
        </w:rPr>
        <w:t xml:space="preserve"> Agencies. This component would also finance the cost of related consulting services for design, planning, implementation support and monitoring</w:t>
      </w:r>
      <w:r>
        <w:t>.</w:t>
      </w:r>
    </w:p>
    <w:p w:rsidR="005C7037" w:rsidRDefault="005C7037">
      <w:pPr>
        <w:jc w:val="both"/>
      </w:pPr>
    </w:p>
    <w:p w:rsidR="003E2FF5" w:rsidRDefault="003E2FF5">
      <w:pPr>
        <w:jc w:val="both"/>
      </w:pPr>
      <w:r>
        <w:t xml:space="preserve">The additional financing would expand activities under component B (Cyclone risk Mitigation Infrastructure) </w:t>
      </w:r>
      <w:r w:rsidR="00213004">
        <w:t>by $ 129</w:t>
      </w:r>
      <w:r>
        <w:t xml:space="preserve"> million including both IDA and </w:t>
      </w:r>
      <w:proofErr w:type="spellStart"/>
      <w:r>
        <w:t>GoI</w:t>
      </w:r>
      <w:proofErr w:type="spellEnd"/>
      <w:r>
        <w:t xml:space="preserve"> financing and the related increment management and coordination support under Component D (Project Management and Implementation Support) </w:t>
      </w:r>
      <w:r w:rsidR="00213004">
        <w:t>by $ 8</w:t>
      </w:r>
      <w:r>
        <w:t xml:space="preserve"> million</w:t>
      </w:r>
      <w:r w:rsidR="00C46DD3">
        <w:t>, for a total amount of $137 million additional financing</w:t>
      </w:r>
      <w:r w:rsidR="00213004">
        <w:t xml:space="preserve"> ($ 105 million of IDA financing and $ 32 million </w:t>
      </w:r>
      <w:proofErr w:type="spellStart"/>
      <w:r w:rsidR="00213004">
        <w:t>GoI</w:t>
      </w:r>
      <w:proofErr w:type="spellEnd"/>
      <w:r w:rsidR="00213004">
        <w:t xml:space="preserve"> financing)</w:t>
      </w:r>
      <w:r w:rsidR="00C46DD3">
        <w:t>.</w:t>
      </w:r>
    </w:p>
    <w:bookmarkEnd w:id="13"/>
    <w:p w:rsidR="00941668" w:rsidRDefault="00941668">
      <w:r>
        <w:br w:type="page"/>
      </w:r>
    </w:p>
    <w:p w:rsidR="003E2FF5" w:rsidRPr="003E2FF5" w:rsidRDefault="008F12DA" w:rsidP="003E2FF5">
      <w:pPr>
        <w:numPr>
          <w:ilvl w:val="0"/>
          <w:numId w:val="14"/>
        </w:numPr>
        <w:ind w:left="360"/>
        <w:rPr>
          <w:b/>
        </w:rPr>
      </w:pPr>
      <w:r>
        <w:rPr>
          <w:b/>
        </w:rPr>
        <w:t>Project</w:t>
      </w:r>
      <w:r w:rsidR="00C46DD3">
        <w:rPr>
          <w:b/>
        </w:rPr>
        <w:t xml:space="preserve"> Total </w:t>
      </w:r>
      <w:r w:rsidR="003E2FF5">
        <w:rPr>
          <w:b/>
        </w:rPr>
        <w:t>Financing</w:t>
      </w:r>
    </w:p>
    <w:tbl>
      <w:tblPr>
        <w:tblW w:w="0" w:type="auto"/>
        <w:tblLook w:val="0000" w:firstRow="0" w:lastRow="0" w:firstColumn="0" w:lastColumn="0" w:noHBand="0" w:noVBand="0"/>
      </w:tblPr>
      <w:tblGrid>
        <w:gridCol w:w="7488"/>
        <w:gridCol w:w="1368"/>
      </w:tblGrid>
      <w:tr w:rsidR="003E2FF5" w:rsidTr="006255E7">
        <w:tc>
          <w:tcPr>
            <w:tcW w:w="7488" w:type="dxa"/>
          </w:tcPr>
          <w:p w:rsidR="003E2FF5" w:rsidRDefault="003E2FF5" w:rsidP="006255E7">
            <w:r>
              <w:t>Source:</w:t>
            </w:r>
            <w:bookmarkStart w:id="14" w:name="FINANCINGTAB_PID"/>
            <w:bookmarkEnd w:id="14"/>
          </w:p>
        </w:tc>
        <w:tc>
          <w:tcPr>
            <w:tcW w:w="1368" w:type="dxa"/>
          </w:tcPr>
          <w:p w:rsidR="003E2FF5" w:rsidRDefault="003E2FF5" w:rsidP="006255E7">
            <w:pPr>
              <w:tabs>
                <w:tab w:val="decimal" w:pos="252"/>
              </w:tabs>
              <w:jc w:val="center"/>
            </w:pPr>
            <w:r>
              <w:t>($m.)</w:t>
            </w:r>
          </w:p>
        </w:tc>
      </w:tr>
      <w:tr w:rsidR="003E2FF5" w:rsidTr="006255E7">
        <w:tc>
          <w:tcPr>
            <w:tcW w:w="7488" w:type="dxa"/>
          </w:tcPr>
          <w:p w:rsidR="003E2FF5" w:rsidRDefault="003E2FF5" w:rsidP="006255E7">
            <w:pPr>
              <w:tabs>
                <w:tab w:val="right" w:pos="7200"/>
              </w:tabs>
            </w:pPr>
            <w:r>
              <w:t>BORROWER/RECIPIENT</w:t>
            </w:r>
          </w:p>
        </w:tc>
        <w:tc>
          <w:tcPr>
            <w:tcW w:w="1368" w:type="dxa"/>
          </w:tcPr>
          <w:p w:rsidR="003E2FF5" w:rsidRPr="000143A3" w:rsidRDefault="00C46DD3" w:rsidP="006255E7">
            <w:pPr>
              <w:tabs>
                <w:tab w:val="decimal" w:pos="252"/>
              </w:tabs>
              <w:jc w:val="center"/>
            </w:pPr>
            <w:r w:rsidRPr="000143A3">
              <w:t>96</w:t>
            </w:r>
          </w:p>
        </w:tc>
      </w:tr>
      <w:tr w:rsidR="003E2FF5" w:rsidTr="006255E7">
        <w:tc>
          <w:tcPr>
            <w:tcW w:w="7488" w:type="dxa"/>
          </w:tcPr>
          <w:p w:rsidR="003E2FF5" w:rsidRDefault="003E2FF5" w:rsidP="006255E7">
            <w:pPr>
              <w:tabs>
                <w:tab w:val="right" w:pos="7200"/>
              </w:tabs>
            </w:pPr>
            <w:r>
              <w:t>INTERNATIONAL DEVELOPMENT ASSOCIATION</w:t>
            </w:r>
          </w:p>
        </w:tc>
        <w:tc>
          <w:tcPr>
            <w:tcW w:w="1368" w:type="dxa"/>
          </w:tcPr>
          <w:p w:rsidR="003E2FF5" w:rsidRPr="000143A3" w:rsidRDefault="00C46DD3" w:rsidP="006255E7">
            <w:pPr>
              <w:tabs>
                <w:tab w:val="decimal" w:pos="252"/>
              </w:tabs>
              <w:jc w:val="center"/>
            </w:pPr>
            <w:r w:rsidRPr="000143A3">
              <w:t>360</w:t>
            </w:r>
          </w:p>
        </w:tc>
      </w:tr>
      <w:tr w:rsidR="003E2FF5" w:rsidTr="006255E7">
        <w:tc>
          <w:tcPr>
            <w:tcW w:w="7488" w:type="dxa"/>
          </w:tcPr>
          <w:p w:rsidR="003E2FF5" w:rsidRDefault="003E2FF5" w:rsidP="006255E7">
            <w:pPr>
              <w:tabs>
                <w:tab w:val="right" w:pos="7200"/>
              </w:tabs>
            </w:pPr>
            <w:r>
              <w:tab/>
              <w:t>Total</w:t>
            </w:r>
          </w:p>
        </w:tc>
        <w:tc>
          <w:tcPr>
            <w:tcW w:w="1368" w:type="dxa"/>
          </w:tcPr>
          <w:p w:rsidR="003E2FF5" w:rsidRPr="000143A3" w:rsidRDefault="00C46DD3" w:rsidP="006255E7">
            <w:pPr>
              <w:tabs>
                <w:tab w:val="decimal" w:pos="252"/>
              </w:tabs>
              <w:jc w:val="center"/>
            </w:pPr>
            <w:r w:rsidRPr="000143A3">
              <w:t>456</w:t>
            </w:r>
          </w:p>
        </w:tc>
      </w:tr>
    </w:tbl>
    <w:p w:rsidR="003E2FF5" w:rsidRDefault="003E2FF5" w:rsidP="003E2FF5">
      <w:pPr>
        <w:rPr>
          <w:b/>
          <w:bCs/>
        </w:rPr>
      </w:pPr>
    </w:p>
    <w:p w:rsidR="003E2FF5" w:rsidRPr="00C46DD3" w:rsidRDefault="00C46DD3" w:rsidP="003E2FF5">
      <w:pPr>
        <w:numPr>
          <w:ilvl w:val="0"/>
          <w:numId w:val="14"/>
        </w:numPr>
        <w:ind w:left="360"/>
      </w:pPr>
      <w:r>
        <w:rPr>
          <w:b/>
        </w:rPr>
        <w:t>Implementation</w:t>
      </w:r>
    </w:p>
    <w:p w:rsidR="00C46DD3" w:rsidRDefault="00C46DD3" w:rsidP="00C46DD3">
      <w:pPr>
        <w:ind w:left="360"/>
        <w:rPr>
          <w:b/>
        </w:rPr>
      </w:pPr>
    </w:p>
    <w:p w:rsidR="00C46DD3" w:rsidRDefault="00DC0D1A" w:rsidP="00DC0D1A">
      <w:pPr>
        <w:ind w:firstLine="720"/>
        <w:rPr>
          <w:b/>
        </w:rPr>
      </w:pPr>
      <w:r>
        <w:t xml:space="preserve">Implementation arrangements </w:t>
      </w:r>
      <w:r w:rsidR="00213004">
        <w:t xml:space="preserve">for the Additional Financing </w:t>
      </w:r>
      <w:r>
        <w:t xml:space="preserve">would remain the same as existing ones for component B </w:t>
      </w:r>
      <w:r w:rsidR="00213004">
        <w:t xml:space="preserve">of the project - </w:t>
      </w:r>
      <w:r>
        <w:t>implemented by the state line departments with</w:t>
      </w:r>
      <w:r w:rsidR="00213004">
        <w:t xml:space="preserve"> management by the state PIU’s. </w:t>
      </w:r>
      <w:r>
        <w:t>The NDMA, on behalf of MHA, will have overall responsibility for implementation.</w:t>
      </w:r>
    </w:p>
    <w:p w:rsidR="00C46DD3" w:rsidRDefault="00C46DD3" w:rsidP="00C46DD3">
      <w:pPr>
        <w:ind w:left="360"/>
      </w:pPr>
    </w:p>
    <w:p w:rsidR="009C4AC9" w:rsidRPr="00DC0D1A" w:rsidRDefault="00DC0D1A" w:rsidP="003E2FF5">
      <w:pPr>
        <w:numPr>
          <w:ilvl w:val="0"/>
          <w:numId w:val="14"/>
        </w:numPr>
        <w:ind w:left="360"/>
        <w:rPr>
          <w:b/>
        </w:rPr>
      </w:pPr>
      <w:r w:rsidRPr="00DC0D1A">
        <w:rPr>
          <w:b/>
        </w:rPr>
        <w:t>Safeguard policies</w:t>
      </w:r>
    </w:p>
    <w:p w:rsidR="009C4AC9" w:rsidRDefault="009C4AC9"/>
    <w:p w:rsidR="009C4AC9" w:rsidRDefault="000C5F98" w:rsidP="00DC0D1A">
      <w:pPr>
        <w:ind w:firstLine="720"/>
        <w:rPr>
          <w:color w:val="000000"/>
          <w:szCs w:val="22"/>
        </w:rPr>
      </w:pPr>
      <w:r w:rsidRPr="000C5F98">
        <w:rPr>
          <w:color w:val="000000"/>
          <w:szCs w:val="22"/>
        </w:rPr>
        <w:t xml:space="preserve">Cyclone risk mitigation investments have the potential to have some environmental and social (involuntary settlement) impacts, particularly in the construction/repair/reconstruction of cyclone shelters, coastal embankments, drainage improvement measures, road and bridge works.  In order to ensure effective environmental management in a scenario where multiple sub-projects will be located in different parts of the coastal region across different states the approach of Environment and Social Management Framework (ESMF) preparation has been adopted in the project. The ESMF serves as a comprehensive and a systematic guide covering policies, procedures and provisions, which are being/will be integrated with the over-all project cycle to ensure that the social and environmental aspects are systematically identified and addressed in all the sub-projects funded under the project. It will also support and assist the compliance with applicable </w:t>
      </w:r>
      <w:proofErr w:type="spellStart"/>
      <w:r w:rsidRPr="000C5F98">
        <w:rPr>
          <w:color w:val="000000"/>
          <w:szCs w:val="22"/>
        </w:rPr>
        <w:t>GoI</w:t>
      </w:r>
      <w:proofErr w:type="spellEnd"/>
      <w:r w:rsidRPr="000C5F98">
        <w:rPr>
          <w:color w:val="000000"/>
          <w:szCs w:val="22"/>
        </w:rPr>
        <w:t xml:space="preserve"> and state laws/regulations apart from Bank policies. Each sub-project investment will undergo a social and environmental screening to identify the likely adverse/undesirable impacts. In case significant impacts are identified, detailed environment and social impact studies will be carried out and sub-project specific social and environmental management plans will be prepared.</w:t>
      </w:r>
    </w:p>
    <w:p w:rsidR="000C5F98" w:rsidRDefault="000C5F98"/>
    <w:tbl>
      <w:tblPr>
        <w:tblW w:w="0" w:type="auto"/>
        <w:jc w:val="center"/>
        <w:tblInd w:w="-1044" w:type="dxa"/>
        <w:tblBorders>
          <w:top w:val="single" w:sz="12" w:space="0" w:color="auto"/>
          <w:bottom w:val="single" w:sz="12" w:space="0" w:color="auto"/>
        </w:tblBorders>
        <w:tblLayout w:type="fixed"/>
        <w:tblLook w:val="0000" w:firstRow="0" w:lastRow="0" w:firstColumn="0" w:lastColumn="0" w:noHBand="0" w:noVBand="0"/>
      </w:tblPr>
      <w:tblGrid>
        <w:gridCol w:w="6066"/>
        <w:gridCol w:w="1593"/>
        <w:gridCol w:w="1593"/>
      </w:tblGrid>
      <w:tr w:rsidR="00111DBF" w:rsidTr="00111DBF">
        <w:trPr>
          <w:jc w:val="center"/>
        </w:trPr>
        <w:tc>
          <w:tcPr>
            <w:tcW w:w="6066" w:type="dxa"/>
            <w:tcBorders>
              <w:top w:val="single" w:sz="12" w:space="0" w:color="auto"/>
              <w:bottom w:val="single" w:sz="4" w:space="0" w:color="auto"/>
            </w:tcBorders>
          </w:tcPr>
          <w:p w:rsidR="00111DBF" w:rsidRPr="00111DBF" w:rsidRDefault="00111DBF" w:rsidP="00111DBF">
            <w:pPr>
              <w:rPr>
                <w:b/>
                <w:bCs/>
              </w:rPr>
            </w:pPr>
            <w:r>
              <w:rPr>
                <w:b/>
                <w:bCs/>
              </w:rPr>
              <w:t>Safeguard Policies Triggered by the Project</w:t>
            </w:r>
          </w:p>
        </w:tc>
        <w:tc>
          <w:tcPr>
            <w:tcW w:w="1593" w:type="dxa"/>
            <w:tcBorders>
              <w:top w:val="single" w:sz="12" w:space="0" w:color="auto"/>
              <w:bottom w:val="single" w:sz="4" w:space="0" w:color="auto"/>
            </w:tcBorders>
            <w:vAlign w:val="center"/>
          </w:tcPr>
          <w:p w:rsidR="00111DBF" w:rsidRPr="00111DBF" w:rsidRDefault="00111DBF" w:rsidP="00111DBF">
            <w:r>
              <w:t>Yes</w:t>
            </w:r>
          </w:p>
        </w:tc>
        <w:tc>
          <w:tcPr>
            <w:tcW w:w="1593" w:type="dxa"/>
            <w:tcBorders>
              <w:top w:val="single" w:sz="12" w:space="0" w:color="auto"/>
              <w:bottom w:val="single" w:sz="4" w:space="0" w:color="auto"/>
            </w:tcBorders>
            <w:vAlign w:val="center"/>
          </w:tcPr>
          <w:p w:rsidR="00111DBF" w:rsidRPr="00111DBF" w:rsidRDefault="00111DBF" w:rsidP="00111DBF">
            <w:r>
              <w:t>No</w:t>
            </w:r>
          </w:p>
        </w:tc>
      </w:tr>
      <w:tr w:rsidR="00111DBF" w:rsidTr="00111DBF">
        <w:trPr>
          <w:jc w:val="center"/>
        </w:trPr>
        <w:tc>
          <w:tcPr>
            <w:tcW w:w="6066" w:type="dxa"/>
            <w:tcBorders>
              <w:top w:val="single" w:sz="12" w:space="0" w:color="auto"/>
              <w:bottom w:val="single" w:sz="4" w:space="0" w:color="auto"/>
            </w:tcBorders>
          </w:tcPr>
          <w:p w:rsidR="00111DBF" w:rsidRPr="00111DBF" w:rsidRDefault="0033000B" w:rsidP="00111DBF">
            <w:pPr>
              <w:rPr>
                <w:b/>
                <w:bCs/>
              </w:rPr>
            </w:pPr>
            <w:hyperlink r:id="rId8" w:history="1">
              <w:r w:rsidR="00111DBF" w:rsidRPr="00111DBF">
                <w:rPr>
                  <w:rStyle w:val="Hyperlink"/>
                  <w:b/>
                  <w:bCs/>
                </w:rPr>
                <w:t>Environmental Assessment</w:t>
              </w:r>
            </w:hyperlink>
            <w:r w:rsidR="00111DBF" w:rsidRPr="00111DBF">
              <w:rPr>
                <w:b/>
                <w:bCs/>
              </w:rPr>
              <w:t xml:space="preserve"> (</w:t>
            </w:r>
            <w:hyperlink r:id="rId9" w:history="1">
              <w:r w:rsidR="00111DBF" w:rsidRPr="00111DBF">
                <w:rPr>
                  <w:rStyle w:val="Hyperlink"/>
                  <w:b/>
                  <w:bCs/>
                </w:rPr>
                <w:t>OP</w:t>
              </w:r>
            </w:hyperlink>
            <w:r w:rsidR="00111DBF" w:rsidRPr="00111DBF">
              <w:rPr>
                <w:b/>
                <w:bCs/>
              </w:rPr>
              <w:t>/</w:t>
            </w:r>
            <w:hyperlink r:id="rId10" w:history="1">
              <w:r w:rsidR="00111DBF" w:rsidRPr="00111DBF">
                <w:rPr>
                  <w:rStyle w:val="Hyperlink"/>
                  <w:b/>
                  <w:bCs/>
                </w:rPr>
                <w:t>BP</w:t>
              </w:r>
            </w:hyperlink>
            <w:r w:rsidR="00111DBF" w:rsidRPr="00111DBF">
              <w:rPr>
                <w:b/>
                <w:bCs/>
              </w:rPr>
              <w:t xml:space="preserve"> 4.01)</w:t>
            </w:r>
          </w:p>
        </w:tc>
        <w:tc>
          <w:tcPr>
            <w:tcW w:w="1593" w:type="dxa"/>
            <w:tcBorders>
              <w:top w:val="single" w:sz="12" w:space="0" w:color="auto"/>
              <w:bottom w:val="single" w:sz="4" w:space="0" w:color="auto"/>
            </w:tcBorders>
            <w:vAlign w:val="center"/>
          </w:tcPr>
          <w:p w:rsidR="00111DBF" w:rsidRDefault="00111DBF" w:rsidP="00111DBF">
            <w:r>
              <w:t>[X]</w:t>
            </w:r>
          </w:p>
        </w:tc>
        <w:tc>
          <w:tcPr>
            <w:tcW w:w="1593" w:type="dxa"/>
            <w:tcBorders>
              <w:top w:val="single" w:sz="12" w:space="0" w:color="auto"/>
              <w:bottom w:val="single" w:sz="4" w:space="0" w:color="auto"/>
            </w:tcBorders>
            <w:vAlign w:val="center"/>
          </w:tcPr>
          <w:p w:rsidR="00111DBF" w:rsidRDefault="00111DBF" w:rsidP="00111DBF">
            <w:r>
              <w:t>[ ]</w:t>
            </w:r>
          </w:p>
        </w:tc>
      </w:tr>
      <w:tr w:rsidR="00111DBF" w:rsidTr="00111DBF">
        <w:trPr>
          <w:jc w:val="center"/>
        </w:trPr>
        <w:tc>
          <w:tcPr>
            <w:tcW w:w="6066" w:type="dxa"/>
            <w:tcBorders>
              <w:top w:val="single" w:sz="12" w:space="0" w:color="auto"/>
              <w:bottom w:val="single" w:sz="4" w:space="0" w:color="auto"/>
            </w:tcBorders>
          </w:tcPr>
          <w:p w:rsidR="00111DBF" w:rsidRPr="00111DBF" w:rsidRDefault="00111DBF" w:rsidP="00111DBF">
            <w:pPr>
              <w:rPr>
                <w:b/>
                <w:bCs/>
              </w:rPr>
            </w:pPr>
            <w:r w:rsidRPr="00111DBF">
              <w:rPr>
                <w:b/>
                <w:bCs/>
              </w:rPr>
              <w:t>Natural Habitats (</w:t>
            </w:r>
            <w:hyperlink r:id="rId11" w:history="1">
              <w:r w:rsidRPr="00111DBF">
                <w:rPr>
                  <w:rStyle w:val="Hyperlink"/>
                  <w:b/>
                  <w:bCs/>
                </w:rPr>
                <w:t>OP</w:t>
              </w:r>
            </w:hyperlink>
            <w:r w:rsidRPr="00111DBF">
              <w:rPr>
                <w:b/>
                <w:bCs/>
              </w:rPr>
              <w:t>/</w:t>
            </w:r>
            <w:hyperlink r:id="rId12" w:history="1">
              <w:r w:rsidRPr="00111DBF">
                <w:rPr>
                  <w:rStyle w:val="Hyperlink"/>
                  <w:b/>
                  <w:bCs/>
                </w:rPr>
                <w:t>BP</w:t>
              </w:r>
            </w:hyperlink>
            <w:r w:rsidRPr="00111DBF">
              <w:rPr>
                <w:b/>
                <w:bCs/>
              </w:rPr>
              <w:t xml:space="preserve"> 4.04)</w:t>
            </w:r>
          </w:p>
        </w:tc>
        <w:tc>
          <w:tcPr>
            <w:tcW w:w="1593" w:type="dxa"/>
            <w:tcBorders>
              <w:top w:val="single" w:sz="12" w:space="0" w:color="auto"/>
              <w:bottom w:val="single" w:sz="4" w:space="0" w:color="auto"/>
            </w:tcBorders>
            <w:vAlign w:val="center"/>
          </w:tcPr>
          <w:p w:rsidR="00111DBF" w:rsidRDefault="00111DBF" w:rsidP="00111DBF">
            <w:r>
              <w:t>[ ]</w:t>
            </w:r>
          </w:p>
        </w:tc>
        <w:tc>
          <w:tcPr>
            <w:tcW w:w="1593" w:type="dxa"/>
            <w:tcBorders>
              <w:top w:val="single" w:sz="12" w:space="0" w:color="auto"/>
              <w:bottom w:val="single" w:sz="4" w:space="0" w:color="auto"/>
            </w:tcBorders>
            <w:vAlign w:val="center"/>
          </w:tcPr>
          <w:p w:rsidR="00111DBF" w:rsidRDefault="00111DBF" w:rsidP="00111DBF">
            <w:r>
              <w:t>[X]</w:t>
            </w:r>
          </w:p>
        </w:tc>
      </w:tr>
      <w:tr w:rsidR="00111DBF" w:rsidTr="00111DBF">
        <w:trPr>
          <w:jc w:val="center"/>
        </w:trPr>
        <w:tc>
          <w:tcPr>
            <w:tcW w:w="6066" w:type="dxa"/>
            <w:tcBorders>
              <w:top w:val="single" w:sz="12" w:space="0" w:color="auto"/>
              <w:bottom w:val="single" w:sz="4" w:space="0" w:color="auto"/>
            </w:tcBorders>
          </w:tcPr>
          <w:p w:rsidR="00111DBF" w:rsidRPr="00111DBF" w:rsidRDefault="00111DBF" w:rsidP="00111DBF">
            <w:pPr>
              <w:rPr>
                <w:b/>
                <w:bCs/>
              </w:rPr>
            </w:pPr>
            <w:smartTag w:uri="urn:schemas-microsoft-com:office:smarttags" w:element="place">
              <w:r w:rsidRPr="00111DBF">
                <w:rPr>
                  <w:b/>
                  <w:bCs/>
                </w:rPr>
                <w:t>Pest</w:t>
              </w:r>
            </w:smartTag>
            <w:r w:rsidRPr="00111DBF">
              <w:rPr>
                <w:b/>
                <w:bCs/>
              </w:rPr>
              <w:t xml:space="preserve"> Management (</w:t>
            </w:r>
            <w:hyperlink r:id="rId13" w:history="1">
              <w:r w:rsidRPr="00111DBF">
                <w:rPr>
                  <w:rStyle w:val="Hyperlink"/>
                  <w:b/>
                  <w:bCs/>
                </w:rPr>
                <w:t>OP 4.09</w:t>
              </w:r>
            </w:hyperlink>
            <w:r w:rsidRPr="00111DBF">
              <w:rPr>
                <w:b/>
                <w:bCs/>
              </w:rPr>
              <w:t>)</w:t>
            </w:r>
          </w:p>
        </w:tc>
        <w:tc>
          <w:tcPr>
            <w:tcW w:w="1593" w:type="dxa"/>
            <w:tcBorders>
              <w:top w:val="single" w:sz="12" w:space="0" w:color="auto"/>
              <w:bottom w:val="single" w:sz="4" w:space="0" w:color="auto"/>
            </w:tcBorders>
            <w:vAlign w:val="center"/>
          </w:tcPr>
          <w:p w:rsidR="00111DBF" w:rsidRDefault="00111DBF" w:rsidP="00111DBF">
            <w:r>
              <w:t>[ ]</w:t>
            </w:r>
          </w:p>
        </w:tc>
        <w:tc>
          <w:tcPr>
            <w:tcW w:w="1593" w:type="dxa"/>
            <w:tcBorders>
              <w:top w:val="single" w:sz="12" w:space="0" w:color="auto"/>
              <w:bottom w:val="single" w:sz="4" w:space="0" w:color="auto"/>
            </w:tcBorders>
            <w:vAlign w:val="center"/>
          </w:tcPr>
          <w:p w:rsidR="00111DBF" w:rsidRDefault="00111DBF" w:rsidP="00111DBF">
            <w:r>
              <w:t>[X]</w:t>
            </w:r>
          </w:p>
        </w:tc>
      </w:tr>
      <w:tr w:rsidR="00111DBF" w:rsidTr="00111DBF">
        <w:trPr>
          <w:jc w:val="center"/>
        </w:trPr>
        <w:tc>
          <w:tcPr>
            <w:tcW w:w="6066" w:type="dxa"/>
            <w:tcBorders>
              <w:top w:val="single" w:sz="12" w:space="0" w:color="auto"/>
              <w:bottom w:val="single" w:sz="4" w:space="0" w:color="auto"/>
            </w:tcBorders>
          </w:tcPr>
          <w:p w:rsidR="00111DBF" w:rsidRPr="00111DBF" w:rsidRDefault="00111DBF" w:rsidP="00111DBF">
            <w:pPr>
              <w:rPr>
                <w:b/>
                <w:bCs/>
              </w:rPr>
            </w:pPr>
            <w:bookmarkStart w:id="15" w:name="OPBP411" w:colFirst="1" w:colLast="1"/>
            <w:bookmarkStart w:id="16" w:name="OPBP411No" w:colFirst="2" w:colLast="2"/>
            <w:r w:rsidRPr="00111DBF">
              <w:rPr>
                <w:b/>
                <w:bCs/>
              </w:rPr>
              <w:t>Physical Cultural Resources (</w:t>
            </w:r>
            <w:hyperlink r:id="rId14" w:history="1">
              <w:r w:rsidRPr="00111DBF">
                <w:rPr>
                  <w:rStyle w:val="Hyperlink"/>
                  <w:b/>
                  <w:bCs/>
                </w:rPr>
                <w:t>OP/BP 4.11</w:t>
              </w:r>
            </w:hyperlink>
            <w:r w:rsidRPr="00111DBF">
              <w:rPr>
                <w:b/>
                <w:bCs/>
              </w:rPr>
              <w:t>)</w:t>
            </w:r>
          </w:p>
        </w:tc>
        <w:tc>
          <w:tcPr>
            <w:tcW w:w="1593" w:type="dxa"/>
            <w:tcBorders>
              <w:top w:val="single" w:sz="12" w:space="0" w:color="auto"/>
              <w:bottom w:val="single" w:sz="4" w:space="0" w:color="auto"/>
            </w:tcBorders>
            <w:vAlign w:val="center"/>
          </w:tcPr>
          <w:p w:rsidR="00111DBF" w:rsidRDefault="00111DBF" w:rsidP="00111DBF">
            <w:r>
              <w:t>[X]</w:t>
            </w:r>
          </w:p>
        </w:tc>
        <w:tc>
          <w:tcPr>
            <w:tcW w:w="1593" w:type="dxa"/>
            <w:tcBorders>
              <w:top w:val="single" w:sz="12" w:space="0" w:color="auto"/>
              <w:bottom w:val="single" w:sz="4" w:space="0" w:color="auto"/>
            </w:tcBorders>
            <w:vAlign w:val="center"/>
          </w:tcPr>
          <w:p w:rsidR="00111DBF" w:rsidRDefault="00111DBF" w:rsidP="00111DBF">
            <w:r>
              <w:t>[   ]</w:t>
            </w:r>
          </w:p>
        </w:tc>
      </w:tr>
      <w:bookmarkEnd w:id="15"/>
      <w:bookmarkEnd w:id="16"/>
      <w:tr w:rsidR="00111DBF" w:rsidTr="00111DBF">
        <w:trPr>
          <w:jc w:val="center"/>
        </w:trPr>
        <w:tc>
          <w:tcPr>
            <w:tcW w:w="6066" w:type="dxa"/>
            <w:tcBorders>
              <w:top w:val="single" w:sz="12" w:space="0" w:color="auto"/>
              <w:bottom w:val="single" w:sz="4" w:space="0" w:color="auto"/>
            </w:tcBorders>
          </w:tcPr>
          <w:p w:rsidR="00111DBF" w:rsidRPr="00111DBF" w:rsidRDefault="00111DBF" w:rsidP="00111DBF">
            <w:pPr>
              <w:rPr>
                <w:b/>
                <w:bCs/>
              </w:rPr>
            </w:pPr>
            <w:r w:rsidRPr="00111DBF">
              <w:rPr>
                <w:b/>
                <w:bCs/>
              </w:rPr>
              <w:t>Involuntary Resettlement (</w:t>
            </w:r>
            <w:hyperlink r:id="rId15" w:history="1">
              <w:r w:rsidRPr="00111DBF">
                <w:rPr>
                  <w:rStyle w:val="Hyperlink"/>
                  <w:b/>
                  <w:bCs/>
                </w:rPr>
                <w:t>OP</w:t>
              </w:r>
            </w:hyperlink>
            <w:r w:rsidRPr="00111DBF">
              <w:rPr>
                <w:b/>
                <w:bCs/>
              </w:rPr>
              <w:t>/</w:t>
            </w:r>
            <w:hyperlink r:id="rId16" w:history="1">
              <w:r w:rsidRPr="00111DBF">
                <w:rPr>
                  <w:rStyle w:val="Hyperlink"/>
                  <w:b/>
                  <w:bCs/>
                </w:rPr>
                <w:t>BP</w:t>
              </w:r>
            </w:hyperlink>
            <w:r w:rsidRPr="00111DBF">
              <w:rPr>
                <w:b/>
                <w:bCs/>
              </w:rPr>
              <w:t xml:space="preserve"> 4.12)</w:t>
            </w:r>
          </w:p>
        </w:tc>
        <w:tc>
          <w:tcPr>
            <w:tcW w:w="1593" w:type="dxa"/>
            <w:tcBorders>
              <w:top w:val="single" w:sz="12" w:space="0" w:color="auto"/>
              <w:bottom w:val="single" w:sz="4" w:space="0" w:color="auto"/>
            </w:tcBorders>
            <w:vAlign w:val="center"/>
          </w:tcPr>
          <w:p w:rsidR="00111DBF" w:rsidRDefault="00111DBF" w:rsidP="00111DBF">
            <w:r>
              <w:t>[X]</w:t>
            </w:r>
          </w:p>
        </w:tc>
        <w:tc>
          <w:tcPr>
            <w:tcW w:w="1593" w:type="dxa"/>
            <w:tcBorders>
              <w:top w:val="single" w:sz="12" w:space="0" w:color="auto"/>
              <w:bottom w:val="single" w:sz="4" w:space="0" w:color="auto"/>
            </w:tcBorders>
            <w:vAlign w:val="center"/>
          </w:tcPr>
          <w:p w:rsidR="00111DBF" w:rsidRDefault="00111DBF" w:rsidP="00111DBF">
            <w:r>
              <w:t>[   ]</w:t>
            </w:r>
          </w:p>
        </w:tc>
      </w:tr>
      <w:tr w:rsidR="00111DBF" w:rsidTr="00111DBF">
        <w:trPr>
          <w:jc w:val="center"/>
        </w:trPr>
        <w:tc>
          <w:tcPr>
            <w:tcW w:w="6066" w:type="dxa"/>
            <w:tcBorders>
              <w:top w:val="single" w:sz="12" w:space="0" w:color="auto"/>
              <w:bottom w:val="single" w:sz="4" w:space="0" w:color="auto"/>
            </w:tcBorders>
          </w:tcPr>
          <w:p w:rsidR="00111DBF" w:rsidRPr="00111DBF" w:rsidRDefault="00111DBF" w:rsidP="00111DBF">
            <w:pPr>
              <w:rPr>
                <w:b/>
                <w:bCs/>
              </w:rPr>
            </w:pPr>
            <w:r w:rsidRPr="00111DBF">
              <w:rPr>
                <w:b/>
                <w:bCs/>
              </w:rPr>
              <w:t>Indigenous Peoples (</w:t>
            </w:r>
            <w:hyperlink r:id="rId17" w:history="1">
              <w:r w:rsidRPr="00111DBF">
                <w:rPr>
                  <w:rStyle w:val="Hyperlink"/>
                  <w:b/>
                  <w:bCs/>
                </w:rPr>
                <w:t>OP</w:t>
              </w:r>
            </w:hyperlink>
            <w:r w:rsidRPr="00111DBF">
              <w:rPr>
                <w:b/>
                <w:bCs/>
              </w:rPr>
              <w:t>/</w:t>
            </w:r>
            <w:hyperlink r:id="rId18" w:history="1">
              <w:r w:rsidRPr="00111DBF">
                <w:rPr>
                  <w:rStyle w:val="Hyperlink"/>
                  <w:b/>
                  <w:bCs/>
                </w:rPr>
                <w:t>BP</w:t>
              </w:r>
            </w:hyperlink>
            <w:r w:rsidRPr="00111DBF">
              <w:rPr>
                <w:b/>
                <w:bCs/>
              </w:rPr>
              <w:t xml:space="preserve"> 4.10)</w:t>
            </w:r>
          </w:p>
        </w:tc>
        <w:tc>
          <w:tcPr>
            <w:tcW w:w="1593" w:type="dxa"/>
            <w:tcBorders>
              <w:top w:val="single" w:sz="12" w:space="0" w:color="auto"/>
              <w:bottom w:val="single" w:sz="4" w:space="0" w:color="auto"/>
            </w:tcBorders>
            <w:vAlign w:val="center"/>
          </w:tcPr>
          <w:p w:rsidR="00111DBF" w:rsidRDefault="00111DBF" w:rsidP="00111DBF">
            <w:r>
              <w:t>[X]</w:t>
            </w:r>
          </w:p>
        </w:tc>
        <w:tc>
          <w:tcPr>
            <w:tcW w:w="1593" w:type="dxa"/>
            <w:tcBorders>
              <w:top w:val="single" w:sz="12" w:space="0" w:color="auto"/>
              <w:bottom w:val="single" w:sz="4" w:space="0" w:color="auto"/>
            </w:tcBorders>
            <w:vAlign w:val="center"/>
          </w:tcPr>
          <w:p w:rsidR="00111DBF" w:rsidRDefault="00111DBF" w:rsidP="00111DBF">
            <w:r>
              <w:t>[   ]</w:t>
            </w:r>
          </w:p>
        </w:tc>
      </w:tr>
      <w:tr w:rsidR="00111DBF" w:rsidTr="00111DBF">
        <w:trPr>
          <w:jc w:val="center"/>
        </w:trPr>
        <w:tc>
          <w:tcPr>
            <w:tcW w:w="6066" w:type="dxa"/>
            <w:tcBorders>
              <w:top w:val="single" w:sz="12" w:space="0" w:color="auto"/>
              <w:bottom w:val="single" w:sz="4" w:space="0" w:color="auto"/>
            </w:tcBorders>
          </w:tcPr>
          <w:p w:rsidR="00111DBF" w:rsidRPr="00111DBF" w:rsidRDefault="00111DBF" w:rsidP="00111DBF">
            <w:pPr>
              <w:rPr>
                <w:b/>
                <w:bCs/>
              </w:rPr>
            </w:pPr>
            <w:r w:rsidRPr="00111DBF">
              <w:rPr>
                <w:b/>
                <w:bCs/>
              </w:rPr>
              <w:t>Forests (</w:t>
            </w:r>
            <w:hyperlink r:id="rId19" w:history="1">
              <w:r w:rsidRPr="00111DBF">
                <w:rPr>
                  <w:rStyle w:val="Hyperlink"/>
                  <w:b/>
                  <w:bCs/>
                </w:rPr>
                <w:t>OP</w:t>
              </w:r>
            </w:hyperlink>
            <w:r w:rsidRPr="00111DBF">
              <w:rPr>
                <w:b/>
                <w:bCs/>
              </w:rPr>
              <w:t>/</w:t>
            </w:r>
            <w:hyperlink r:id="rId20" w:history="1">
              <w:r w:rsidRPr="00111DBF">
                <w:rPr>
                  <w:rStyle w:val="Hyperlink"/>
                  <w:b/>
                  <w:bCs/>
                </w:rPr>
                <w:t>BP</w:t>
              </w:r>
            </w:hyperlink>
            <w:r w:rsidRPr="00111DBF">
              <w:rPr>
                <w:b/>
                <w:bCs/>
              </w:rPr>
              <w:t xml:space="preserve"> 4.36)</w:t>
            </w:r>
          </w:p>
        </w:tc>
        <w:tc>
          <w:tcPr>
            <w:tcW w:w="1593" w:type="dxa"/>
            <w:tcBorders>
              <w:top w:val="single" w:sz="12" w:space="0" w:color="auto"/>
              <w:bottom w:val="single" w:sz="4" w:space="0" w:color="auto"/>
            </w:tcBorders>
            <w:vAlign w:val="center"/>
          </w:tcPr>
          <w:p w:rsidR="00111DBF" w:rsidRDefault="00111DBF" w:rsidP="00111DBF">
            <w:r>
              <w:t>[X]</w:t>
            </w:r>
          </w:p>
        </w:tc>
        <w:tc>
          <w:tcPr>
            <w:tcW w:w="1593" w:type="dxa"/>
            <w:tcBorders>
              <w:top w:val="single" w:sz="12" w:space="0" w:color="auto"/>
              <w:bottom w:val="single" w:sz="4" w:space="0" w:color="auto"/>
            </w:tcBorders>
            <w:vAlign w:val="center"/>
          </w:tcPr>
          <w:p w:rsidR="00111DBF" w:rsidRDefault="00111DBF" w:rsidP="00111DBF">
            <w:r>
              <w:t>[   ]</w:t>
            </w:r>
          </w:p>
        </w:tc>
      </w:tr>
      <w:tr w:rsidR="00111DBF" w:rsidTr="00111DBF">
        <w:trPr>
          <w:jc w:val="center"/>
        </w:trPr>
        <w:tc>
          <w:tcPr>
            <w:tcW w:w="6066" w:type="dxa"/>
            <w:tcBorders>
              <w:top w:val="single" w:sz="12" w:space="0" w:color="auto"/>
              <w:bottom w:val="single" w:sz="4" w:space="0" w:color="auto"/>
            </w:tcBorders>
          </w:tcPr>
          <w:p w:rsidR="00111DBF" w:rsidRPr="00111DBF" w:rsidRDefault="00111DBF" w:rsidP="00111DBF">
            <w:pPr>
              <w:rPr>
                <w:b/>
                <w:bCs/>
              </w:rPr>
            </w:pPr>
            <w:r w:rsidRPr="00111DBF">
              <w:rPr>
                <w:b/>
                <w:bCs/>
              </w:rPr>
              <w:t>Safety of Dams (</w:t>
            </w:r>
            <w:hyperlink r:id="rId21" w:history="1">
              <w:r w:rsidRPr="00111DBF">
                <w:rPr>
                  <w:rStyle w:val="Hyperlink"/>
                  <w:b/>
                  <w:bCs/>
                </w:rPr>
                <w:t>OP</w:t>
              </w:r>
            </w:hyperlink>
            <w:r w:rsidRPr="00111DBF">
              <w:rPr>
                <w:b/>
                <w:bCs/>
              </w:rPr>
              <w:t>/</w:t>
            </w:r>
            <w:hyperlink r:id="rId22" w:history="1">
              <w:r w:rsidRPr="00111DBF">
                <w:rPr>
                  <w:rStyle w:val="Hyperlink"/>
                  <w:b/>
                  <w:bCs/>
                </w:rPr>
                <w:t>BP</w:t>
              </w:r>
            </w:hyperlink>
            <w:r w:rsidRPr="00111DBF">
              <w:rPr>
                <w:b/>
                <w:bCs/>
              </w:rPr>
              <w:t xml:space="preserve"> 4.37)</w:t>
            </w:r>
          </w:p>
        </w:tc>
        <w:tc>
          <w:tcPr>
            <w:tcW w:w="1593" w:type="dxa"/>
            <w:tcBorders>
              <w:top w:val="single" w:sz="12" w:space="0" w:color="auto"/>
              <w:bottom w:val="single" w:sz="4" w:space="0" w:color="auto"/>
            </w:tcBorders>
            <w:vAlign w:val="center"/>
          </w:tcPr>
          <w:p w:rsidR="00111DBF" w:rsidRDefault="00111DBF" w:rsidP="00111DBF">
            <w:r>
              <w:t>[ ]</w:t>
            </w:r>
          </w:p>
        </w:tc>
        <w:tc>
          <w:tcPr>
            <w:tcW w:w="1593" w:type="dxa"/>
            <w:tcBorders>
              <w:top w:val="single" w:sz="12" w:space="0" w:color="auto"/>
              <w:bottom w:val="single" w:sz="4" w:space="0" w:color="auto"/>
            </w:tcBorders>
            <w:vAlign w:val="center"/>
          </w:tcPr>
          <w:p w:rsidR="00111DBF" w:rsidRDefault="00111DBF" w:rsidP="00111DBF">
            <w:r>
              <w:t>[X]</w:t>
            </w:r>
          </w:p>
        </w:tc>
      </w:tr>
      <w:tr w:rsidR="00111DBF" w:rsidTr="00111DBF">
        <w:trPr>
          <w:jc w:val="center"/>
        </w:trPr>
        <w:tc>
          <w:tcPr>
            <w:tcW w:w="6066" w:type="dxa"/>
            <w:tcBorders>
              <w:top w:val="single" w:sz="12" w:space="0" w:color="auto"/>
              <w:bottom w:val="single" w:sz="4" w:space="0" w:color="auto"/>
            </w:tcBorders>
          </w:tcPr>
          <w:p w:rsidR="00111DBF" w:rsidRPr="00111DBF" w:rsidRDefault="00111DBF" w:rsidP="00111DBF">
            <w:pPr>
              <w:rPr>
                <w:b/>
                <w:bCs/>
              </w:rPr>
            </w:pPr>
            <w:r w:rsidRPr="00111DBF">
              <w:rPr>
                <w:b/>
                <w:bCs/>
              </w:rPr>
              <w:t>Projects in Disputed Areas (</w:t>
            </w:r>
            <w:hyperlink r:id="rId23" w:history="1">
              <w:r w:rsidRPr="00111DBF">
                <w:rPr>
                  <w:rStyle w:val="Hyperlink"/>
                  <w:b/>
                  <w:bCs/>
                </w:rPr>
                <w:t>OP</w:t>
              </w:r>
            </w:hyperlink>
            <w:r w:rsidRPr="00111DBF">
              <w:rPr>
                <w:b/>
                <w:bCs/>
              </w:rPr>
              <w:t>/</w:t>
            </w:r>
            <w:hyperlink r:id="rId24" w:history="1">
              <w:r w:rsidRPr="00111DBF">
                <w:rPr>
                  <w:rStyle w:val="Hyperlink"/>
                  <w:b/>
                  <w:bCs/>
                </w:rPr>
                <w:t>BP</w:t>
              </w:r>
            </w:hyperlink>
            <w:r w:rsidRPr="00111DBF">
              <w:rPr>
                <w:b/>
                <w:bCs/>
              </w:rPr>
              <w:t xml:space="preserve"> 7.60)</w:t>
            </w:r>
            <w:r w:rsidRPr="00111DBF">
              <w:rPr>
                <w:rStyle w:val="FootnoteReference"/>
                <w:b/>
                <w:bCs/>
                <w:vertAlign w:val="baseline"/>
              </w:rPr>
              <w:footnoteReference w:customMarkFollows="1" w:id="1"/>
              <w:t>*</w:t>
            </w:r>
          </w:p>
        </w:tc>
        <w:tc>
          <w:tcPr>
            <w:tcW w:w="1593" w:type="dxa"/>
            <w:tcBorders>
              <w:top w:val="single" w:sz="12" w:space="0" w:color="auto"/>
              <w:bottom w:val="single" w:sz="4" w:space="0" w:color="auto"/>
            </w:tcBorders>
            <w:vAlign w:val="center"/>
          </w:tcPr>
          <w:p w:rsidR="00111DBF" w:rsidRDefault="00111DBF" w:rsidP="00111DBF">
            <w:r>
              <w:t>[ ]</w:t>
            </w:r>
          </w:p>
        </w:tc>
        <w:tc>
          <w:tcPr>
            <w:tcW w:w="1593" w:type="dxa"/>
            <w:tcBorders>
              <w:top w:val="single" w:sz="12" w:space="0" w:color="auto"/>
              <w:bottom w:val="single" w:sz="4" w:space="0" w:color="auto"/>
            </w:tcBorders>
            <w:vAlign w:val="center"/>
          </w:tcPr>
          <w:p w:rsidR="00111DBF" w:rsidRDefault="00111DBF" w:rsidP="00111DBF">
            <w:r>
              <w:t>[X]</w:t>
            </w:r>
          </w:p>
        </w:tc>
      </w:tr>
      <w:tr w:rsidR="00111DBF" w:rsidTr="00111DBF">
        <w:trPr>
          <w:jc w:val="center"/>
        </w:trPr>
        <w:tc>
          <w:tcPr>
            <w:tcW w:w="6066" w:type="dxa"/>
            <w:tcBorders>
              <w:top w:val="single" w:sz="12" w:space="0" w:color="auto"/>
              <w:bottom w:val="single" w:sz="4" w:space="0" w:color="auto"/>
            </w:tcBorders>
          </w:tcPr>
          <w:p w:rsidR="00111DBF" w:rsidRPr="00111DBF" w:rsidRDefault="00111DBF" w:rsidP="00111DBF">
            <w:pPr>
              <w:rPr>
                <w:b/>
                <w:bCs/>
              </w:rPr>
            </w:pPr>
            <w:r w:rsidRPr="00111DBF">
              <w:rPr>
                <w:b/>
                <w:bCs/>
              </w:rPr>
              <w:t>Projects on International Waterways (</w:t>
            </w:r>
            <w:hyperlink r:id="rId25" w:history="1">
              <w:r w:rsidRPr="00111DBF">
                <w:rPr>
                  <w:rStyle w:val="Hyperlink"/>
                  <w:b/>
                  <w:bCs/>
                </w:rPr>
                <w:t>OP</w:t>
              </w:r>
            </w:hyperlink>
            <w:r w:rsidRPr="00111DBF">
              <w:rPr>
                <w:b/>
                <w:bCs/>
              </w:rPr>
              <w:t>/</w:t>
            </w:r>
            <w:hyperlink r:id="rId26" w:history="1">
              <w:r w:rsidRPr="00111DBF">
                <w:rPr>
                  <w:rStyle w:val="Hyperlink"/>
                  <w:b/>
                  <w:bCs/>
                </w:rPr>
                <w:t>BP</w:t>
              </w:r>
            </w:hyperlink>
            <w:r w:rsidRPr="00111DBF">
              <w:rPr>
                <w:b/>
                <w:bCs/>
              </w:rPr>
              <w:t xml:space="preserve"> 7.50)</w:t>
            </w:r>
          </w:p>
        </w:tc>
        <w:tc>
          <w:tcPr>
            <w:tcW w:w="1593" w:type="dxa"/>
            <w:tcBorders>
              <w:top w:val="single" w:sz="12" w:space="0" w:color="auto"/>
              <w:bottom w:val="single" w:sz="4" w:space="0" w:color="auto"/>
            </w:tcBorders>
            <w:vAlign w:val="center"/>
          </w:tcPr>
          <w:p w:rsidR="00111DBF" w:rsidRDefault="00111DBF" w:rsidP="00111DBF">
            <w:r>
              <w:t>[ ]</w:t>
            </w:r>
          </w:p>
        </w:tc>
        <w:tc>
          <w:tcPr>
            <w:tcW w:w="1593" w:type="dxa"/>
            <w:tcBorders>
              <w:top w:val="single" w:sz="12" w:space="0" w:color="auto"/>
              <w:bottom w:val="single" w:sz="4" w:space="0" w:color="auto"/>
            </w:tcBorders>
            <w:vAlign w:val="center"/>
          </w:tcPr>
          <w:p w:rsidR="00111DBF" w:rsidRDefault="00111DBF" w:rsidP="00111DBF">
            <w:r>
              <w:t>[X]</w:t>
            </w:r>
          </w:p>
        </w:tc>
      </w:tr>
    </w:tbl>
    <w:p w:rsidR="009C4AC9" w:rsidRDefault="009C4AC9"/>
    <w:p w:rsidR="009C4AC9" w:rsidRPr="00DC0D1A" w:rsidRDefault="009C4AC9" w:rsidP="003E2FF5">
      <w:pPr>
        <w:numPr>
          <w:ilvl w:val="0"/>
          <w:numId w:val="14"/>
        </w:numPr>
        <w:ind w:left="360"/>
        <w:rPr>
          <w:b/>
        </w:rPr>
      </w:pPr>
      <w:r w:rsidRPr="00DC0D1A">
        <w:rPr>
          <w:b/>
        </w:rPr>
        <w:t xml:space="preserve">Contact point </w:t>
      </w:r>
    </w:p>
    <w:p w:rsidR="000C5F98" w:rsidRDefault="000C5F98" w:rsidP="000C5F98">
      <w:pPr>
        <w:ind w:left="360"/>
        <w:rPr>
          <w:highlight w:val="cyan"/>
        </w:rPr>
      </w:pPr>
    </w:p>
    <w:p w:rsidR="000C5F98" w:rsidRPr="000C5F98" w:rsidRDefault="000C5F98" w:rsidP="000C5F98">
      <w:r w:rsidRPr="000C5F98">
        <w:t>Responsible Agency</w:t>
      </w:r>
    </w:p>
    <w:p w:rsidR="000C5F98" w:rsidRDefault="000C5F98" w:rsidP="000C5F98">
      <w:r>
        <w:t xml:space="preserve">Mr. </w:t>
      </w:r>
      <w:r w:rsidR="00E3235D">
        <w:t>S</w:t>
      </w:r>
      <w:r w:rsidR="00D76955">
        <w:t>.</w:t>
      </w:r>
      <w:r w:rsidR="00E3235D">
        <w:t xml:space="preserve"> P</w:t>
      </w:r>
      <w:r w:rsidR="00D76955">
        <w:t>.</w:t>
      </w:r>
      <w:r w:rsidR="00E3235D">
        <w:t xml:space="preserve"> </w:t>
      </w:r>
      <w:proofErr w:type="spellStart"/>
      <w:r w:rsidR="00E3235D">
        <w:t>Vasudeva</w:t>
      </w:r>
      <w:proofErr w:type="spellEnd"/>
      <w:r>
        <w:t xml:space="preserve">, </w:t>
      </w:r>
    </w:p>
    <w:p w:rsidR="000C5F98" w:rsidRDefault="000C5F98" w:rsidP="000C5F98">
      <w:r>
        <w:t>Project Director,</w:t>
      </w:r>
    </w:p>
    <w:p w:rsidR="000C5F98" w:rsidRDefault="000C5F98" w:rsidP="000C5F98">
      <w:r>
        <w:t>National Disaster Management Authority</w:t>
      </w:r>
    </w:p>
    <w:p w:rsidR="000C5F98" w:rsidRDefault="000C5F98" w:rsidP="000C5F98">
      <w:r>
        <w:t xml:space="preserve">NDMA </w:t>
      </w:r>
      <w:proofErr w:type="spellStart"/>
      <w:r>
        <w:t>Bhawan</w:t>
      </w:r>
      <w:proofErr w:type="spellEnd"/>
      <w:r>
        <w:t xml:space="preserve">, A-1, </w:t>
      </w:r>
      <w:proofErr w:type="spellStart"/>
      <w:r>
        <w:t>Safdarjung</w:t>
      </w:r>
      <w:proofErr w:type="spellEnd"/>
      <w:r>
        <w:t xml:space="preserve"> Enclave, New Delhi, India - 110037</w:t>
      </w:r>
    </w:p>
    <w:p w:rsidR="000C5F98" w:rsidRDefault="000C5F98" w:rsidP="000C5F98">
      <w:pPr>
        <w:rPr>
          <w:highlight w:val="cyan"/>
        </w:rPr>
      </w:pPr>
      <w:r>
        <w:t>Tel: 26701711</w:t>
      </w:r>
      <w:r>
        <w:tab/>
        <w:t>Fax: 26701706</w:t>
      </w:r>
    </w:p>
    <w:p w:rsidR="000C5F98" w:rsidRDefault="000C5F98" w:rsidP="000C5F98">
      <w:pPr>
        <w:ind w:left="360"/>
        <w:rPr>
          <w:highlight w:val="cyan"/>
        </w:rPr>
      </w:pPr>
    </w:p>
    <w:p w:rsidR="000C5F98" w:rsidRDefault="00DC0D1A">
      <w:bookmarkStart w:id="17" w:name="ContactInfo"/>
      <w:r>
        <w:t>World Bank</w:t>
      </w:r>
    </w:p>
    <w:p w:rsidR="009C4AC9" w:rsidRDefault="00DC0D1A">
      <w:proofErr w:type="spellStart"/>
      <w:r>
        <w:t>Saurabh</w:t>
      </w:r>
      <w:proofErr w:type="spellEnd"/>
      <w:r>
        <w:t xml:space="preserve"> S</w:t>
      </w:r>
      <w:r w:rsidR="00D76955">
        <w:t>.</w:t>
      </w:r>
      <w:r>
        <w:t xml:space="preserve"> </w:t>
      </w:r>
      <w:proofErr w:type="spellStart"/>
      <w:r>
        <w:t>Dani</w:t>
      </w:r>
      <w:proofErr w:type="spellEnd"/>
    </w:p>
    <w:p w:rsidR="009C4AC9" w:rsidRDefault="009C4AC9">
      <w:r>
        <w:t xml:space="preserve">Title: </w:t>
      </w:r>
      <w:proofErr w:type="spellStart"/>
      <w:r>
        <w:t>Sr</w:t>
      </w:r>
      <w:proofErr w:type="spellEnd"/>
      <w:r>
        <w:t xml:space="preserve"> </w:t>
      </w:r>
      <w:r w:rsidR="00DC0D1A">
        <w:t xml:space="preserve">Disaster Risk Management Specialist </w:t>
      </w:r>
      <w:r w:rsidR="000C5F98">
        <w:t>and Task Team Leader</w:t>
      </w:r>
    </w:p>
    <w:p w:rsidR="009C4AC9" w:rsidRDefault="009C4AC9">
      <w:r>
        <w:t xml:space="preserve">Tel: </w:t>
      </w:r>
      <w:r w:rsidR="000C5F98">
        <w:t>+91-11-</w:t>
      </w:r>
      <w:r w:rsidR="00D76955">
        <w:t>29247658</w:t>
      </w:r>
    </w:p>
    <w:p w:rsidR="009C4AC9" w:rsidRDefault="009C4AC9">
      <w:r>
        <w:t xml:space="preserve">Fax: </w:t>
      </w:r>
      <w:r w:rsidR="000C5F98">
        <w:t>+91-11-246</w:t>
      </w:r>
      <w:r w:rsidR="0006612B">
        <w:t>19393</w:t>
      </w:r>
    </w:p>
    <w:p w:rsidR="009C4AC9" w:rsidRDefault="009C4AC9">
      <w:r>
        <w:t xml:space="preserve">Email: </w:t>
      </w:r>
      <w:r w:rsidR="0006612B">
        <w:t>sdani</w:t>
      </w:r>
      <w:r>
        <w:t>@worldbank.org</w:t>
      </w:r>
      <w:bookmarkEnd w:id="17"/>
    </w:p>
    <w:sectPr w:rsidR="009C4AC9" w:rsidSect="008232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300" w:rsidRDefault="00F47300">
      <w:r>
        <w:separator/>
      </w:r>
    </w:p>
  </w:endnote>
  <w:endnote w:type="continuationSeparator" w:id="0">
    <w:p w:rsidR="00F47300" w:rsidRDefault="00F47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300" w:rsidRDefault="00F47300">
      <w:r>
        <w:separator/>
      </w:r>
    </w:p>
  </w:footnote>
  <w:footnote w:type="continuationSeparator" w:id="0">
    <w:p w:rsidR="00F47300" w:rsidRDefault="00F47300">
      <w:r>
        <w:continuationSeparator/>
      </w:r>
    </w:p>
  </w:footnote>
  <w:footnote w:id="1">
    <w:p w:rsidR="00111DBF" w:rsidRDefault="00111DBF" w:rsidP="00111DBF">
      <w:pPr>
        <w:pStyle w:val="FootnoteText"/>
      </w:pPr>
      <w:r>
        <w:rPr>
          <w:rStyle w:val="FootnoteReference"/>
        </w:rPr>
        <w:t>*</w:t>
      </w:r>
      <w:r>
        <w:t xml:space="preserve"> </w:t>
      </w:r>
      <w:r>
        <w:rPr>
          <w:i/>
          <w:snapToGrid w:val="0"/>
          <w:color w:val="000000"/>
          <w:sz w:val="18"/>
        </w:rPr>
        <w:t>By supporting the proposed project, the Bank does not intend to prejudice the final determination of the parties' claims on the disputed areas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240"/>
    <w:multiLevelType w:val="hybridMultilevel"/>
    <w:tmpl w:val="FC38B6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EC5416"/>
    <w:multiLevelType w:val="hybridMultilevel"/>
    <w:tmpl w:val="11E85B56"/>
    <w:lvl w:ilvl="0" w:tplc="2AE893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26313E"/>
    <w:multiLevelType w:val="hybridMultilevel"/>
    <w:tmpl w:val="904080DC"/>
    <w:lvl w:ilvl="0" w:tplc="5358C7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251CBE"/>
    <w:multiLevelType w:val="hybridMultilevel"/>
    <w:tmpl w:val="CD363A2E"/>
    <w:lvl w:ilvl="0" w:tplc="424A90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9A3926"/>
    <w:multiLevelType w:val="hybridMultilevel"/>
    <w:tmpl w:val="311C5300"/>
    <w:lvl w:ilvl="0" w:tplc="A4DABF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6B237B"/>
    <w:multiLevelType w:val="hybridMultilevel"/>
    <w:tmpl w:val="5232B114"/>
    <w:lvl w:ilvl="0" w:tplc="D9A067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2072C8"/>
    <w:multiLevelType w:val="hybridMultilevel"/>
    <w:tmpl w:val="51E8BC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5AD1EC3"/>
    <w:multiLevelType w:val="hybridMultilevel"/>
    <w:tmpl w:val="9D38E54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156FA8"/>
    <w:multiLevelType w:val="hybridMultilevel"/>
    <w:tmpl w:val="B6F4579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7314D1"/>
    <w:multiLevelType w:val="hybridMultilevel"/>
    <w:tmpl w:val="A39660A8"/>
    <w:lvl w:ilvl="0" w:tplc="74AC854E">
      <w:start w:val="1"/>
      <w:numFmt w:val="bullet"/>
      <w:lvlText w:val=""/>
      <w:lvlJc w:val="left"/>
      <w:pPr>
        <w:tabs>
          <w:tab w:val="num" w:pos="64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CB20A5"/>
    <w:multiLevelType w:val="hybridMultilevel"/>
    <w:tmpl w:val="40AA4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CAC14BE"/>
    <w:multiLevelType w:val="hybridMultilevel"/>
    <w:tmpl w:val="E9226222"/>
    <w:lvl w:ilvl="0" w:tplc="FC9A40E2">
      <w:start w:val="1"/>
      <w:numFmt w:val="decimal"/>
      <w:lvlText w:val="%1."/>
      <w:lvlJc w:val="left"/>
      <w:pPr>
        <w:ind w:left="720" w:hanging="360"/>
      </w:pPr>
      <w:rPr>
        <w:rFonts w:hint="default"/>
      </w:rPr>
    </w:lvl>
    <w:lvl w:ilvl="1" w:tplc="04090005" w:tentative="1">
      <w:start w:val="1"/>
      <w:numFmt w:val="lowerLetter"/>
      <w:lvlText w:val="%2."/>
      <w:lvlJc w:val="left"/>
      <w:pPr>
        <w:ind w:left="1440" w:hanging="360"/>
      </w:pPr>
    </w:lvl>
    <w:lvl w:ilvl="2" w:tplc="04090017"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A44452"/>
    <w:multiLevelType w:val="hybridMultilevel"/>
    <w:tmpl w:val="904080DC"/>
    <w:lvl w:ilvl="0" w:tplc="5358C7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D6383F"/>
    <w:multiLevelType w:val="hybridMultilevel"/>
    <w:tmpl w:val="09E86072"/>
    <w:lvl w:ilvl="0" w:tplc="E94A50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13"/>
  </w:num>
  <w:num w:numId="4">
    <w:abstractNumId w:val="1"/>
  </w:num>
  <w:num w:numId="5">
    <w:abstractNumId w:val="9"/>
  </w:num>
  <w:num w:numId="6">
    <w:abstractNumId w:val="0"/>
  </w:num>
  <w:num w:numId="7">
    <w:abstractNumId w:val="6"/>
  </w:num>
  <w:num w:numId="8">
    <w:abstractNumId w:val="4"/>
  </w:num>
  <w:num w:numId="9">
    <w:abstractNumId w:val="10"/>
  </w:num>
  <w:num w:numId="10">
    <w:abstractNumId w:val="11"/>
  </w:num>
  <w:num w:numId="11">
    <w:abstractNumId w:val="12"/>
  </w:num>
  <w:num w:numId="12">
    <w:abstractNumId w:val="2"/>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BB9"/>
    <w:rsid w:val="0000386C"/>
    <w:rsid w:val="000143A3"/>
    <w:rsid w:val="0001499E"/>
    <w:rsid w:val="0006612B"/>
    <w:rsid w:val="000B666C"/>
    <w:rsid w:val="000C5F98"/>
    <w:rsid w:val="000F0100"/>
    <w:rsid w:val="0010157B"/>
    <w:rsid w:val="0010444B"/>
    <w:rsid w:val="00111DBF"/>
    <w:rsid w:val="00131675"/>
    <w:rsid w:val="001A3F4C"/>
    <w:rsid w:val="001D56A3"/>
    <w:rsid w:val="001D619E"/>
    <w:rsid w:val="001E6C41"/>
    <w:rsid w:val="00213004"/>
    <w:rsid w:val="0021770A"/>
    <w:rsid w:val="00251706"/>
    <w:rsid w:val="002B7493"/>
    <w:rsid w:val="003157C5"/>
    <w:rsid w:val="0033000B"/>
    <w:rsid w:val="00331F0E"/>
    <w:rsid w:val="003C306C"/>
    <w:rsid w:val="003E032C"/>
    <w:rsid w:val="003E11BD"/>
    <w:rsid w:val="003E2FF5"/>
    <w:rsid w:val="00400819"/>
    <w:rsid w:val="00434068"/>
    <w:rsid w:val="004C0FAC"/>
    <w:rsid w:val="00510E78"/>
    <w:rsid w:val="00521779"/>
    <w:rsid w:val="00547E55"/>
    <w:rsid w:val="005503A8"/>
    <w:rsid w:val="005C7037"/>
    <w:rsid w:val="005E4367"/>
    <w:rsid w:val="00601CEB"/>
    <w:rsid w:val="006249CB"/>
    <w:rsid w:val="006D5812"/>
    <w:rsid w:val="006D5A08"/>
    <w:rsid w:val="0070179E"/>
    <w:rsid w:val="0072164E"/>
    <w:rsid w:val="00767C40"/>
    <w:rsid w:val="00777431"/>
    <w:rsid w:val="007B6B12"/>
    <w:rsid w:val="007D509D"/>
    <w:rsid w:val="00823245"/>
    <w:rsid w:val="008B0642"/>
    <w:rsid w:val="008F12DA"/>
    <w:rsid w:val="00941668"/>
    <w:rsid w:val="009C4AC9"/>
    <w:rsid w:val="009D0C48"/>
    <w:rsid w:val="00A07EF3"/>
    <w:rsid w:val="00A659A0"/>
    <w:rsid w:val="00A70DCB"/>
    <w:rsid w:val="00AB4C49"/>
    <w:rsid w:val="00B03830"/>
    <w:rsid w:val="00B0740F"/>
    <w:rsid w:val="00B36C61"/>
    <w:rsid w:val="00B63B5A"/>
    <w:rsid w:val="00B67B9B"/>
    <w:rsid w:val="00BC11C7"/>
    <w:rsid w:val="00BD4660"/>
    <w:rsid w:val="00BF7708"/>
    <w:rsid w:val="00C10EC8"/>
    <w:rsid w:val="00C16C6B"/>
    <w:rsid w:val="00C46DD3"/>
    <w:rsid w:val="00C64AD1"/>
    <w:rsid w:val="00CA404B"/>
    <w:rsid w:val="00CC24CE"/>
    <w:rsid w:val="00D76955"/>
    <w:rsid w:val="00DC0D1A"/>
    <w:rsid w:val="00E044D7"/>
    <w:rsid w:val="00E3235D"/>
    <w:rsid w:val="00E8189B"/>
    <w:rsid w:val="00E832BE"/>
    <w:rsid w:val="00EE0213"/>
    <w:rsid w:val="00F21726"/>
    <w:rsid w:val="00F36BB9"/>
    <w:rsid w:val="00F47300"/>
    <w:rsid w:val="00F60A3B"/>
    <w:rsid w:val="00F8407B"/>
    <w:rsid w:val="00FD08E3"/>
    <w:rsid w:val="00FF2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245"/>
    <w:rPr>
      <w:sz w:val="24"/>
      <w:szCs w:val="24"/>
    </w:rPr>
  </w:style>
  <w:style w:type="paragraph" w:styleId="Heading1">
    <w:name w:val="heading 1"/>
    <w:basedOn w:val="Normal"/>
    <w:next w:val="Normal"/>
    <w:qFormat/>
    <w:rsid w:val="00823245"/>
    <w:pPr>
      <w:keepNext/>
      <w:outlineLvl w:val="0"/>
    </w:pPr>
    <w:rPr>
      <w:b/>
      <w:bCs/>
    </w:rPr>
  </w:style>
  <w:style w:type="paragraph" w:styleId="Heading2">
    <w:name w:val="heading 2"/>
    <w:basedOn w:val="Normal"/>
    <w:next w:val="Normal"/>
    <w:qFormat/>
    <w:rsid w:val="00823245"/>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823245"/>
    <w:pPr>
      <w:ind w:left="-108"/>
      <w:jc w:val="both"/>
    </w:pPr>
  </w:style>
  <w:style w:type="character" w:styleId="CommentReference">
    <w:name w:val="annotation reference"/>
    <w:basedOn w:val="DefaultParagraphFont"/>
    <w:semiHidden/>
    <w:rsid w:val="00823245"/>
    <w:rPr>
      <w:sz w:val="16"/>
      <w:szCs w:val="16"/>
    </w:rPr>
  </w:style>
  <w:style w:type="paragraph" w:styleId="CommentText">
    <w:name w:val="annotation text"/>
    <w:basedOn w:val="Normal"/>
    <w:link w:val="CommentTextChar"/>
    <w:semiHidden/>
    <w:rsid w:val="00823245"/>
    <w:rPr>
      <w:sz w:val="20"/>
      <w:szCs w:val="20"/>
    </w:rPr>
  </w:style>
  <w:style w:type="paragraph" w:styleId="NormalWeb">
    <w:name w:val="Normal (Web)"/>
    <w:basedOn w:val="Normal"/>
    <w:semiHidden/>
    <w:rsid w:val="00823245"/>
    <w:pPr>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823245"/>
    <w:rPr>
      <w:b/>
      <w:bCs/>
    </w:rPr>
  </w:style>
  <w:style w:type="paragraph" w:customStyle="1" w:styleId="MainParanoChapter">
    <w:name w:val="Main Para no Chapter #"/>
    <w:basedOn w:val="Normal"/>
    <w:rsid w:val="00823245"/>
    <w:pPr>
      <w:spacing w:after="240"/>
      <w:outlineLvl w:val="1"/>
    </w:pPr>
  </w:style>
  <w:style w:type="paragraph" w:styleId="FootnoteText">
    <w:name w:val="footnote text"/>
    <w:basedOn w:val="Normal"/>
    <w:semiHidden/>
    <w:rsid w:val="00823245"/>
    <w:rPr>
      <w:sz w:val="20"/>
      <w:szCs w:val="20"/>
    </w:rPr>
  </w:style>
  <w:style w:type="character" w:styleId="FootnoteReference">
    <w:name w:val="footnote reference"/>
    <w:basedOn w:val="DefaultParagraphFont"/>
    <w:semiHidden/>
    <w:rsid w:val="00823245"/>
    <w:rPr>
      <w:vertAlign w:val="superscript"/>
    </w:rPr>
  </w:style>
  <w:style w:type="character" w:styleId="Hyperlink">
    <w:name w:val="Hyperlink"/>
    <w:basedOn w:val="DefaultParagraphFont"/>
    <w:uiPriority w:val="99"/>
    <w:rsid w:val="00823245"/>
    <w:rPr>
      <w:color w:val="0000FF"/>
      <w:u w:val="single"/>
    </w:rPr>
  </w:style>
  <w:style w:type="paragraph" w:styleId="BalloonText">
    <w:name w:val="Balloon Text"/>
    <w:basedOn w:val="Normal"/>
    <w:link w:val="BalloonTextChar"/>
    <w:uiPriority w:val="99"/>
    <w:semiHidden/>
    <w:unhideWhenUsed/>
    <w:rsid w:val="00F36BB9"/>
    <w:rPr>
      <w:rFonts w:ascii="Tahoma" w:hAnsi="Tahoma" w:cs="Tahoma"/>
      <w:sz w:val="16"/>
      <w:szCs w:val="16"/>
    </w:rPr>
  </w:style>
  <w:style w:type="character" w:customStyle="1" w:styleId="BalloonTextChar">
    <w:name w:val="Balloon Text Char"/>
    <w:basedOn w:val="DefaultParagraphFont"/>
    <w:link w:val="BalloonText"/>
    <w:uiPriority w:val="99"/>
    <w:semiHidden/>
    <w:rsid w:val="00F36BB9"/>
    <w:rPr>
      <w:rFonts w:ascii="Tahoma" w:hAnsi="Tahoma" w:cs="Tahoma"/>
      <w:sz w:val="16"/>
      <w:szCs w:val="16"/>
    </w:rPr>
  </w:style>
  <w:style w:type="paragraph" w:styleId="ListParagraph">
    <w:name w:val="List Paragraph"/>
    <w:aliases w:val="List Paragraph (numbered (a)),References"/>
    <w:basedOn w:val="Normal"/>
    <w:link w:val="ListParagraphChar"/>
    <w:uiPriority w:val="34"/>
    <w:qFormat/>
    <w:rsid w:val="005C7037"/>
    <w:pPr>
      <w:ind w:left="720"/>
    </w:pPr>
  </w:style>
  <w:style w:type="paragraph" w:styleId="CommentSubject">
    <w:name w:val="annotation subject"/>
    <w:basedOn w:val="CommentText"/>
    <w:next w:val="CommentText"/>
    <w:link w:val="CommentSubjectChar"/>
    <w:uiPriority w:val="99"/>
    <w:semiHidden/>
    <w:unhideWhenUsed/>
    <w:rsid w:val="000F0100"/>
    <w:rPr>
      <w:b/>
      <w:bCs/>
    </w:rPr>
  </w:style>
  <w:style w:type="character" w:customStyle="1" w:styleId="CommentTextChar">
    <w:name w:val="Comment Text Char"/>
    <w:basedOn w:val="DefaultParagraphFont"/>
    <w:link w:val="CommentText"/>
    <w:semiHidden/>
    <w:rsid w:val="000F0100"/>
  </w:style>
  <w:style w:type="character" w:customStyle="1" w:styleId="CommentSubjectChar">
    <w:name w:val="Comment Subject Char"/>
    <w:basedOn w:val="CommentTextChar"/>
    <w:link w:val="CommentSubject"/>
    <w:rsid w:val="000F0100"/>
  </w:style>
  <w:style w:type="paragraph" w:styleId="Header">
    <w:name w:val="header"/>
    <w:basedOn w:val="Normal"/>
    <w:link w:val="HeaderChar"/>
    <w:uiPriority w:val="99"/>
    <w:semiHidden/>
    <w:unhideWhenUsed/>
    <w:rsid w:val="00A659A0"/>
    <w:pPr>
      <w:tabs>
        <w:tab w:val="center" w:pos="4680"/>
        <w:tab w:val="right" w:pos="9360"/>
      </w:tabs>
    </w:pPr>
  </w:style>
  <w:style w:type="character" w:customStyle="1" w:styleId="HeaderChar">
    <w:name w:val="Header Char"/>
    <w:basedOn w:val="DefaultParagraphFont"/>
    <w:link w:val="Header"/>
    <w:uiPriority w:val="99"/>
    <w:semiHidden/>
    <w:rsid w:val="00A659A0"/>
    <w:rPr>
      <w:sz w:val="24"/>
      <w:szCs w:val="24"/>
    </w:rPr>
  </w:style>
  <w:style w:type="paragraph" w:styleId="Footer">
    <w:name w:val="footer"/>
    <w:basedOn w:val="Normal"/>
    <w:link w:val="FooterChar"/>
    <w:uiPriority w:val="99"/>
    <w:semiHidden/>
    <w:unhideWhenUsed/>
    <w:rsid w:val="00A659A0"/>
    <w:pPr>
      <w:tabs>
        <w:tab w:val="center" w:pos="4680"/>
        <w:tab w:val="right" w:pos="9360"/>
      </w:tabs>
    </w:pPr>
  </w:style>
  <w:style w:type="character" w:customStyle="1" w:styleId="FooterChar">
    <w:name w:val="Footer Char"/>
    <w:basedOn w:val="DefaultParagraphFont"/>
    <w:link w:val="Footer"/>
    <w:uiPriority w:val="99"/>
    <w:semiHidden/>
    <w:rsid w:val="00A659A0"/>
    <w:rPr>
      <w:sz w:val="24"/>
      <w:szCs w:val="24"/>
    </w:rPr>
  </w:style>
  <w:style w:type="paragraph" w:customStyle="1" w:styleId="BankNormal">
    <w:name w:val="BankNormal"/>
    <w:basedOn w:val="Normal"/>
    <w:link w:val="BankNormalChar"/>
    <w:rsid w:val="00F21726"/>
    <w:pPr>
      <w:spacing w:after="240"/>
    </w:pPr>
    <w:rPr>
      <w:szCs w:val="20"/>
    </w:rPr>
  </w:style>
  <w:style w:type="character" w:customStyle="1" w:styleId="BankNormalChar">
    <w:name w:val="BankNormal Char"/>
    <w:basedOn w:val="DefaultParagraphFont"/>
    <w:link w:val="BankNormal"/>
    <w:rsid w:val="00F21726"/>
    <w:rPr>
      <w:sz w:val="24"/>
    </w:rPr>
  </w:style>
  <w:style w:type="character" w:customStyle="1" w:styleId="ListParagraphChar">
    <w:name w:val="List Paragraph Char"/>
    <w:aliases w:val="List Paragraph (numbered (a)) Char,References Char"/>
    <w:link w:val="ListParagraph"/>
    <w:uiPriority w:val="34"/>
    <w:locked/>
    <w:rsid w:val="006D5A0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245"/>
    <w:rPr>
      <w:sz w:val="24"/>
      <w:szCs w:val="24"/>
    </w:rPr>
  </w:style>
  <w:style w:type="paragraph" w:styleId="Heading1">
    <w:name w:val="heading 1"/>
    <w:basedOn w:val="Normal"/>
    <w:next w:val="Normal"/>
    <w:qFormat/>
    <w:rsid w:val="00823245"/>
    <w:pPr>
      <w:keepNext/>
      <w:outlineLvl w:val="0"/>
    </w:pPr>
    <w:rPr>
      <w:b/>
      <w:bCs/>
    </w:rPr>
  </w:style>
  <w:style w:type="paragraph" w:styleId="Heading2">
    <w:name w:val="heading 2"/>
    <w:basedOn w:val="Normal"/>
    <w:next w:val="Normal"/>
    <w:qFormat/>
    <w:rsid w:val="00823245"/>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823245"/>
    <w:pPr>
      <w:ind w:left="-108"/>
      <w:jc w:val="both"/>
    </w:pPr>
  </w:style>
  <w:style w:type="character" w:styleId="CommentReference">
    <w:name w:val="annotation reference"/>
    <w:basedOn w:val="DefaultParagraphFont"/>
    <w:semiHidden/>
    <w:rsid w:val="00823245"/>
    <w:rPr>
      <w:sz w:val="16"/>
      <w:szCs w:val="16"/>
    </w:rPr>
  </w:style>
  <w:style w:type="paragraph" w:styleId="CommentText">
    <w:name w:val="annotation text"/>
    <w:basedOn w:val="Normal"/>
    <w:link w:val="CommentTextChar"/>
    <w:semiHidden/>
    <w:rsid w:val="00823245"/>
    <w:rPr>
      <w:sz w:val="20"/>
      <w:szCs w:val="20"/>
    </w:rPr>
  </w:style>
  <w:style w:type="paragraph" w:styleId="NormalWeb">
    <w:name w:val="Normal (Web)"/>
    <w:basedOn w:val="Normal"/>
    <w:semiHidden/>
    <w:rsid w:val="00823245"/>
    <w:pPr>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823245"/>
    <w:rPr>
      <w:b/>
      <w:bCs/>
    </w:rPr>
  </w:style>
  <w:style w:type="paragraph" w:customStyle="1" w:styleId="MainParanoChapter">
    <w:name w:val="Main Para no Chapter #"/>
    <w:basedOn w:val="Normal"/>
    <w:rsid w:val="00823245"/>
    <w:pPr>
      <w:spacing w:after="240"/>
      <w:outlineLvl w:val="1"/>
    </w:pPr>
  </w:style>
  <w:style w:type="paragraph" w:styleId="FootnoteText">
    <w:name w:val="footnote text"/>
    <w:basedOn w:val="Normal"/>
    <w:semiHidden/>
    <w:rsid w:val="00823245"/>
    <w:rPr>
      <w:sz w:val="20"/>
      <w:szCs w:val="20"/>
    </w:rPr>
  </w:style>
  <w:style w:type="character" w:styleId="FootnoteReference">
    <w:name w:val="footnote reference"/>
    <w:basedOn w:val="DefaultParagraphFont"/>
    <w:semiHidden/>
    <w:rsid w:val="00823245"/>
    <w:rPr>
      <w:vertAlign w:val="superscript"/>
    </w:rPr>
  </w:style>
  <w:style w:type="character" w:styleId="Hyperlink">
    <w:name w:val="Hyperlink"/>
    <w:basedOn w:val="DefaultParagraphFont"/>
    <w:uiPriority w:val="99"/>
    <w:rsid w:val="00823245"/>
    <w:rPr>
      <w:color w:val="0000FF"/>
      <w:u w:val="single"/>
    </w:rPr>
  </w:style>
  <w:style w:type="paragraph" w:styleId="BalloonText">
    <w:name w:val="Balloon Text"/>
    <w:basedOn w:val="Normal"/>
    <w:link w:val="BalloonTextChar"/>
    <w:uiPriority w:val="99"/>
    <w:semiHidden/>
    <w:unhideWhenUsed/>
    <w:rsid w:val="00F36BB9"/>
    <w:rPr>
      <w:rFonts w:ascii="Tahoma" w:hAnsi="Tahoma" w:cs="Tahoma"/>
      <w:sz w:val="16"/>
      <w:szCs w:val="16"/>
    </w:rPr>
  </w:style>
  <w:style w:type="character" w:customStyle="1" w:styleId="BalloonTextChar">
    <w:name w:val="Balloon Text Char"/>
    <w:basedOn w:val="DefaultParagraphFont"/>
    <w:link w:val="BalloonText"/>
    <w:uiPriority w:val="99"/>
    <w:semiHidden/>
    <w:rsid w:val="00F36BB9"/>
    <w:rPr>
      <w:rFonts w:ascii="Tahoma" w:hAnsi="Tahoma" w:cs="Tahoma"/>
      <w:sz w:val="16"/>
      <w:szCs w:val="16"/>
    </w:rPr>
  </w:style>
  <w:style w:type="paragraph" w:styleId="ListParagraph">
    <w:name w:val="List Paragraph"/>
    <w:aliases w:val="List Paragraph (numbered (a)),References"/>
    <w:basedOn w:val="Normal"/>
    <w:link w:val="ListParagraphChar"/>
    <w:uiPriority w:val="34"/>
    <w:qFormat/>
    <w:rsid w:val="005C7037"/>
    <w:pPr>
      <w:ind w:left="720"/>
    </w:pPr>
  </w:style>
  <w:style w:type="paragraph" w:styleId="CommentSubject">
    <w:name w:val="annotation subject"/>
    <w:basedOn w:val="CommentText"/>
    <w:next w:val="CommentText"/>
    <w:link w:val="CommentSubjectChar"/>
    <w:uiPriority w:val="99"/>
    <w:semiHidden/>
    <w:unhideWhenUsed/>
    <w:rsid w:val="000F0100"/>
    <w:rPr>
      <w:b/>
      <w:bCs/>
    </w:rPr>
  </w:style>
  <w:style w:type="character" w:customStyle="1" w:styleId="CommentTextChar">
    <w:name w:val="Comment Text Char"/>
    <w:basedOn w:val="DefaultParagraphFont"/>
    <w:link w:val="CommentText"/>
    <w:semiHidden/>
    <w:rsid w:val="000F0100"/>
  </w:style>
  <w:style w:type="character" w:customStyle="1" w:styleId="CommentSubjectChar">
    <w:name w:val="Comment Subject Char"/>
    <w:basedOn w:val="CommentTextChar"/>
    <w:link w:val="CommentSubject"/>
    <w:rsid w:val="000F0100"/>
  </w:style>
  <w:style w:type="paragraph" w:styleId="Header">
    <w:name w:val="header"/>
    <w:basedOn w:val="Normal"/>
    <w:link w:val="HeaderChar"/>
    <w:uiPriority w:val="99"/>
    <w:semiHidden/>
    <w:unhideWhenUsed/>
    <w:rsid w:val="00A659A0"/>
    <w:pPr>
      <w:tabs>
        <w:tab w:val="center" w:pos="4680"/>
        <w:tab w:val="right" w:pos="9360"/>
      </w:tabs>
    </w:pPr>
  </w:style>
  <w:style w:type="character" w:customStyle="1" w:styleId="HeaderChar">
    <w:name w:val="Header Char"/>
    <w:basedOn w:val="DefaultParagraphFont"/>
    <w:link w:val="Header"/>
    <w:uiPriority w:val="99"/>
    <w:semiHidden/>
    <w:rsid w:val="00A659A0"/>
    <w:rPr>
      <w:sz w:val="24"/>
      <w:szCs w:val="24"/>
    </w:rPr>
  </w:style>
  <w:style w:type="paragraph" w:styleId="Footer">
    <w:name w:val="footer"/>
    <w:basedOn w:val="Normal"/>
    <w:link w:val="FooterChar"/>
    <w:uiPriority w:val="99"/>
    <w:semiHidden/>
    <w:unhideWhenUsed/>
    <w:rsid w:val="00A659A0"/>
    <w:pPr>
      <w:tabs>
        <w:tab w:val="center" w:pos="4680"/>
        <w:tab w:val="right" w:pos="9360"/>
      </w:tabs>
    </w:pPr>
  </w:style>
  <w:style w:type="character" w:customStyle="1" w:styleId="FooterChar">
    <w:name w:val="Footer Char"/>
    <w:basedOn w:val="DefaultParagraphFont"/>
    <w:link w:val="Footer"/>
    <w:uiPriority w:val="99"/>
    <w:semiHidden/>
    <w:rsid w:val="00A659A0"/>
    <w:rPr>
      <w:sz w:val="24"/>
      <w:szCs w:val="24"/>
    </w:rPr>
  </w:style>
  <w:style w:type="paragraph" w:customStyle="1" w:styleId="BankNormal">
    <w:name w:val="BankNormal"/>
    <w:basedOn w:val="Normal"/>
    <w:link w:val="BankNormalChar"/>
    <w:rsid w:val="00F21726"/>
    <w:pPr>
      <w:spacing w:after="240"/>
    </w:pPr>
    <w:rPr>
      <w:szCs w:val="20"/>
    </w:rPr>
  </w:style>
  <w:style w:type="character" w:customStyle="1" w:styleId="BankNormalChar">
    <w:name w:val="BankNormal Char"/>
    <w:basedOn w:val="DefaultParagraphFont"/>
    <w:link w:val="BankNormal"/>
    <w:rsid w:val="00F21726"/>
    <w:rPr>
      <w:sz w:val="24"/>
    </w:rPr>
  </w:style>
  <w:style w:type="character" w:customStyle="1" w:styleId="ListParagraphChar">
    <w:name w:val="List Paragraph Char"/>
    <w:aliases w:val="List Paragraph (numbered (a)) Char,References Char"/>
    <w:link w:val="ListParagraph"/>
    <w:uiPriority w:val="34"/>
    <w:locked/>
    <w:rsid w:val="006D5A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environmentalassessment" TargetMode="External"/><Relationship Id="rId13" Type="http://schemas.openxmlformats.org/officeDocument/2006/relationships/hyperlink" Target="http://intranet.worldbank.org/WBSITE/INTRANET/OPSMANUAL/0,,contentMDK:20064720~pagePK:60001255~piPK:60000911~theSitePK:210385,00.html" TargetMode="External"/><Relationship Id="rId18" Type="http://schemas.openxmlformats.org/officeDocument/2006/relationships/hyperlink" Target="http://intranet.worldbank.org/WBSITE/INTRANET/OPSMANUAL/0,,contentMDK:20567522~pagePK:60001255~piPK:60000911~theSitePK:210385,00.html" TargetMode="External"/><Relationship Id="rId26" Type="http://schemas.openxmlformats.org/officeDocument/2006/relationships/hyperlink" Target="http://intranet.worldbank.org/WBSITE/INTRANET/OPSMANUAL/0,,contentMDK:20064701~pagePK:60001255~piPK:60000911~theSitePK:210385,00.html" TargetMode="External"/><Relationship Id="rId3" Type="http://schemas.microsoft.com/office/2007/relationships/stylesWithEffects" Target="stylesWithEffects.xml"/><Relationship Id="rId21" Type="http://schemas.openxmlformats.org/officeDocument/2006/relationships/hyperlink" Target="http://intranet.worldbank.org/WBSITE/INTRANET/OPSMANUAL/0,,contentMDK:20064653~pagePK:60001255~piPK:60000911~theSitePK:210385,00.html" TargetMode="External"/><Relationship Id="rId7" Type="http://schemas.openxmlformats.org/officeDocument/2006/relationships/endnotes" Target="endnotes.xml"/><Relationship Id="rId12" Type="http://schemas.openxmlformats.org/officeDocument/2006/relationships/hyperlink" Target="http://intranet.worldbank.org/WBSITE/INTRANET/OPSMANUAL/0,,contentMDK:20064560~pagePK:60001255~piPK:60000911~theSitePK:210385,00.html" TargetMode="External"/><Relationship Id="rId17" Type="http://schemas.openxmlformats.org/officeDocument/2006/relationships/hyperlink" Target="http://intranet.worldbank.org/WBSITE/INTRANET/OPSMANUAL/0,,contentMDK:20567505~pagePK:60001255~piPK:60000911~theSitePK:210385,00.html" TargetMode="External"/><Relationship Id="rId25" Type="http://schemas.openxmlformats.org/officeDocument/2006/relationships/hyperlink" Target="http://intranet.worldbank.org/WBSITE/INTRANET/OPSMANUAL/0,,contentMDK:20064667~pagePK:60001255~piPK:60000911~theSitePK:210385,00.html" TargetMode="External"/><Relationship Id="rId2" Type="http://schemas.openxmlformats.org/officeDocument/2006/relationships/styles" Target="styles.xml"/><Relationship Id="rId16" Type="http://schemas.openxmlformats.org/officeDocument/2006/relationships/hyperlink" Target="http://intranet.worldbank.org/WBSITE/INTRANET/OPSMANUAL/0,,contentMDK:20064675~pagePK:60001255~piPK:60000911~theSitePK:210385,00.html" TargetMode="External"/><Relationship Id="rId20" Type="http://schemas.openxmlformats.org/officeDocument/2006/relationships/hyperlink" Target="http://intranet.worldbank.org/WBSITE/INTRANET/OPSMANUAL/0,,contentMDK:20141282~pagePK:60001255~piPK:60000911~theSitePK:210385,00.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ranet.worldbank.org/WBSITE/INTRANET/OPSMANUAL/0,,contentMDK:20064757~pagePK:60001255~piPK:60000911~theSitePK:210385,00.html" TargetMode="External"/><Relationship Id="rId24" Type="http://schemas.openxmlformats.org/officeDocument/2006/relationships/hyperlink" Target="http://intranet.worldbank.org/WBSITE/INTRANET/OPSMANUAL/0,,contentMDK:20064640~pagePK:60001255~piPK:60000911~theSitePK:210385,00.html" TargetMode="External"/><Relationship Id="rId5" Type="http://schemas.openxmlformats.org/officeDocument/2006/relationships/webSettings" Target="webSettings.xml"/><Relationship Id="rId15" Type="http://schemas.openxmlformats.org/officeDocument/2006/relationships/hyperlink" Target="http://intranet.worldbank.org/WBSITE/INTRANET/OPSMANUAL/0,,contentMDK:20064610~pagePK:60001255~piPK:60000911~theSitePK:210385,00.html" TargetMode="External"/><Relationship Id="rId23" Type="http://schemas.openxmlformats.org/officeDocument/2006/relationships/hyperlink" Target="http://intranet.worldbank.org/WBSITE/INTRANET/OPSMANUAL/0,,contentMDK:20064615~pagePK:60001255~piPK:60000911~theSitePK:210385,00.html" TargetMode="External"/><Relationship Id="rId28" Type="http://schemas.openxmlformats.org/officeDocument/2006/relationships/theme" Target="theme/theme1.xml"/><Relationship Id="rId10" Type="http://schemas.openxmlformats.org/officeDocument/2006/relationships/hyperlink" Target="http://intranet.worldbank.org/WBSITE/INTRANET/OPSMANUAL/0,,contentMDK:20064614~pagePK:60001255~piPK:60000911~theSitePK:210385,00.html" TargetMode="External"/><Relationship Id="rId19" Type="http://schemas.openxmlformats.org/officeDocument/2006/relationships/hyperlink" Target="http://intranet.worldbank.org/WBSITE/INTRANET/OPSMANUAL/0,,contentMDK:20064668~pagePK:60001255~piPK:60000911~theSitePK:210385,00.html" TargetMode="External"/><Relationship Id="rId4" Type="http://schemas.openxmlformats.org/officeDocument/2006/relationships/settings" Target="settings.xml"/><Relationship Id="rId9" Type="http://schemas.openxmlformats.org/officeDocument/2006/relationships/hyperlink" Target="http://intranet.worldbank.org/WBSITE/INTRANET/OPSMANUAL/0,,contentMDK:20064724~pagePK:60001255~piPK:60000911~theSitePK:210385,00.html" TargetMode="External"/><Relationship Id="rId14" Type="http://schemas.openxmlformats.org/officeDocument/2006/relationships/hyperlink" Target="http://intranet.worldbank.org/WBSITE/INTRANET/OPSMANUAL/0,,contentMDK:20970738~pagePK:60001219~piPK:280527~theSitePK:210385,00.html" TargetMode="External"/><Relationship Id="rId22" Type="http://schemas.openxmlformats.org/officeDocument/2006/relationships/hyperlink" Target="http://intranet.worldbank.org/WBSITE/INTRANET/OPSMANUAL/0,,contentMDK:20064589~pagePK:60001255~piPK:60000911~theSitePK:210385,00.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2044</Words>
  <Characters>14622</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PROJECT INFORMATION DOCUMENT (PID)</vt:lpstr>
    </vt:vector>
  </TitlesOfParts>
  <Company>World Bank Group</Company>
  <LinksUpToDate>false</LinksUpToDate>
  <CharactersWithSpaces>16633</CharactersWithSpaces>
  <SharedDoc>false</SharedDoc>
  <HLinks>
    <vt:vector size="114" baseType="variant">
      <vt:variant>
        <vt:i4>5636182</vt:i4>
      </vt:variant>
      <vt:variant>
        <vt:i4>54</vt:i4>
      </vt:variant>
      <vt:variant>
        <vt:i4>0</vt:i4>
      </vt:variant>
      <vt:variant>
        <vt:i4>5</vt:i4>
      </vt:variant>
      <vt:variant>
        <vt:lpwstr>http://intranet.worldbank.org/WBSITE/INTRANET/OPSMANUAL/0,,contentMDK:20064701~pagePK:60001255~piPK:60000911~theSitePK:210385,00.html</vt:lpwstr>
      </vt:variant>
      <vt:variant>
        <vt:lpwstr/>
      </vt:variant>
      <vt:variant>
        <vt:i4>5308496</vt:i4>
      </vt:variant>
      <vt:variant>
        <vt:i4>51</vt:i4>
      </vt:variant>
      <vt:variant>
        <vt:i4>0</vt:i4>
      </vt:variant>
      <vt:variant>
        <vt:i4>5</vt:i4>
      </vt:variant>
      <vt:variant>
        <vt:lpwstr>http://intranet.worldbank.org/WBSITE/INTRANET/OPSMANUAL/0,,contentMDK:20064667~pagePK:60001255~piPK:60000911~theSitePK:210385,00.html</vt:lpwstr>
      </vt:variant>
      <vt:variant>
        <vt:lpwstr/>
      </vt:variant>
      <vt:variant>
        <vt:i4>5636178</vt:i4>
      </vt:variant>
      <vt:variant>
        <vt:i4>48</vt:i4>
      </vt:variant>
      <vt:variant>
        <vt:i4>0</vt:i4>
      </vt:variant>
      <vt:variant>
        <vt:i4>5</vt:i4>
      </vt:variant>
      <vt:variant>
        <vt:lpwstr>http://intranet.worldbank.org/WBSITE/INTRANET/OPSMANUAL/0,,contentMDK:20064640~pagePK:60001255~piPK:60000911~theSitePK:210385,00.html</vt:lpwstr>
      </vt:variant>
      <vt:variant>
        <vt:lpwstr/>
      </vt:variant>
      <vt:variant>
        <vt:i4>5439575</vt:i4>
      </vt:variant>
      <vt:variant>
        <vt:i4>45</vt:i4>
      </vt:variant>
      <vt:variant>
        <vt:i4>0</vt:i4>
      </vt:variant>
      <vt:variant>
        <vt:i4>5</vt:i4>
      </vt:variant>
      <vt:variant>
        <vt:lpwstr>http://intranet.worldbank.org/WBSITE/INTRANET/OPSMANUAL/0,,contentMDK:20064615~pagePK:60001255~piPK:60000911~theSitePK:210385,00.html</vt:lpwstr>
      </vt:variant>
      <vt:variant>
        <vt:lpwstr/>
      </vt:variant>
      <vt:variant>
        <vt:i4>6029406</vt:i4>
      </vt:variant>
      <vt:variant>
        <vt:i4>42</vt:i4>
      </vt:variant>
      <vt:variant>
        <vt:i4>0</vt:i4>
      </vt:variant>
      <vt:variant>
        <vt:i4>5</vt:i4>
      </vt:variant>
      <vt:variant>
        <vt:lpwstr>http://intranet.worldbank.org/WBSITE/INTRANET/OPSMANUAL/0,,contentMDK:20064589~pagePK:60001255~piPK:60000911~theSitePK:210385,00.html</vt:lpwstr>
      </vt:variant>
      <vt:variant>
        <vt:lpwstr/>
      </vt:variant>
      <vt:variant>
        <vt:i4>5570643</vt:i4>
      </vt:variant>
      <vt:variant>
        <vt:i4>39</vt:i4>
      </vt:variant>
      <vt:variant>
        <vt:i4>0</vt:i4>
      </vt:variant>
      <vt:variant>
        <vt:i4>5</vt:i4>
      </vt:variant>
      <vt:variant>
        <vt:lpwstr>http://intranet.worldbank.org/WBSITE/INTRANET/OPSMANUAL/0,,contentMDK:20064653~pagePK:60001255~piPK:60000911~theSitePK:210385,00.html</vt:lpwstr>
      </vt:variant>
      <vt:variant>
        <vt:lpwstr/>
      </vt:variant>
      <vt:variant>
        <vt:i4>5374042</vt:i4>
      </vt:variant>
      <vt:variant>
        <vt:i4>36</vt:i4>
      </vt:variant>
      <vt:variant>
        <vt:i4>0</vt:i4>
      </vt:variant>
      <vt:variant>
        <vt:i4>5</vt:i4>
      </vt:variant>
      <vt:variant>
        <vt:lpwstr>http://intranet.worldbank.org/WBSITE/INTRANET/OPSMANUAL/0,,contentMDK:20141282~pagePK:60001255~piPK:60000911~theSitePK:210385,00.html</vt:lpwstr>
      </vt:variant>
      <vt:variant>
        <vt:lpwstr/>
      </vt:variant>
      <vt:variant>
        <vt:i4>6160464</vt:i4>
      </vt:variant>
      <vt:variant>
        <vt:i4>33</vt:i4>
      </vt:variant>
      <vt:variant>
        <vt:i4>0</vt:i4>
      </vt:variant>
      <vt:variant>
        <vt:i4>5</vt:i4>
      </vt:variant>
      <vt:variant>
        <vt:lpwstr>http://intranet.worldbank.org/WBSITE/INTRANET/OPSMANUAL/0,,contentMDK:20064668~pagePK:60001255~piPK:60000911~theSitePK:210385,00.html</vt:lpwstr>
      </vt:variant>
      <vt:variant>
        <vt:lpwstr/>
      </vt:variant>
      <vt:variant>
        <vt:i4>5701714</vt:i4>
      </vt:variant>
      <vt:variant>
        <vt:i4>30</vt:i4>
      </vt:variant>
      <vt:variant>
        <vt:i4>0</vt:i4>
      </vt:variant>
      <vt:variant>
        <vt:i4>5</vt:i4>
      </vt:variant>
      <vt:variant>
        <vt:lpwstr>http://intranet.worldbank.org/WBSITE/INTRANET/OPSMANUAL/0,,contentMDK:20567522~pagePK:60001255~piPK:60000911~theSitePK:210385,00.html</vt:lpwstr>
      </vt:variant>
      <vt:variant>
        <vt:lpwstr/>
      </vt:variant>
      <vt:variant>
        <vt:i4>5242960</vt:i4>
      </vt:variant>
      <vt:variant>
        <vt:i4>27</vt:i4>
      </vt:variant>
      <vt:variant>
        <vt:i4>0</vt:i4>
      </vt:variant>
      <vt:variant>
        <vt:i4>5</vt:i4>
      </vt:variant>
      <vt:variant>
        <vt:lpwstr>http://intranet.worldbank.org/WBSITE/INTRANET/OPSMANUAL/0,,contentMDK:20567505~pagePK:60001255~piPK:60000911~theSitePK:210385,00.html</vt:lpwstr>
      </vt:variant>
      <vt:variant>
        <vt:lpwstr/>
      </vt:variant>
      <vt:variant>
        <vt:i4>5439569</vt:i4>
      </vt:variant>
      <vt:variant>
        <vt:i4>24</vt:i4>
      </vt:variant>
      <vt:variant>
        <vt:i4>0</vt:i4>
      </vt:variant>
      <vt:variant>
        <vt:i4>5</vt:i4>
      </vt:variant>
      <vt:variant>
        <vt:lpwstr>http://intranet.worldbank.org/WBSITE/INTRANET/OPSMANUAL/0,,contentMDK:20064675~pagePK:60001255~piPK:60000911~theSitePK:210385,00.html</vt:lpwstr>
      </vt:variant>
      <vt:variant>
        <vt:lpwstr/>
      </vt:variant>
      <vt:variant>
        <vt:i4>5636183</vt:i4>
      </vt:variant>
      <vt:variant>
        <vt:i4>21</vt:i4>
      </vt:variant>
      <vt:variant>
        <vt:i4>0</vt:i4>
      </vt:variant>
      <vt:variant>
        <vt:i4>5</vt:i4>
      </vt:variant>
      <vt:variant>
        <vt:lpwstr>http://intranet.worldbank.org/WBSITE/INTRANET/OPSMANUAL/0,,contentMDK:20064610~pagePK:60001255~piPK:60000911~theSitePK:210385,00.html</vt:lpwstr>
      </vt:variant>
      <vt:variant>
        <vt:lpwstr/>
      </vt:variant>
      <vt:variant>
        <vt:i4>6291563</vt:i4>
      </vt:variant>
      <vt:variant>
        <vt:i4>18</vt:i4>
      </vt:variant>
      <vt:variant>
        <vt:i4>0</vt:i4>
      </vt:variant>
      <vt:variant>
        <vt:i4>5</vt:i4>
      </vt:variant>
      <vt:variant>
        <vt:lpwstr>http://intranet.worldbank.org/WBSITE/INTRANET/OPSMANUAL/0,,contentMDK:20970738~pagePK:60001219~piPK:280527~theSitePK:210385,00.html</vt:lpwstr>
      </vt:variant>
      <vt:variant>
        <vt:lpwstr/>
      </vt:variant>
      <vt:variant>
        <vt:i4>5701716</vt:i4>
      </vt:variant>
      <vt:variant>
        <vt:i4>15</vt:i4>
      </vt:variant>
      <vt:variant>
        <vt:i4>0</vt:i4>
      </vt:variant>
      <vt:variant>
        <vt:i4>5</vt:i4>
      </vt:variant>
      <vt:variant>
        <vt:lpwstr>http://intranet.worldbank.org/WBSITE/INTRANET/OPSMANUAL/0,,contentMDK:20064720~pagePK:60001255~piPK:60000911~theSitePK:210385,00.html</vt:lpwstr>
      </vt:variant>
      <vt:variant>
        <vt:lpwstr/>
      </vt:variant>
      <vt:variant>
        <vt:i4>5570640</vt:i4>
      </vt:variant>
      <vt:variant>
        <vt:i4>12</vt:i4>
      </vt:variant>
      <vt:variant>
        <vt:i4>0</vt:i4>
      </vt:variant>
      <vt:variant>
        <vt:i4>5</vt:i4>
      </vt:variant>
      <vt:variant>
        <vt:lpwstr>http://intranet.worldbank.org/WBSITE/INTRANET/OPSMANUAL/0,,contentMDK:20064560~pagePK:60001255~piPK:60000911~theSitePK:210385,00.html</vt:lpwstr>
      </vt:variant>
      <vt:variant>
        <vt:lpwstr/>
      </vt:variant>
      <vt:variant>
        <vt:i4>5242963</vt:i4>
      </vt:variant>
      <vt:variant>
        <vt:i4>9</vt:i4>
      </vt:variant>
      <vt:variant>
        <vt:i4>0</vt:i4>
      </vt:variant>
      <vt:variant>
        <vt:i4>5</vt:i4>
      </vt:variant>
      <vt:variant>
        <vt:lpwstr>http://intranet.worldbank.org/WBSITE/INTRANET/OPSMANUAL/0,,contentMDK:20064757~pagePK:60001255~piPK:60000911~theSitePK:210385,00.html</vt:lpwstr>
      </vt:variant>
      <vt:variant>
        <vt:lpwstr/>
      </vt:variant>
      <vt:variant>
        <vt:i4>5374039</vt:i4>
      </vt:variant>
      <vt:variant>
        <vt:i4>6</vt:i4>
      </vt:variant>
      <vt:variant>
        <vt:i4>0</vt:i4>
      </vt:variant>
      <vt:variant>
        <vt:i4>5</vt:i4>
      </vt:variant>
      <vt:variant>
        <vt:lpwstr>http://intranet.worldbank.org/WBSITE/INTRANET/OPSMANUAL/0,,contentMDK:20064614~pagePK:60001255~piPK:60000911~theSitePK:210385,00.html</vt:lpwstr>
      </vt:variant>
      <vt:variant>
        <vt:lpwstr/>
      </vt:variant>
      <vt:variant>
        <vt:i4>5439572</vt:i4>
      </vt:variant>
      <vt:variant>
        <vt:i4>3</vt:i4>
      </vt:variant>
      <vt:variant>
        <vt:i4>0</vt:i4>
      </vt:variant>
      <vt:variant>
        <vt:i4>5</vt:i4>
      </vt:variant>
      <vt:variant>
        <vt:lpwstr>http://intranet.worldbank.org/WBSITE/INTRANET/OPSMANUAL/0,,contentMDK:20064724~pagePK:60001255~piPK:60000911~theSitePK:210385,00.html</vt:lpwstr>
      </vt:variant>
      <vt:variant>
        <vt:lpwstr/>
      </vt:variant>
      <vt:variant>
        <vt:i4>5111876</vt:i4>
      </vt:variant>
      <vt:variant>
        <vt:i4>0</vt:i4>
      </vt:variant>
      <vt:variant>
        <vt:i4>0</vt:i4>
      </vt:variant>
      <vt:variant>
        <vt:i4>5</vt:i4>
      </vt:variant>
      <vt:variant>
        <vt:lpwstr>http://www.worldbank.org/environmentalassessment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 DOCUMENT (PID)</dc:title>
  <dc:creator>Alan Carroll</dc:creator>
  <cp:lastModifiedBy>Lina Janenaite</cp:lastModifiedBy>
  <cp:revision>3</cp:revision>
  <cp:lastPrinted>2014-02-28T20:24:00Z</cp:lastPrinted>
  <dcterms:created xsi:type="dcterms:W3CDTF">2014-02-28T17:04:00Z</dcterms:created>
  <dcterms:modified xsi:type="dcterms:W3CDTF">2014-02-28T20:28:00Z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No">
    <vt:lpwstr>AB1289</vt:lpwstr>
  </property>
  <property fmtid="{D5CDD505-2E9C-101B-9397-08002B2CF9AE}" pid="3" name="TEAMLEADER">
    <vt:lpwstr>Christoph Pusch</vt:lpwstr>
  </property>
</Properties>
</file>