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C6" w:rsidRDefault="00246EC6" w:rsidP="00246EC6">
      <w:pPr>
        <w:pStyle w:val="Formletterhead"/>
        <w:tabs>
          <w:tab w:val="clear" w:pos="5130"/>
          <w:tab w:val="clear" w:pos="7290"/>
          <w:tab w:val="left" w:pos="4320"/>
          <w:tab w:val="left" w:pos="7200"/>
        </w:tabs>
        <w:ind w:left="-720" w:right="-720"/>
        <w:rPr>
          <w:sz w:val="16"/>
        </w:rPr>
      </w:pPr>
      <w:r>
        <w:rPr>
          <w:b/>
          <w:sz w:val="22"/>
        </w:rPr>
        <w:t>The World Bank</w:t>
      </w:r>
      <w:r>
        <w:rPr>
          <w:b/>
          <w:sz w:val="22"/>
        </w:rPr>
        <w:tab/>
      </w:r>
      <w:smartTag w:uri="urn:schemas-microsoft-com:office:smarttags" w:element="address">
        <w:r>
          <w:rPr>
            <w:sz w:val="16"/>
          </w:rPr>
          <w:t>1818 H Street N.W.</w:t>
        </w:r>
      </w:smartTag>
      <w:r>
        <w:rPr>
          <w:sz w:val="16"/>
        </w:rPr>
        <w:tab/>
        <w:t>(202) 477-1234</w:t>
      </w:r>
    </w:p>
    <w:p w:rsidR="00246EC6" w:rsidRDefault="00246EC6" w:rsidP="00246EC6">
      <w:pPr>
        <w:pStyle w:val="Formletterhead"/>
        <w:tabs>
          <w:tab w:val="clear" w:pos="5130"/>
          <w:tab w:val="clear" w:pos="7290"/>
          <w:tab w:val="left" w:pos="4320"/>
          <w:tab w:val="left" w:pos="7200"/>
        </w:tabs>
        <w:ind w:left="-720" w:right="-720"/>
        <w:rPr>
          <w:sz w:val="16"/>
        </w:rPr>
      </w:pPr>
      <w:r>
        <w:rPr>
          <w:sz w:val="14"/>
        </w:rPr>
        <w:t>INTERNATIONAL BANK FOR RECONSTRUCTION AND DEVELOPMENT</w:t>
      </w:r>
      <w:r>
        <w:rPr>
          <w:sz w:val="16"/>
        </w:rPr>
        <w:tab/>
        <w:t>Washington, D.C.  20433</w:t>
      </w:r>
      <w:r>
        <w:rPr>
          <w:sz w:val="16"/>
        </w:rPr>
        <w:tab/>
        <w:t>Cable Address:  INTBAFRAD</w:t>
      </w:r>
    </w:p>
    <w:p w:rsidR="00246EC6" w:rsidRDefault="00246EC6" w:rsidP="00246EC6">
      <w:pPr>
        <w:pStyle w:val="Formletterhead"/>
        <w:tabs>
          <w:tab w:val="clear" w:pos="5130"/>
          <w:tab w:val="clear" w:pos="7290"/>
          <w:tab w:val="left" w:pos="4320"/>
          <w:tab w:val="left" w:pos="7200"/>
        </w:tabs>
        <w:ind w:left="-720" w:right="-720"/>
        <w:rPr>
          <w:sz w:val="16"/>
        </w:rPr>
      </w:pPr>
      <w:r>
        <w:rPr>
          <w:sz w:val="14"/>
        </w:rPr>
        <w:t>INTERNATIONAL DEVELOPMENT ASSOCIATION</w:t>
      </w:r>
      <w:r>
        <w:tab/>
      </w:r>
      <w:smartTag w:uri="urn:schemas-microsoft-com:office:smarttags" w:element="country-region">
        <w:smartTag w:uri="urn:schemas-microsoft-com:office:smarttags" w:element="place">
          <w:r>
            <w:rPr>
              <w:sz w:val="16"/>
            </w:rPr>
            <w:t>U.S.A.</w:t>
          </w:r>
        </w:smartTag>
      </w:smartTag>
      <w:r>
        <w:rPr>
          <w:sz w:val="16"/>
        </w:rPr>
        <w:tab/>
        <w:t>Cable Address:  INDEVAS</w:t>
      </w:r>
    </w:p>
    <w:p w:rsidR="004F7ED2" w:rsidRDefault="004F7ED2" w:rsidP="00BA5824">
      <w:pPr>
        <w:suppressAutoHyphens/>
        <w:spacing w:line="240" w:lineRule="auto"/>
        <w:jc w:val="right"/>
        <w:rPr>
          <w:spacing w:val="-3"/>
          <w:sz w:val="22"/>
          <w:szCs w:val="22"/>
        </w:rPr>
      </w:pPr>
    </w:p>
    <w:p w:rsidR="007C1562" w:rsidRDefault="007C1562" w:rsidP="00BA5824">
      <w:pPr>
        <w:suppressAutoHyphens/>
        <w:spacing w:line="240" w:lineRule="auto"/>
        <w:jc w:val="right"/>
        <w:rPr>
          <w:spacing w:val="-3"/>
          <w:sz w:val="22"/>
          <w:szCs w:val="22"/>
        </w:rPr>
      </w:pPr>
    </w:p>
    <w:p w:rsidR="00F85D36" w:rsidRPr="00DA328A" w:rsidRDefault="00DA328A" w:rsidP="00BA5824">
      <w:pPr>
        <w:suppressAutoHyphens/>
        <w:spacing w:line="240" w:lineRule="auto"/>
        <w:jc w:val="right"/>
        <w:rPr>
          <w:b/>
          <w:spacing w:val="-3"/>
          <w:sz w:val="22"/>
          <w:szCs w:val="22"/>
        </w:rPr>
      </w:pPr>
      <w:r w:rsidRPr="00DA328A">
        <w:rPr>
          <w:b/>
          <w:spacing w:val="-3"/>
          <w:sz w:val="22"/>
          <w:szCs w:val="22"/>
        </w:rPr>
        <w:t>CONFORMED COPY</w:t>
      </w:r>
    </w:p>
    <w:p w:rsidR="00F85D36" w:rsidRDefault="00F85D36" w:rsidP="00BA5824">
      <w:pPr>
        <w:suppressAutoHyphens/>
        <w:spacing w:line="240" w:lineRule="auto"/>
        <w:jc w:val="right"/>
        <w:rPr>
          <w:spacing w:val="-3"/>
          <w:sz w:val="22"/>
          <w:szCs w:val="22"/>
        </w:rPr>
      </w:pPr>
    </w:p>
    <w:p w:rsidR="005474A6" w:rsidRPr="000C7439" w:rsidRDefault="002461E1" w:rsidP="00BA5824">
      <w:pPr>
        <w:suppressAutoHyphens/>
        <w:spacing w:line="240" w:lineRule="auto"/>
        <w:jc w:val="right"/>
        <w:rPr>
          <w:spacing w:val="-3"/>
          <w:sz w:val="22"/>
          <w:szCs w:val="22"/>
        </w:rPr>
      </w:pPr>
      <w:r>
        <w:rPr>
          <w:spacing w:val="-3"/>
          <w:sz w:val="22"/>
          <w:szCs w:val="22"/>
        </w:rPr>
        <w:t>June</w:t>
      </w:r>
      <w:r w:rsidR="00833FCA">
        <w:rPr>
          <w:spacing w:val="-3"/>
          <w:sz w:val="22"/>
          <w:szCs w:val="22"/>
        </w:rPr>
        <w:t xml:space="preserve"> </w:t>
      </w:r>
      <w:r w:rsidR="00DA328A">
        <w:rPr>
          <w:spacing w:val="-3"/>
          <w:sz w:val="22"/>
          <w:szCs w:val="22"/>
        </w:rPr>
        <w:t>4</w:t>
      </w:r>
      <w:r w:rsidR="00833FCA">
        <w:rPr>
          <w:spacing w:val="-3"/>
          <w:sz w:val="22"/>
          <w:szCs w:val="22"/>
        </w:rPr>
        <w:t>, 2010</w:t>
      </w:r>
    </w:p>
    <w:p w:rsidR="00BA5824" w:rsidRDefault="00BA5824"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p>
    <w:p w:rsidR="00F85D36" w:rsidRDefault="00F85D36"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p>
    <w:p w:rsidR="00833FCA" w:rsidRDefault="00833FCA" w:rsidP="00833FCA">
      <w:pPr>
        <w:tabs>
          <w:tab w:val="left" w:pos="-1440"/>
          <w:tab w:val="left" w:pos="-720"/>
          <w:tab w:val="left" w:pos="2592"/>
          <w:tab w:val="left" w:pos="4896"/>
          <w:tab w:val="left" w:pos="7776"/>
        </w:tabs>
        <w:suppressAutoHyphens/>
        <w:spacing w:line="240" w:lineRule="auto"/>
        <w:ind w:right="144"/>
        <w:jc w:val="both"/>
        <w:rPr>
          <w:spacing w:val="-3"/>
          <w:sz w:val="22"/>
        </w:rPr>
      </w:pPr>
      <w:r>
        <w:rPr>
          <w:spacing w:val="-3"/>
          <w:sz w:val="22"/>
        </w:rPr>
        <w:t>Mr. Ridvan Bode</w:t>
      </w:r>
    </w:p>
    <w:p w:rsidR="00833FCA" w:rsidRDefault="00833FCA" w:rsidP="00833FCA">
      <w:pPr>
        <w:tabs>
          <w:tab w:val="left" w:pos="-1440"/>
          <w:tab w:val="left" w:pos="-720"/>
          <w:tab w:val="left" w:pos="2592"/>
          <w:tab w:val="left" w:pos="4896"/>
          <w:tab w:val="left" w:pos="7776"/>
        </w:tabs>
        <w:suppressAutoHyphens/>
        <w:spacing w:line="240" w:lineRule="auto"/>
        <w:ind w:right="144"/>
        <w:jc w:val="both"/>
        <w:rPr>
          <w:spacing w:val="-3"/>
          <w:sz w:val="22"/>
        </w:rPr>
      </w:pPr>
      <w:r>
        <w:rPr>
          <w:spacing w:val="-3"/>
          <w:sz w:val="22"/>
        </w:rPr>
        <w:t>Minister of Finance</w:t>
      </w:r>
    </w:p>
    <w:p w:rsidR="00833FCA" w:rsidRDefault="00833FCA" w:rsidP="00833FCA">
      <w:pPr>
        <w:tabs>
          <w:tab w:val="left" w:pos="-1440"/>
          <w:tab w:val="left" w:pos="-720"/>
          <w:tab w:val="left" w:pos="2592"/>
          <w:tab w:val="left" w:pos="4896"/>
          <w:tab w:val="left" w:pos="7776"/>
        </w:tabs>
        <w:suppressAutoHyphens/>
        <w:spacing w:line="240" w:lineRule="auto"/>
        <w:ind w:right="144"/>
        <w:jc w:val="both"/>
        <w:rPr>
          <w:spacing w:val="-3"/>
          <w:sz w:val="22"/>
        </w:rPr>
      </w:pPr>
      <w:r>
        <w:rPr>
          <w:spacing w:val="-3"/>
          <w:sz w:val="22"/>
        </w:rPr>
        <w:t>Ministry of Finance</w:t>
      </w:r>
    </w:p>
    <w:p w:rsidR="00833FCA" w:rsidRDefault="00833FCA" w:rsidP="00833FCA">
      <w:pPr>
        <w:tabs>
          <w:tab w:val="left" w:pos="-1440"/>
          <w:tab w:val="left" w:pos="-720"/>
          <w:tab w:val="left" w:pos="2592"/>
          <w:tab w:val="left" w:pos="4896"/>
          <w:tab w:val="left" w:pos="7776"/>
        </w:tabs>
        <w:suppressAutoHyphens/>
        <w:spacing w:line="240" w:lineRule="auto"/>
        <w:ind w:right="144"/>
        <w:jc w:val="both"/>
        <w:rPr>
          <w:spacing w:val="-3"/>
          <w:sz w:val="22"/>
          <w:szCs w:val="22"/>
        </w:rPr>
      </w:pPr>
      <w:r>
        <w:rPr>
          <w:spacing w:val="-3"/>
          <w:sz w:val="22"/>
          <w:szCs w:val="22"/>
        </w:rPr>
        <w:t>Deshmoret e Kombit</w:t>
      </w:r>
    </w:p>
    <w:p w:rsidR="00833FCA" w:rsidRDefault="00833FCA" w:rsidP="00833FCA">
      <w:pPr>
        <w:tabs>
          <w:tab w:val="left" w:pos="-1440"/>
          <w:tab w:val="left" w:pos="-720"/>
          <w:tab w:val="left" w:pos="2592"/>
          <w:tab w:val="left" w:pos="4896"/>
          <w:tab w:val="left" w:pos="7776"/>
        </w:tabs>
        <w:suppressAutoHyphens/>
        <w:spacing w:line="240" w:lineRule="auto"/>
        <w:ind w:right="144"/>
        <w:jc w:val="both"/>
        <w:rPr>
          <w:spacing w:val="-3"/>
          <w:sz w:val="22"/>
          <w:szCs w:val="22"/>
        </w:rPr>
      </w:pPr>
      <w:r>
        <w:rPr>
          <w:spacing w:val="-3"/>
          <w:sz w:val="22"/>
          <w:szCs w:val="22"/>
        </w:rPr>
        <w:t>No. 4, Tirana, Albania</w:t>
      </w:r>
    </w:p>
    <w:p w:rsidR="0002386A" w:rsidRPr="000C7439" w:rsidRDefault="0002386A"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p>
    <w:p w:rsidR="00246EC6" w:rsidRPr="000C7439" w:rsidRDefault="00246EC6" w:rsidP="0002386A">
      <w:pPr>
        <w:tabs>
          <w:tab w:val="left" w:pos="-1440"/>
          <w:tab w:val="left" w:pos="-720"/>
        </w:tabs>
        <w:suppressAutoHyphens/>
        <w:spacing w:line="240" w:lineRule="auto"/>
        <w:ind w:left="2160" w:right="144"/>
        <w:jc w:val="both"/>
        <w:rPr>
          <w:spacing w:val="-3"/>
          <w:sz w:val="22"/>
          <w:szCs w:val="22"/>
        </w:rPr>
      </w:pPr>
    </w:p>
    <w:p w:rsidR="0002386A" w:rsidRPr="009B76A7" w:rsidRDefault="0002386A" w:rsidP="00DA100F">
      <w:pPr>
        <w:tabs>
          <w:tab w:val="left" w:pos="-1440"/>
          <w:tab w:val="left" w:pos="-720"/>
        </w:tabs>
        <w:suppressAutoHyphens/>
        <w:spacing w:line="240" w:lineRule="auto"/>
        <w:ind w:left="2880" w:right="144" w:hanging="720"/>
        <w:jc w:val="both"/>
        <w:rPr>
          <w:spacing w:val="-3"/>
          <w:sz w:val="22"/>
          <w:szCs w:val="22"/>
        </w:rPr>
      </w:pPr>
      <w:r w:rsidRPr="009B76A7">
        <w:rPr>
          <w:spacing w:val="-3"/>
          <w:sz w:val="22"/>
          <w:szCs w:val="22"/>
        </w:rPr>
        <w:t>Re:</w:t>
      </w:r>
      <w:r w:rsidR="00B81A52" w:rsidRPr="009B76A7">
        <w:rPr>
          <w:spacing w:val="-3"/>
          <w:sz w:val="22"/>
          <w:szCs w:val="22"/>
        </w:rPr>
        <w:tab/>
      </w:r>
      <w:r w:rsidR="00833FCA">
        <w:rPr>
          <w:spacing w:val="-3"/>
          <w:sz w:val="22"/>
          <w:szCs w:val="22"/>
        </w:rPr>
        <w:t>Albania</w:t>
      </w:r>
      <w:r w:rsidR="004D6BED" w:rsidRPr="009B76A7">
        <w:rPr>
          <w:spacing w:val="-3"/>
          <w:sz w:val="22"/>
          <w:szCs w:val="22"/>
        </w:rPr>
        <w:t>:</w:t>
      </w:r>
      <w:r w:rsidR="004D6BED" w:rsidRPr="009B76A7">
        <w:rPr>
          <w:i/>
          <w:spacing w:val="-3"/>
          <w:sz w:val="22"/>
          <w:szCs w:val="22"/>
        </w:rPr>
        <w:t xml:space="preserve"> </w:t>
      </w:r>
      <w:r w:rsidR="002F1E21" w:rsidRPr="009B76A7">
        <w:rPr>
          <w:spacing w:val="-3"/>
          <w:sz w:val="22"/>
          <w:szCs w:val="22"/>
        </w:rPr>
        <w:t>Advance</w:t>
      </w:r>
      <w:r w:rsidR="004D6BED" w:rsidRPr="009B76A7">
        <w:rPr>
          <w:spacing w:val="-3"/>
          <w:sz w:val="22"/>
          <w:szCs w:val="22"/>
        </w:rPr>
        <w:t xml:space="preserve"> </w:t>
      </w:r>
      <w:r w:rsidR="00A97EAD" w:rsidRPr="009B76A7">
        <w:rPr>
          <w:spacing w:val="-3"/>
          <w:sz w:val="22"/>
          <w:szCs w:val="22"/>
        </w:rPr>
        <w:t xml:space="preserve">Agreement </w:t>
      </w:r>
      <w:r w:rsidR="004D6BED" w:rsidRPr="009B76A7">
        <w:rPr>
          <w:spacing w:val="-3"/>
          <w:sz w:val="22"/>
          <w:szCs w:val="22"/>
        </w:rPr>
        <w:t>for Preparation</w:t>
      </w:r>
      <w:r w:rsidR="00144D27" w:rsidRPr="009B76A7">
        <w:rPr>
          <w:spacing w:val="-3"/>
          <w:sz w:val="22"/>
          <w:szCs w:val="22"/>
        </w:rPr>
        <w:t xml:space="preserve"> </w:t>
      </w:r>
      <w:r w:rsidR="004D6BED" w:rsidRPr="009B76A7">
        <w:rPr>
          <w:spacing w:val="-3"/>
          <w:sz w:val="22"/>
          <w:szCs w:val="22"/>
        </w:rPr>
        <w:t xml:space="preserve">of </w:t>
      </w:r>
      <w:r w:rsidR="00076FA4" w:rsidRPr="009B76A7">
        <w:rPr>
          <w:spacing w:val="-3"/>
          <w:sz w:val="22"/>
          <w:szCs w:val="22"/>
        </w:rPr>
        <w:t xml:space="preserve">Proposed </w:t>
      </w:r>
      <w:r w:rsidR="00833FCA">
        <w:rPr>
          <w:spacing w:val="-3"/>
          <w:sz w:val="22"/>
          <w:szCs w:val="22"/>
        </w:rPr>
        <w:t>Water Resources and Irrigation Project</w:t>
      </w:r>
    </w:p>
    <w:p w:rsidR="004D6BED" w:rsidRPr="009B76A7" w:rsidRDefault="00AE34BA" w:rsidP="004D6BED">
      <w:pPr>
        <w:ind w:left="2160" w:firstLine="720"/>
        <w:rPr>
          <w:sz w:val="22"/>
        </w:rPr>
      </w:pPr>
      <w:r w:rsidRPr="009B76A7">
        <w:rPr>
          <w:spacing w:val="-3"/>
          <w:sz w:val="22"/>
          <w:szCs w:val="22"/>
        </w:rPr>
        <w:t>Project</w:t>
      </w:r>
      <w:r w:rsidR="00833FCA">
        <w:rPr>
          <w:spacing w:val="-3"/>
          <w:sz w:val="22"/>
          <w:szCs w:val="22"/>
        </w:rPr>
        <w:t xml:space="preserve"> </w:t>
      </w:r>
      <w:r w:rsidRPr="009B76A7">
        <w:rPr>
          <w:spacing w:val="-3"/>
          <w:sz w:val="22"/>
          <w:szCs w:val="22"/>
        </w:rPr>
        <w:t xml:space="preserve">Preparation Advance </w:t>
      </w:r>
      <w:r w:rsidR="004D6BED" w:rsidRPr="009B76A7">
        <w:rPr>
          <w:spacing w:val="-3"/>
          <w:sz w:val="22"/>
          <w:szCs w:val="22"/>
        </w:rPr>
        <w:t xml:space="preserve">No. </w:t>
      </w:r>
      <w:r w:rsidR="002461E1">
        <w:rPr>
          <w:spacing w:val="-3"/>
          <w:sz w:val="22"/>
          <w:szCs w:val="22"/>
        </w:rPr>
        <w:t>P4580</w:t>
      </w:r>
    </w:p>
    <w:p w:rsidR="0002386A" w:rsidRPr="000C7439" w:rsidRDefault="00F85D36"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r>
        <w:rPr>
          <w:spacing w:val="-3"/>
          <w:sz w:val="22"/>
          <w:szCs w:val="22"/>
        </w:rPr>
        <w:t>Excellency</w:t>
      </w:r>
      <w:r w:rsidR="0002386A" w:rsidRPr="000C7439">
        <w:rPr>
          <w:spacing w:val="-3"/>
          <w:sz w:val="22"/>
          <w:szCs w:val="22"/>
        </w:rPr>
        <w:t>:</w:t>
      </w:r>
    </w:p>
    <w:p w:rsidR="0002386A" w:rsidRPr="000C7439" w:rsidRDefault="0002386A"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p>
    <w:p w:rsidR="004D6BED" w:rsidRPr="00AE34BA" w:rsidRDefault="0002386A" w:rsidP="00AE34BA">
      <w:pPr>
        <w:tabs>
          <w:tab w:val="left" w:pos="-1440"/>
          <w:tab w:val="left" w:pos="-720"/>
        </w:tabs>
        <w:suppressAutoHyphens/>
        <w:spacing w:line="240" w:lineRule="auto"/>
        <w:ind w:right="144"/>
        <w:jc w:val="both"/>
        <w:rPr>
          <w:spacing w:val="-3"/>
          <w:sz w:val="22"/>
          <w:szCs w:val="22"/>
        </w:rPr>
      </w:pPr>
      <w:r w:rsidRPr="000C7439">
        <w:rPr>
          <w:spacing w:val="-3"/>
          <w:sz w:val="22"/>
          <w:szCs w:val="22"/>
        </w:rPr>
        <w:tab/>
      </w:r>
      <w:r w:rsidR="00EB09CC" w:rsidRPr="00537E9E">
        <w:rPr>
          <w:spacing w:val="-3"/>
          <w:sz w:val="22"/>
          <w:szCs w:val="22"/>
        </w:rPr>
        <w:t xml:space="preserve">In response to the request for financial assistance made </w:t>
      </w:r>
      <w:r w:rsidR="00AE34BA" w:rsidRPr="00537E9E">
        <w:rPr>
          <w:spacing w:val="-3"/>
          <w:sz w:val="22"/>
          <w:szCs w:val="22"/>
        </w:rPr>
        <w:t>on behalf of</w:t>
      </w:r>
      <w:r w:rsidR="00EB09CC" w:rsidRPr="00537E9E">
        <w:rPr>
          <w:spacing w:val="-3"/>
          <w:sz w:val="22"/>
          <w:szCs w:val="22"/>
        </w:rPr>
        <w:t xml:space="preserve"> </w:t>
      </w:r>
      <w:r w:rsidR="00833FCA">
        <w:rPr>
          <w:spacing w:val="-3"/>
          <w:sz w:val="22"/>
          <w:szCs w:val="22"/>
        </w:rPr>
        <w:t>the Republic of Albania</w:t>
      </w:r>
      <w:r w:rsidR="00C5615D">
        <w:rPr>
          <w:spacing w:val="-3"/>
          <w:sz w:val="22"/>
          <w:szCs w:val="22"/>
        </w:rPr>
        <w:t xml:space="preserve"> </w:t>
      </w:r>
      <w:r w:rsidR="00C5615D" w:rsidRPr="009B76A7">
        <w:rPr>
          <w:spacing w:val="-3"/>
          <w:sz w:val="22"/>
          <w:szCs w:val="22"/>
        </w:rPr>
        <w:t>(“Recipient”)</w:t>
      </w:r>
      <w:r w:rsidR="00EB09CC" w:rsidRPr="009B76A7">
        <w:rPr>
          <w:spacing w:val="-3"/>
          <w:sz w:val="22"/>
          <w:szCs w:val="22"/>
        </w:rPr>
        <w:t xml:space="preserve">, I am pleased to inform you that </w:t>
      </w:r>
      <w:r w:rsidR="004D6BED" w:rsidRPr="009B76A7">
        <w:rPr>
          <w:sz w:val="22"/>
        </w:rPr>
        <w:t xml:space="preserve">the </w:t>
      </w:r>
      <w:r w:rsidR="00C5615D" w:rsidRPr="009B76A7">
        <w:rPr>
          <w:sz w:val="22"/>
        </w:rPr>
        <w:t>International Bank for Reconstruction and Development (“World Bank”)</w:t>
      </w:r>
      <w:r w:rsidR="004D6BED" w:rsidRPr="009B76A7">
        <w:rPr>
          <w:sz w:val="22"/>
        </w:rPr>
        <w:t xml:space="preserve"> </w:t>
      </w:r>
      <w:r w:rsidR="00AE34BA" w:rsidRPr="009B76A7">
        <w:rPr>
          <w:sz w:val="22"/>
          <w:szCs w:val="22"/>
        </w:rPr>
        <w:t xml:space="preserve">proposes to extend to the Recipient </w:t>
      </w:r>
      <w:r w:rsidR="004D6BED" w:rsidRPr="009B76A7">
        <w:rPr>
          <w:sz w:val="22"/>
        </w:rPr>
        <w:t xml:space="preserve">an advance </w:t>
      </w:r>
      <w:r w:rsidR="00C5615D" w:rsidRPr="009B76A7">
        <w:rPr>
          <w:sz w:val="22"/>
        </w:rPr>
        <w:t xml:space="preserve">out of the World Bank’s Project Preparation Facility </w:t>
      </w:r>
      <w:r w:rsidR="004D6BED" w:rsidRPr="009B76A7">
        <w:rPr>
          <w:sz w:val="22"/>
        </w:rPr>
        <w:t xml:space="preserve">in an amount not </w:t>
      </w:r>
      <w:r w:rsidR="00AE34BA" w:rsidRPr="009B76A7">
        <w:rPr>
          <w:sz w:val="22"/>
        </w:rPr>
        <w:t xml:space="preserve">to exceed </w:t>
      </w:r>
      <w:r w:rsidR="00833FCA">
        <w:rPr>
          <w:sz w:val="22"/>
        </w:rPr>
        <w:t>one million United States</w:t>
      </w:r>
      <w:r w:rsidR="004D6BED" w:rsidRPr="009B76A7">
        <w:rPr>
          <w:sz w:val="22"/>
        </w:rPr>
        <w:t xml:space="preserve"> Dollars (</w:t>
      </w:r>
      <w:r w:rsidR="00833FCA">
        <w:rPr>
          <w:sz w:val="22"/>
        </w:rPr>
        <w:t>US</w:t>
      </w:r>
      <w:r w:rsidR="006A5F73" w:rsidRPr="009B76A7">
        <w:rPr>
          <w:sz w:val="22"/>
        </w:rPr>
        <w:t>$</w:t>
      </w:r>
      <w:r w:rsidR="004D6BED" w:rsidRPr="009B76A7">
        <w:rPr>
          <w:sz w:val="22"/>
        </w:rPr>
        <w:t xml:space="preserve"> </w:t>
      </w:r>
      <w:r w:rsidR="00833FCA">
        <w:rPr>
          <w:sz w:val="22"/>
        </w:rPr>
        <w:t>1,000,000</w:t>
      </w:r>
      <w:r w:rsidR="004D6BED" w:rsidRPr="009B76A7">
        <w:rPr>
          <w:sz w:val="22"/>
        </w:rPr>
        <w:t>) (“</w:t>
      </w:r>
      <w:r w:rsidR="00CC2F9F" w:rsidRPr="009B76A7">
        <w:rPr>
          <w:sz w:val="22"/>
        </w:rPr>
        <w:t>Advance”</w:t>
      </w:r>
      <w:r w:rsidR="004D6BED" w:rsidRPr="009B76A7">
        <w:rPr>
          <w:sz w:val="22"/>
        </w:rPr>
        <w:t>)</w:t>
      </w:r>
      <w:r w:rsidR="00AE34BA" w:rsidRPr="009B76A7">
        <w:rPr>
          <w:sz w:val="22"/>
        </w:rPr>
        <w:t xml:space="preserve"> </w:t>
      </w:r>
      <w:r w:rsidR="00AE34BA" w:rsidRPr="009B76A7">
        <w:rPr>
          <w:spacing w:val="-3"/>
          <w:sz w:val="22"/>
          <w:szCs w:val="22"/>
        </w:rPr>
        <w:t>on the terms and conditions set forth or referred to in this letter agreement</w:t>
      </w:r>
      <w:r w:rsidR="006A5F73" w:rsidRPr="009B76A7">
        <w:rPr>
          <w:spacing w:val="-3"/>
          <w:sz w:val="22"/>
          <w:szCs w:val="22"/>
        </w:rPr>
        <w:t xml:space="preserve"> (“Agreement”)</w:t>
      </w:r>
      <w:r w:rsidR="00AE34BA" w:rsidRPr="009B76A7">
        <w:rPr>
          <w:spacing w:val="-3"/>
          <w:sz w:val="22"/>
          <w:szCs w:val="22"/>
        </w:rPr>
        <w:t xml:space="preserve">, which includes the attached Annex, to assist in financing the </w:t>
      </w:r>
      <w:r w:rsidR="00CC2F9F" w:rsidRPr="009B76A7">
        <w:rPr>
          <w:spacing w:val="-3"/>
          <w:sz w:val="22"/>
          <w:szCs w:val="22"/>
        </w:rPr>
        <w:t>activit</w:t>
      </w:r>
      <w:r w:rsidR="005A5D4D" w:rsidRPr="009B76A7">
        <w:rPr>
          <w:spacing w:val="-3"/>
          <w:sz w:val="22"/>
          <w:szCs w:val="22"/>
        </w:rPr>
        <w:t>ies</w:t>
      </w:r>
      <w:r w:rsidR="00CC2F9F" w:rsidRPr="009B76A7">
        <w:rPr>
          <w:spacing w:val="-3"/>
          <w:sz w:val="22"/>
          <w:szCs w:val="22"/>
        </w:rPr>
        <w:t xml:space="preserve"> </w:t>
      </w:r>
      <w:r w:rsidR="00AE34BA" w:rsidRPr="009B76A7">
        <w:rPr>
          <w:spacing w:val="-3"/>
          <w:sz w:val="22"/>
          <w:szCs w:val="22"/>
        </w:rPr>
        <w:t>described in the Annex (“</w:t>
      </w:r>
      <w:r w:rsidR="00CC2F9F" w:rsidRPr="009B76A7">
        <w:rPr>
          <w:spacing w:val="-3"/>
          <w:sz w:val="22"/>
          <w:szCs w:val="22"/>
        </w:rPr>
        <w:t>Activit</w:t>
      </w:r>
      <w:r w:rsidR="005A5D4D" w:rsidRPr="009B76A7">
        <w:rPr>
          <w:spacing w:val="-3"/>
          <w:sz w:val="22"/>
          <w:szCs w:val="22"/>
        </w:rPr>
        <w:t>ies</w:t>
      </w:r>
      <w:r w:rsidR="00AE34BA" w:rsidRPr="009B76A7">
        <w:rPr>
          <w:spacing w:val="-3"/>
          <w:sz w:val="22"/>
          <w:szCs w:val="22"/>
        </w:rPr>
        <w:t>”)</w:t>
      </w:r>
      <w:r w:rsidR="004D6BED" w:rsidRPr="009B76A7">
        <w:rPr>
          <w:sz w:val="22"/>
        </w:rPr>
        <w:t>.</w:t>
      </w:r>
      <w:r w:rsidR="00A97EAD" w:rsidRPr="009B76A7">
        <w:rPr>
          <w:spacing w:val="-3"/>
          <w:sz w:val="22"/>
          <w:szCs w:val="22"/>
        </w:rPr>
        <w:t xml:space="preserve">  The objective of the </w:t>
      </w:r>
      <w:r w:rsidR="006A5F73" w:rsidRPr="009B76A7">
        <w:rPr>
          <w:spacing w:val="-3"/>
          <w:sz w:val="22"/>
          <w:szCs w:val="22"/>
        </w:rPr>
        <w:t>Activities</w:t>
      </w:r>
      <w:r w:rsidR="00A97EAD" w:rsidRPr="009B76A7">
        <w:rPr>
          <w:spacing w:val="-3"/>
          <w:sz w:val="22"/>
          <w:szCs w:val="22"/>
        </w:rPr>
        <w:t xml:space="preserve"> is to facilitate the preparation</w:t>
      </w:r>
      <w:r w:rsidR="005A5D4D" w:rsidRPr="009B76A7">
        <w:rPr>
          <w:spacing w:val="-3"/>
          <w:sz w:val="22"/>
          <w:szCs w:val="22"/>
        </w:rPr>
        <w:t xml:space="preserve"> </w:t>
      </w:r>
      <w:r w:rsidR="00A97EAD" w:rsidRPr="009B76A7">
        <w:rPr>
          <w:spacing w:val="-3"/>
          <w:sz w:val="22"/>
          <w:szCs w:val="22"/>
        </w:rPr>
        <w:t>of a proposed project</w:t>
      </w:r>
      <w:r w:rsidR="00833FCA">
        <w:rPr>
          <w:spacing w:val="-3"/>
          <w:sz w:val="22"/>
          <w:szCs w:val="22"/>
        </w:rPr>
        <w:t xml:space="preserve"> </w:t>
      </w:r>
      <w:r w:rsidR="00A97EAD" w:rsidRPr="009B76A7">
        <w:rPr>
          <w:spacing w:val="-3"/>
          <w:sz w:val="22"/>
          <w:szCs w:val="22"/>
        </w:rPr>
        <w:t xml:space="preserve">designed </w:t>
      </w:r>
      <w:r w:rsidR="00A97EAD" w:rsidRPr="00893231">
        <w:rPr>
          <w:spacing w:val="-3"/>
          <w:sz w:val="22"/>
          <w:szCs w:val="22"/>
        </w:rPr>
        <w:t xml:space="preserve">to </w:t>
      </w:r>
      <w:r w:rsidR="00833FCA" w:rsidRPr="006458B9">
        <w:rPr>
          <w:spacing w:val="-3"/>
          <w:sz w:val="22"/>
          <w:szCs w:val="22"/>
        </w:rPr>
        <w:t>increase the</w:t>
      </w:r>
      <w:r w:rsidR="00833FCA" w:rsidRPr="00893231">
        <w:rPr>
          <w:spacing w:val="-3"/>
          <w:sz w:val="22"/>
          <w:szCs w:val="22"/>
        </w:rPr>
        <w:t xml:space="preserve"> areas with improved irrigation and drainage, to improve the safety of dams, and to establish the institutional basis for improved integrated water resources management in two priority river basins in the Republic of Albania</w:t>
      </w:r>
      <w:r w:rsidR="00A97EAD" w:rsidRPr="009B76A7">
        <w:rPr>
          <w:sz w:val="22"/>
        </w:rPr>
        <w:t xml:space="preserve"> (“Project”)</w:t>
      </w:r>
      <w:r w:rsidR="00A97EAD">
        <w:rPr>
          <w:sz w:val="22"/>
        </w:rPr>
        <w:t xml:space="preserve">, </w:t>
      </w:r>
      <w:r w:rsidR="00A567BC">
        <w:rPr>
          <w:sz w:val="22"/>
        </w:rPr>
        <w:t>in support</w:t>
      </w:r>
      <w:r w:rsidR="00ED13FE">
        <w:rPr>
          <w:sz w:val="22"/>
        </w:rPr>
        <w:t xml:space="preserve"> of which the Recipient </w:t>
      </w:r>
      <w:r w:rsidR="00A97EAD">
        <w:rPr>
          <w:sz w:val="22"/>
        </w:rPr>
        <w:t>has requested the World Bank’s financial assistance</w:t>
      </w:r>
      <w:r w:rsidR="005A5D4D">
        <w:rPr>
          <w:sz w:val="22"/>
        </w:rPr>
        <w:t>.</w:t>
      </w:r>
      <w:r w:rsidR="00A97EAD">
        <w:rPr>
          <w:sz w:val="22"/>
        </w:rPr>
        <w:t xml:space="preserve">  </w:t>
      </w:r>
    </w:p>
    <w:p w:rsidR="004D6BED" w:rsidRDefault="004D6BED" w:rsidP="0002386A">
      <w:pPr>
        <w:tabs>
          <w:tab w:val="left" w:pos="-1440"/>
          <w:tab w:val="left" w:pos="-720"/>
        </w:tabs>
        <w:suppressAutoHyphens/>
        <w:spacing w:line="240" w:lineRule="auto"/>
        <w:ind w:right="144"/>
        <w:jc w:val="both"/>
        <w:rPr>
          <w:sz w:val="22"/>
        </w:rPr>
      </w:pPr>
    </w:p>
    <w:p w:rsidR="004D6BED" w:rsidRDefault="00AE34BA" w:rsidP="00F86E44">
      <w:pPr>
        <w:spacing w:line="240" w:lineRule="auto"/>
        <w:ind w:firstLine="720"/>
        <w:jc w:val="both"/>
        <w:rPr>
          <w:sz w:val="22"/>
        </w:rPr>
      </w:pPr>
      <w:r w:rsidRPr="000C7439">
        <w:rPr>
          <w:spacing w:val="-3"/>
          <w:sz w:val="22"/>
          <w:szCs w:val="22"/>
        </w:rPr>
        <w:t>The Recipient represents, by confirming its agreement below, that</w:t>
      </w:r>
      <w:r w:rsidR="00CC09FF">
        <w:rPr>
          <w:spacing w:val="-3"/>
          <w:sz w:val="22"/>
          <w:szCs w:val="22"/>
        </w:rPr>
        <w:t>:</w:t>
      </w:r>
      <w:r w:rsidRPr="000C7439">
        <w:rPr>
          <w:spacing w:val="-3"/>
          <w:sz w:val="22"/>
          <w:szCs w:val="22"/>
        </w:rPr>
        <w:t xml:space="preserve"> </w:t>
      </w:r>
      <w:r w:rsidR="00CC09FF">
        <w:rPr>
          <w:spacing w:val="-3"/>
          <w:sz w:val="22"/>
          <w:szCs w:val="22"/>
        </w:rPr>
        <w:t xml:space="preserve">(a) </w:t>
      </w:r>
      <w:r w:rsidRPr="000C7439">
        <w:rPr>
          <w:spacing w:val="-3"/>
          <w:sz w:val="22"/>
          <w:szCs w:val="22"/>
        </w:rPr>
        <w:t xml:space="preserve">it </w:t>
      </w:r>
      <w:r w:rsidR="00CC09FF">
        <w:rPr>
          <w:sz w:val="22"/>
          <w:szCs w:val="22"/>
        </w:rPr>
        <w:t>understands that t</w:t>
      </w:r>
      <w:r w:rsidR="00CC09FF">
        <w:rPr>
          <w:sz w:val="22"/>
        </w:rPr>
        <w:t xml:space="preserve">he provision of the Advance does not constitute or imply any commitment on the part of </w:t>
      </w:r>
      <w:r w:rsidR="00F86E44">
        <w:rPr>
          <w:sz w:val="22"/>
        </w:rPr>
        <w:t>IBRD or IDA</w:t>
      </w:r>
      <w:r w:rsidR="00CC09FF">
        <w:rPr>
          <w:sz w:val="22"/>
        </w:rPr>
        <w:t xml:space="preserve"> to assist in financing the Project</w:t>
      </w:r>
      <w:r w:rsidR="00F85D36">
        <w:rPr>
          <w:sz w:val="22"/>
        </w:rPr>
        <w:t>;</w:t>
      </w:r>
      <w:r w:rsidR="00CC09FF">
        <w:rPr>
          <w:sz w:val="22"/>
        </w:rPr>
        <w:t xml:space="preserve"> and (b) it </w:t>
      </w:r>
      <w:r w:rsidRPr="000C7439">
        <w:rPr>
          <w:spacing w:val="-3"/>
          <w:sz w:val="22"/>
          <w:szCs w:val="22"/>
        </w:rPr>
        <w:t>is authorized to enter into th</w:t>
      </w:r>
      <w:r>
        <w:rPr>
          <w:spacing w:val="-3"/>
          <w:sz w:val="22"/>
          <w:szCs w:val="22"/>
        </w:rPr>
        <w:t>is</w:t>
      </w:r>
      <w:r w:rsidRPr="000C7439">
        <w:rPr>
          <w:spacing w:val="-3"/>
          <w:sz w:val="22"/>
          <w:szCs w:val="22"/>
        </w:rPr>
        <w:t xml:space="preserve"> Agreement and to carry out the </w:t>
      </w:r>
      <w:r w:rsidR="006A5F73">
        <w:rPr>
          <w:spacing w:val="-3"/>
          <w:sz w:val="22"/>
          <w:szCs w:val="22"/>
        </w:rPr>
        <w:t>Activities</w:t>
      </w:r>
      <w:r w:rsidR="00F47859">
        <w:rPr>
          <w:spacing w:val="-3"/>
          <w:sz w:val="22"/>
          <w:szCs w:val="22"/>
        </w:rPr>
        <w:t>, repay the Advance</w:t>
      </w:r>
      <w:r w:rsidRPr="000C7439">
        <w:rPr>
          <w:spacing w:val="-3"/>
          <w:sz w:val="22"/>
          <w:szCs w:val="22"/>
        </w:rPr>
        <w:t xml:space="preserve"> </w:t>
      </w:r>
      <w:r w:rsidR="00F47859">
        <w:rPr>
          <w:spacing w:val="-3"/>
          <w:sz w:val="22"/>
          <w:szCs w:val="22"/>
        </w:rPr>
        <w:t xml:space="preserve">and perform its other obligations under this Agreement, all </w:t>
      </w:r>
      <w:r w:rsidRPr="000C7439">
        <w:rPr>
          <w:spacing w:val="-3"/>
          <w:sz w:val="22"/>
          <w:szCs w:val="22"/>
        </w:rPr>
        <w:t xml:space="preserve">in accordance with the </w:t>
      </w:r>
      <w:r w:rsidR="00F47859">
        <w:rPr>
          <w:spacing w:val="-3"/>
          <w:sz w:val="22"/>
          <w:szCs w:val="22"/>
        </w:rPr>
        <w:t xml:space="preserve">provisions of </w:t>
      </w:r>
      <w:r>
        <w:rPr>
          <w:spacing w:val="-3"/>
          <w:sz w:val="22"/>
          <w:szCs w:val="22"/>
        </w:rPr>
        <w:t>this Agreement</w:t>
      </w:r>
      <w:r w:rsidRPr="000C7439">
        <w:rPr>
          <w:spacing w:val="-3"/>
          <w:sz w:val="22"/>
          <w:szCs w:val="22"/>
        </w:rPr>
        <w:t>.</w:t>
      </w:r>
      <w:r w:rsidR="00CC09FF">
        <w:rPr>
          <w:spacing w:val="-3"/>
          <w:sz w:val="22"/>
          <w:szCs w:val="22"/>
        </w:rPr>
        <w:t xml:space="preserve">  </w:t>
      </w:r>
    </w:p>
    <w:p w:rsidR="00F85D36" w:rsidRDefault="00F85D36">
      <w:pPr>
        <w:spacing w:line="240" w:lineRule="auto"/>
        <w:rPr>
          <w:sz w:val="22"/>
        </w:rPr>
      </w:pPr>
      <w:r>
        <w:rPr>
          <w:sz w:val="22"/>
        </w:rPr>
        <w:br w:type="page"/>
      </w:r>
    </w:p>
    <w:p w:rsidR="004D6BED" w:rsidRDefault="004D6BED" w:rsidP="0002386A">
      <w:pPr>
        <w:tabs>
          <w:tab w:val="left" w:pos="-1440"/>
          <w:tab w:val="left" w:pos="-720"/>
        </w:tabs>
        <w:suppressAutoHyphens/>
        <w:spacing w:line="240" w:lineRule="auto"/>
        <w:ind w:right="144"/>
        <w:jc w:val="both"/>
        <w:rPr>
          <w:sz w:val="22"/>
        </w:rPr>
      </w:pPr>
    </w:p>
    <w:p w:rsidR="00144D27" w:rsidRDefault="0002386A" w:rsidP="00EA0313">
      <w:pPr>
        <w:tabs>
          <w:tab w:val="left" w:pos="-1440"/>
          <w:tab w:val="left" w:pos="-810"/>
          <w:tab w:val="left" w:pos="-720"/>
        </w:tabs>
        <w:suppressAutoHyphens/>
        <w:spacing w:line="240" w:lineRule="auto"/>
        <w:ind w:right="144"/>
        <w:jc w:val="both"/>
        <w:rPr>
          <w:iCs/>
          <w:color w:val="000000"/>
          <w:sz w:val="22"/>
          <w:szCs w:val="22"/>
        </w:rPr>
      </w:pPr>
      <w:r w:rsidRPr="000C7439">
        <w:rPr>
          <w:spacing w:val="-3"/>
          <w:sz w:val="22"/>
          <w:szCs w:val="22"/>
        </w:rPr>
        <w:tab/>
      </w:r>
      <w:r w:rsidRPr="000C7439">
        <w:rPr>
          <w:sz w:val="22"/>
          <w:szCs w:val="22"/>
        </w:rPr>
        <w:t xml:space="preserve">Please confirm the Recipient’s </w:t>
      </w:r>
      <w:r w:rsidR="009C48C9">
        <w:rPr>
          <w:sz w:val="22"/>
          <w:szCs w:val="22"/>
        </w:rPr>
        <w:t>agreement to the foregoing</w:t>
      </w:r>
      <w:r w:rsidRPr="000C7439">
        <w:rPr>
          <w:sz w:val="22"/>
          <w:szCs w:val="22"/>
        </w:rPr>
        <w:t xml:space="preserve"> by having an authorized official of the Recipient sign</w:t>
      </w:r>
      <w:r w:rsidR="00C40FF1" w:rsidRPr="000C7439">
        <w:rPr>
          <w:sz w:val="22"/>
          <w:szCs w:val="22"/>
        </w:rPr>
        <w:t xml:space="preserve"> and</w:t>
      </w:r>
      <w:r w:rsidRPr="000C7439">
        <w:rPr>
          <w:sz w:val="22"/>
          <w:szCs w:val="22"/>
        </w:rPr>
        <w:t xml:space="preserve"> date </w:t>
      </w:r>
      <w:r w:rsidR="00C40FF1" w:rsidRPr="000C7439">
        <w:rPr>
          <w:sz w:val="22"/>
          <w:szCs w:val="22"/>
        </w:rPr>
        <w:t xml:space="preserve">the enclosed </w:t>
      </w:r>
      <w:r w:rsidR="00246EC6" w:rsidRPr="000C7439">
        <w:rPr>
          <w:sz w:val="22"/>
          <w:szCs w:val="22"/>
        </w:rPr>
        <w:t>copy</w:t>
      </w:r>
      <w:r w:rsidR="00C40FF1" w:rsidRPr="000C7439">
        <w:rPr>
          <w:sz w:val="22"/>
          <w:szCs w:val="22"/>
        </w:rPr>
        <w:t xml:space="preserve"> of </w:t>
      </w:r>
      <w:r w:rsidR="000C7439">
        <w:rPr>
          <w:sz w:val="22"/>
          <w:szCs w:val="22"/>
        </w:rPr>
        <w:t>this Agreement</w:t>
      </w:r>
      <w:r w:rsidR="00C40FF1" w:rsidRPr="000C7439">
        <w:rPr>
          <w:sz w:val="22"/>
          <w:szCs w:val="22"/>
        </w:rPr>
        <w:t xml:space="preserve">, </w:t>
      </w:r>
      <w:r w:rsidRPr="000C7439">
        <w:rPr>
          <w:sz w:val="22"/>
          <w:szCs w:val="22"/>
        </w:rPr>
        <w:t>and return</w:t>
      </w:r>
      <w:r w:rsidR="00C40FF1" w:rsidRPr="000C7439">
        <w:rPr>
          <w:sz w:val="22"/>
          <w:szCs w:val="22"/>
        </w:rPr>
        <w:t>ing</w:t>
      </w:r>
      <w:r w:rsidRPr="000C7439">
        <w:rPr>
          <w:sz w:val="22"/>
          <w:szCs w:val="22"/>
        </w:rPr>
        <w:t xml:space="preserve"> </w:t>
      </w:r>
      <w:r w:rsidR="00C40FF1" w:rsidRPr="000C7439">
        <w:rPr>
          <w:sz w:val="22"/>
          <w:szCs w:val="22"/>
        </w:rPr>
        <w:t xml:space="preserve">it </w:t>
      </w:r>
      <w:r w:rsidRPr="000C7439">
        <w:rPr>
          <w:sz w:val="22"/>
          <w:szCs w:val="22"/>
        </w:rPr>
        <w:t xml:space="preserve">to the </w:t>
      </w:r>
      <w:r w:rsidR="00F86E44">
        <w:rPr>
          <w:sz w:val="22"/>
          <w:szCs w:val="22"/>
        </w:rPr>
        <w:t>World Bank</w:t>
      </w:r>
      <w:r w:rsidRPr="000C7439">
        <w:rPr>
          <w:sz w:val="22"/>
          <w:szCs w:val="22"/>
        </w:rPr>
        <w:t xml:space="preserve">.  Upon receipt by the </w:t>
      </w:r>
      <w:r w:rsidR="00F86E44">
        <w:rPr>
          <w:sz w:val="22"/>
          <w:szCs w:val="22"/>
        </w:rPr>
        <w:t>World Bank</w:t>
      </w:r>
      <w:r w:rsidRPr="000C7439">
        <w:rPr>
          <w:sz w:val="22"/>
          <w:szCs w:val="22"/>
        </w:rPr>
        <w:t xml:space="preserve"> of </w:t>
      </w:r>
      <w:r w:rsidR="004162DF" w:rsidRPr="000C7439">
        <w:rPr>
          <w:sz w:val="22"/>
          <w:szCs w:val="22"/>
        </w:rPr>
        <w:t xml:space="preserve">this </w:t>
      </w:r>
      <w:r w:rsidRPr="000C7439">
        <w:rPr>
          <w:sz w:val="22"/>
          <w:szCs w:val="22"/>
        </w:rPr>
        <w:t>countersigned copy</w:t>
      </w:r>
      <w:r w:rsidR="004162DF" w:rsidRPr="000C7439">
        <w:rPr>
          <w:sz w:val="22"/>
          <w:szCs w:val="22"/>
        </w:rPr>
        <w:t>,</w:t>
      </w:r>
      <w:r w:rsidRPr="000C7439">
        <w:rPr>
          <w:sz w:val="22"/>
          <w:szCs w:val="22"/>
        </w:rPr>
        <w:t xml:space="preserve"> th</w:t>
      </w:r>
      <w:r w:rsidR="000C7439">
        <w:rPr>
          <w:sz w:val="22"/>
          <w:szCs w:val="22"/>
        </w:rPr>
        <w:t>is Agreement</w:t>
      </w:r>
      <w:r w:rsidRPr="000C7439">
        <w:rPr>
          <w:sz w:val="22"/>
          <w:szCs w:val="22"/>
        </w:rPr>
        <w:t xml:space="preserve"> </w:t>
      </w:r>
      <w:r w:rsidR="009C48C9">
        <w:rPr>
          <w:sz w:val="22"/>
          <w:szCs w:val="22"/>
        </w:rPr>
        <w:t>shall</w:t>
      </w:r>
      <w:r w:rsidRPr="000C7439">
        <w:rPr>
          <w:sz w:val="22"/>
          <w:szCs w:val="22"/>
        </w:rPr>
        <w:t xml:space="preserve"> become effective as of</w:t>
      </w:r>
      <w:r w:rsidR="00EA0313">
        <w:rPr>
          <w:sz w:val="22"/>
          <w:szCs w:val="22"/>
        </w:rPr>
        <w:t xml:space="preserve"> </w:t>
      </w:r>
      <w:r w:rsidRPr="000C7439">
        <w:rPr>
          <w:sz w:val="22"/>
          <w:szCs w:val="22"/>
        </w:rPr>
        <w:t xml:space="preserve">the date of </w:t>
      </w:r>
      <w:r w:rsidR="00C40FF1" w:rsidRPr="000C7439">
        <w:rPr>
          <w:sz w:val="22"/>
          <w:szCs w:val="22"/>
        </w:rPr>
        <w:t xml:space="preserve">the </w:t>
      </w:r>
      <w:r w:rsidRPr="009C48C9">
        <w:rPr>
          <w:sz w:val="22"/>
          <w:szCs w:val="22"/>
        </w:rPr>
        <w:t>countersignature</w:t>
      </w:r>
      <w:r w:rsidR="00144D27" w:rsidRPr="009C48C9">
        <w:rPr>
          <w:sz w:val="22"/>
          <w:szCs w:val="22"/>
        </w:rPr>
        <w:t>; provided, however, that</w:t>
      </w:r>
      <w:r w:rsidR="00144D27" w:rsidRPr="009C48C9">
        <w:rPr>
          <w:rFonts w:ascii="Helv" w:hAnsi="Helv" w:cs="Helv"/>
          <w:i/>
          <w:iCs/>
          <w:color w:val="000000"/>
          <w:sz w:val="22"/>
          <w:szCs w:val="22"/>
        </w:rPr>
        <w:t xml:space="preserve"> </w:t>
      </w:r>
      <w:r w:rsidR="00144D27" w:rsidRPr="009C48C9">
        <w:rPr>
          <w:iCs/>
          <w:color w:val="000000"/>
          <w:sz w:val="22"/>
          <w:szCs w:val="22"/>
        </w:rPr>
        <w:t xml:space="preserve">the offer of this Agreement shall be deemed withdrawn if the </w:t>
      </w:r>
      <w:r w:rsidR="00F86E44">
        <w:rPr>
          <w:iCs/>
          <w:color w:val="000000"/>
          <w:sz w:val="22"/>
          <w:szCs w:val="22"/>
        </w:rPr>
        <w:t>World Bank</w:t>
      </w:r>
      <w:r w:rsidR="00144D27" w:rsidRPr="009C48C9">
        <w:rPr>
          <w:iCs/>
          <w:color w:val="000000"/>
          <w:sz w:val="22"/>
          <w:szCs w:val="22"/>
        </w:rPr>
        <w:t xml:space="preserve"> has not received </w:t>
      </w:r>
      <w:r w:rsidR="00144D27">
        <w:rPr>
          <w:iCs/>
          <w:color w:val="000000"/>
          <w:sz w:val="22"/>
          <w:szCs w:val="22"/>
        </w:rPr>
        <w:t xml:space="preserve">this </w:t>
      </w:r>
      <w:r w:rsidR="00144D27" w:rsidRPr="009C48C9">
        <w:rPr>
          <w:iCs/>
          <w:color w:val="000000"/>
          <w:sz w:val="22"/>
          <w:szCs w:val="22"/>
        </w:rPr>
        <w:t xml:space="preserve">countersigned copy within </w:t>
      </w:r>
      <w:r w:rsidR="00090A68">
        <w:rPr>
          <w:iCs/>
          <w:color w:val="000000"/>
          <w:sz w:val="22"/>
          <w:szCs w:val="22"/>
        </w:rPr>
        <w:t>90</w:t>
      </w:r>
      <w:r w:rsidR="00144D27" w:rsidRPr="009C48C9">
        <w:rPr>
          <w:iCs/>
          <w:color w:val="000000"/>
          <w:sz w:val="22"/>
          <w:szCs w:val="22"/>
        </w:rPr>
        <w:t xml:space="preserve"> days after the date of signature of this Agreement, unless the </w:t>
      </w:r>
      <w:r w:rsidR="00F86E44">
        <w:rPr>
          <w:iCs/>
          <w:color w:val="000000"/>
          <w:sz w:val="22"/>
          <w:szCs w:val="22"/>
        </w:rPr>
        <w:t>World Bank</w:t>
      </w:r>
      <w:r w:rsidR="00144D27" w:rsidRPr="009C48C9">
        <w:rPr>
          <w:iCs/>
          <w:color w:val="000000"/>
          <w:sz w:val="22"/>
          <w:szCs w:val="22"/>
        </w:rPr>
        <w:t xml:space="preserve"> </w:t>
      </w:r>
      <w:r w:rsidR="00144D27">
        <w:rPr>
          <w:iCs/>
          <w:color w:val="000000"/>
          <w:sz w:val="22"/>
          <w:szCs w:val="22"/>
        </w:rPr>
        <w:t xml:space="preserve">has </w:t>
      </w:r>
      <w:r w:rsidR="00144D27" w:rsidRPr="009C48C9">
        <w:rPr>
          <w:iCs/>
          <w:color w:val="000000"/>
          <w:sz w:val="22"/>
          <w:szCs w:val="22"/>
        </w:rPr>
        <w:t>established a later date for such purpose.</w:t>
      </w:r>
    </w:p>
    <w:p w:rsidR="00144D27" w:rsidRDefault="00144D27" w:rsidP="00EA0313">
      <w:pPr>
        <w:tabs>
          <w:tab w:val="left" w:pos="-1440"/>
          <w:tab w:val="left" w:pos="-810"/>
          <w:tab w:val="left" w:pos="-720"/>
        </w:tabs>
        <w:suppressAutoHyphens/>
        <w:spacing w:line="240" w:lineRule="auto"/>
        <w:ind w:right="144"/>
        <w:jc w:val="both"/>
        <w:rPr>
          <w:iCs/>
          <w:color w:val="000000"/>
          <w:sz w:val="22"/>
          <w:szCs w:val="22"/>
        </w:rPr>
      </w:pPr>
    </w:p>
    <w:p w:rsidR="00F85D36" w:rsidRDefault="00F85D36" w:rsidP="00EA0313">
      <w:pPr>
        <w:tabs>
          <w:tab w:val="left" w:pos="-1440"/>
          <w:tab w:val="left" w:pos="-810"/>
          <w:tab w:val="left" w:pos="-720"/>
        </w:tabs>
        <w:suppressAutoHyphens/>
        <w:spacing w:line="240" w:lineRule="auto"/>
        <w:ind w:right="144"/>
        <w:jc w:val="both"/>
        <w:rPr>
          <w:iCs/>
          <w:color w:val="000000"/>
          <w:sz w:val="22"/>
          <w:szCs w:val="22"/>
        </w:rPr>
      </w:pPr>
    </w:p>
    <w:p w:rsidR="0002386A" w:rsidRDefault="0002386A" w:rsidP="0002386A">
      <w:pPr>
        <w:tabs>
          <w:tab w:val="center" w:pos="4392"/>
        </w:tabs>
        <w:suppressAutoHyphens/>
        <w:spacing w:line="240" w:lineRule="auto"/>
        <w:ind w:right="144"/>
        <w:jc w:val="center"/>
        <w:rPr>
          <w:spacing w:val="-3"/>
          <w:sz w:val="22"/>
          <w:szCs w:val="22"/>
        </w:rPr>
      </w:pPr>
      <w:r w:rsidRPr="000C7439">
        <w:rPr>
          <w:spacing w:val="-3"/>
          <w:sz w:val="22"/>
          <w:szCs w:val="22"/>
        </w:rPr>
        <w:t>Very truly yours,</w:t>
      </w:r>
    </w:p>
    <w:p w:rsidR="00F85D36" w:rsidRPr="000C7439" w:rsidRDefault="00F85D36" w:rsidP="0002386A">
      <w:pPr>
        <w:tabs>
          <w:tab w:val="center" w:pos="4392"/>
        </w:tabs>
        <w:suppressAutoHyphens/>
        <w:spacing w:line="240" w:lineRule="auto"/>
        <w:ind w:right="144"/>
        <w:jc w:val="center"/>
        <w:rPr>
          <w:spacing w:val="-3"/>
          <w:sz w:val="22"/>
          <w:szCs w:val="22"/>
        </w:rPr>
      </w:pPr>
    </w:p>
    <w:p w:rsidR="00F85D36" w:rsidRPr="00F85D36" w:rsidRDefault="00F86E44" w:rsidP="006E0128">
      <w:pPr>
        <w:tabs>
          <w:tab w:val="center" w:pos="4392"/>
        </w:tabs>
        <w:suppressAutoHyphens/>
        <w:spacing w:line="240" w:lineRule="auto"/>
        <w:ind w:right="144"/>
        <w:jc w:val="center"/>
        <w:rPr>
          <w:b/>
          <w:spacing w:val="-3"/>
          <w:sz w:val="22"/>
          <w:szCs w:val="22"/>
        </w:rPr>
      </w:pPr>
      <w:r w:rsidRPr="00F85D36">
        <w:rPr>
          <w:b/>
          <w:spacing w:val="-3"/>
          <w:sz w:val="22"/>
          <w:szCs w:val="22"/>
        </w:rPr>
        <w:t>INTERNATIONAL BANK FOR</w:t>
      </w:r>
    </w:p>
    <w:p w:rsidR="0002386A" w:rsidRPr="00F85D36" w:rsidRDefault="00F86E44" w:rsidP="006E0128">
      <w:pPr>
        <w:tabs>
          <w:tab w:val="center" w:pos="4392"/>
        </w:tabs>
        <w:suppressAutoHyphens/>
        <w:spacing w:line="240" w:lineRule="auto"/>
        <w:ind w:right="144"/>
        <w:jc w:val="center"/>
        <w:rPr>
          <w:b/>
          <w:spacing w:val="-3"/>
          <w:sz w:val="22"/>
          <w:szCs w:val="22"/>
        </w:rPr>
      </w:pPr>
      <w:r w:rsidRPr="00F85D36">
        <w:rPr>
          <w:b/>
          <w:spacing w:val="-3"/>
          <w:sz w:val="22"/>
          <w:szCs w:val="22"/>
        </w:rPr>
        <w:t xml:space="preserve"> RECONSTRUCTION AND DEVELOPMENT</w:t>
      </w:r>
    </w:p>
    <w:p w:rsidR="006E0128" w:rsidRPr="00F85D36" w:rsidRDefault="006E0128" w:rsidP="006E0128">
      <w:pPr>
        <w:tabs>
          <w:tab w:val="center" w:pos="4392"/>
        </w:tabs>
        <w:suppressAutoHyphens/>
        <w:spacing w:line="240" w:lineRule="auto"/>
        <w:ind w:right="144"/>
        <w:jc w:val="center"/>
        <w:rPr>
          <w:b/>
          <w:spacing w:val="-3"/>
          <w:sz w:val="22"/>
          <w:szCs w:val="22"/>
        </w:rPr>
      </w:pPr>
    </w:p>
    <w:p w:rsidR="00D844EE" w:rsidRDefault="00D844EE" w:rsidP="006E0128">
      <w:pPr>
        <w:tabs>
          <w:tab w:val="center" w:pos="4392"/>
        </w:tabs>
        <w:suppressAutoHyphens/>
        <w:spacing w:line="240" w:lineRule="auto"/>
        <w:ind w:right="144"/>
        <w:jc w:val="center"/>
        <w:rPr>
          <w:spacing w:val="-3"/>
          <w:sz w:val="22"/>
          <w:szCs w:val="22"/>
        </w:rPr>
      </w:pPr>
    </w:p>
    <w:p w:rsidR="00D844EE" w:rsidRDefault="00D844EE" w:rsidP="006E0128">
      <w:pPr>
        <w:tabs>
          <w:tab w:val="center" w:pos="4392"/>
        </w:tabs>
        <w:suppressAutoHyphens/>
        <w:spacing w:line="240" w:lineRule="auto"/>
        <w:ind w:right="144"/>
        <w:jc w:val="center"/>
        <w:rPr>
          <w:spacing w:val="-3"/>
          <w:sz w:val="22"/>
          <w:szCs w:val="22"/>
        </w:rPr>
      </w:pPr>
    </w:p>
    <w:p w:rsidR="00D844EE" w:rsidRPr="000C7439" w:rsidRDefault="00F85D36" w:rsidP="006E0128">
      <w:pPr>
        <w:tabs>
          <w:tab w:val="center" w:pos="4392"/>
        </w:tabs>
        <w:suppressAutoHyphens/>
        <w:spacing w:line="240" w:lineRule="auto"/>
        <w:ind w:right="144"/>
        <w:jc w:val="center"/>
        <w:rPr>
          <w:spacing w:val="-3"/>
          <w:sz w:val="22"/>
          <w:szCs w:val="22"/>
        </w:rPr>
      </w:pPr>
      <w:r>
        <w:rPr>
          <w:spacing w:val="-3"/>
          <w:sz w:val="22"/>
          <w:szCs w:val="22"/>
        </w:rPr>
        <w:t xml:space="preserve">By </w:t>
      </w:r>
      <w:r w:rsidR="00DA328A">
        <w:rPr>
          <w:spacing w:val="-3"/>
          <w:sz w:val="22"/>
          <w:szCs w:val="22"/>
        </w:rPr>
        <w:t>/s/ Jane Armitage</w:t>
      </w:r>
    </w:p>
    <w:p w:rsidR="00090A68" w:rsidRDefault="00090A68" w:rsidP="00090A68">
      <w:pPr>
        <w:pStyle w:val="NoSpacing"/>
        <w:jc w:val="center"/>
        <w:rPr>
          <w:spacing w:val="-3"/>
          <w:sz w:val="22"/>
          <w:szCs w:val="22"/>
        </w:rPr>
      </w:pPr>
      <w:r w:rsidRPr="00D73AB4">
        <w:rPr>
          <w:spacing w:val="-3"/>
          <w:sz w:val="22"/>
          <w:szCs w:val="22"/>
        </w:rPr>
        <w:t>Coun</w:t>
      </w:r>
      <w:r>
        <w:rPr>
          <w:spacing w:val="-3"/>
          <w:sz w:val="22"/>
          <w:szCs w:val="22"/>
        </w:rPr>
        <w:t xml:space="preserve">try </w:t>
      </w:r>
      <w:r w:rsidR="00DA328A">
        <w:rPr>
          <w:spacing w:val="-3"/>
          <w:sz w:val="22"/>
          <w:szCs w:val="22"/>
        </w:rPr>
        <w:t>Director and Regional Coordinator</w:t>
      </w:r>
    </w:p>
    <w:p w:rsidR="00090A68" w:rsidRDefault="00841B2F" w:rsidP="00090A68">
      <w:pPr>
        <w:pStyle w:val="NoSpacing"/>
        <w:jc w:val="center"/>
        <w:rPr>
          <w:spacing w:val="-3"/>
          <w:sz w:val="22"/>
          <w:szCs w:val="22"/>
        </w:rPr>
      </w:pPr>
      <w:r>
        <w:rPr>
          <w:spacing w:val="-3"/>
          <w:sz w:val="22"/>
          <w:szCs w:val="22"/>
        </w:rPr>
        <w:t>f</w:t>
      </w:r>
      <w:r w:rsidR="00DA328A">
        <w:rPr>
          <w:spacing w:val="-3"/>
          <w:sz w:val="22"/>
          <w:szCs w:val="22"/>
        </w:rPr>
        <w:t>or Southeast Europe</w:t>
      </w:r>
    </w:p>
    <w:p w:rsidR="00893231" w:rsidRDefault="00893231" w:rsidP="00090A68">
      <w:pPr>
        <w:pStyle w:val="NoSpacing"/>
        <w:jc w:val="center"/>
        <w:rPr>
          <w:spacing w:val="-3"/>
          <w:sz w:val="22"/>
          <w:szCs w:val="22"/>
        </w:rPr>
      </w:pPr>
      <w:r>
        <w:rPr>
          <w:spacing w:val="-3"/>
          <w:sz w:val="22"/>
          <w:szCs w:val="22"/>
        </w:rPr>
        <w:t>Europe and Central Asia Region</w:t>
      </w:r>
    </w:p>
    <w:p w:rsidR="00893231" w:rsidRDefault="00893231" w:rsidP="00090A68">
      <w:pPr>
        <w:pStyle w:val="NoSpacing"/>
        <w:jc w:val="center"/>
        <w:rPr>
          <w:spacing w:val="-3"/>
          <w:sz w:val="22"/>
          <w:szCs w:val="22"/>
        </w:rPr>
      </w:pPr>
    </w:p>
    <w:p w:rsidR="00893231" w:rsidRPr="00D73AB4" w:rsidRDefault="00893231" w:rsidP="00090A68">
      <w:pPr>
        <w:pStyle w:val="NoSpacing"/>
        <w:jc w:val="center"/>
        <w:rPr>
          <w:spacing w:val="-3"/>
          <w:sz w:val="22"/>
          <w:szCs w:val="22"/>
        </w:rPr>
      </w:pPr>
    </w:p>
    <w:p w:rsidR="00C40FF1" w:rsidRPr="009B76A7" w:rsidRDefault="00C40FF1"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9B76A7">
        <w:rPr>
          <w:spacing w:val="-3"/>
          <w:sz w:val="22"/>
          <w:szCs w:val="22"/>
        </w:rPr>
        <w:t>AGREED:</w:t>
      </w:r>
    </w:p>
    <w:p w:rsidR="00C40FF1" w:rsidRPr="00F85D36" w:rsidRDefault="00090A68" w:rsidP="00C40FF1">
      <w:pPr>
        <w:tabs>
          <w:tab w:val="left" w:pos="-1440"/>
          <w:tab w:val="left" w:pos="-720"/>
          <w:tab w:val="left" w:pos="1152"/>
          <w:tab w:val="left" w:pos="2592"/>
          <w:tab w:val="left" w:pos="4896"/>
          <w:tab w:val="left" w:pos="7776"/>
        </w:tabs>
        <w:suppressAutoHyphens/>
        <w:spacing w:line="240" w:lineRule="auto"/>
        <w:ind w:right="144"/>
        <w:jc w:val="both"/>
        <w:rPr>
          <w:b/>
          <w:spacing w:val="-3"/>
          <w:sz w:val="22"/>
          <w:szCs w:val="22"/>
        </w:rPr>
      </w:pPr>
      <w:r w:rsidRPr="00F85D36">
        <w:rPr>
          <w:b/>
          <w:spacing w:val="-3"/>
          <w:sz w:val="22"/>
          <w:szCs w:val="22"/>
        </w:rPr>
        <w:t>REPUBLIC OF ALBANIA</w:t>
      </w:r>
    </w:p>
    <w:p w:rsidR="00C40FF1" w:rsidRDefault="00C40FF1"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090A68" w:rsidRPr="009B76A7" w:rsidRDefault="00090A68"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090A68" w:rsidRDefault="00C40FF1" w:rsidP="00DA328A">
      <w:pPr>
        <w:tabs>
          <w:tab w:val="left" w:pos="-1440"/>
          <w:tab w:val="left" w:pos="-720"/>
          <w:tab w:val="left" w:pos="1152"/>
          <w:tab w:val="left" w:pos="2592"/>
          <w:tab w:val="left" w:pos="4896"/>
          <w:tab w:val="left" w:pos="7776"/>
        </w:tabs>
        <w:suppressAutoHyphens/>
        <w:spacing w:line="240" w:lineRule="auto"/>
        <w:ind w:right="144"/>
        <w:jc w:val="both"/>
        <w:rPr>
          <w:spacing w:val="-3"/>
          <w:sz w:val="22"/>
        </w:rPr>
      </w:pPr>
      <w:r w:rsidRPr="000C7439">
        <w:rPr>
          <w:spacing w:val="-3"/>
          <w:sz w:val="22"/>
          <w:szCs w:val="22"/>
        </w:rPr>
        <w:t>By</w:t>
      </w:r>
      <w:r w:rsidR="00DA328A">
        <w:rPr>
          <w:spacing w:val="-3"/>
          <w:sz w:val="22"/>
          <w:szCs w:val="22"/>
        </w:rPr>
        <w:t xml:space="preserve"> /s/ </w:t>
      </w:r>
      <w:proofErr w:type="spellStart"/>
      <w:r w:rsidR="00090A68">
        <w:rPr>
          <w:spacing w:val="-3"/>
          <w:sz w:val="22"/>
        </w:rPr>
        <w:t>Ridvan</w:t>
      </w:r>
      <w:proofErr w:type="spellEnd"/>
      <w:r w:rsidR="00090A68">
        <w:rPr>
          <w:spacing w:val="-3"/>
          <w:sz w:val="22"/>
        </w:rPr>
        <w:t xml:space="preserve"> Bode</w:t>
      </w:r>
    </w:p>
    <w:p w:rsidR="00090A68" w:rsidRDefault="00090A68" w:rsidP="00F85D36">
      <w:pPr>
        <w:tabs>
          <w:tab w:val="left" w:pos="-1440"/>
          <w:tab w:val="left" w:pos="-720"/>
          <w:tab w:val="left" w:pos="450"/>
          <w:tab w:val="left" w:pos="2592"/>
          <w:tab w:val="left" w:pos="4896"/>
          <w:tab w:val="left" w:pos="7776"/>
        </w:tabs>
        <w:suppressAutoHyphens/>
        <w:spacing w:line="240" w:lineRule="auto"/>
        <w:ind w:right="144"/>
        <w:jc w:val="both"/>
        <w:rPr>
          <w:spacing w:val="-3"/>
          <w:sz w:val="22"/>
        </w:rPr>
      </w:pPr>
      <w:r>
        <w:rPr>
          <w:spacing w:val="-3"/>
          <w:sz w:val="22"/>
        </w:rPr>
        <w:t>Minister of Finance</w:t>
      </w:r>
    </w:p>
    <w:p w:rsidR="00090A68" w:rsidRDefault="00090A68" w:rsidP="00090A68">
      <w:pPr>
        <w:tabs>
          <w:tab w:val="left" w:pos="-1440"/>
          <w:tab w:val="left" w:pos="-720"/>
          <w:tab w:val="left" w:pos="2592"/>
          <w:tab w:val="left" w:pos="4896"/>
          <w:tab w:val="left" w:pos="7776"/>
        </w:tabs>
        <w:suppressAutoHyphens/>
        <w:spacing w:line="240" w:lineRule="auto"/>
        <w:ind w:right="144"/>
        <w:jc w:val="both"/>
        <w:rPr>
          <w:spacing w:val="-3"/>
          <w:sz w:val="22"/>
        </w:rPr>
      </w:pPr>
    </w:p>
    <w:p w:rsidR="00C40FF1" w:rsidRPr="00D12831" w:rsidRDefault="00C40FF1" w:rsidP="00090A68">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0C7439">
        <w:rPr>
          <w:spacing w:val="-3"/>
          <w:sz w:val="22"/>
          <w:szCs w:val="22"/>
        </w:rPr>
        <w:t xml:space="preserve">Date: </w:t>
      </w:r>
      <w:r w:rsidR="00DA328A">
        <w:rPr>
          <w:spacing w:val="-3"/>
          <w:sz w:val="22"/>
          <w:szCs w:val="22"/>
        </w:rPr>
        <w:t>August 26, 2010</w:t>
      </w:r>
    </w:p>
    <w:p w:rsidR="00B81A52" w:rsidRDefault="00B81A52" w:rsidP="00B81A52">
      <w:pPr>
        <w:tabs>
          <w:tab w:val="left" w:pos="-1440"/>
          <w:tab w:val="left" w:pos="-720"/>
        </w:tabs>
        <w:suppressAutoHyphens/>
        <w:spacing w:line="240" w:lineRule="auto"/>
        <w:ind w:right="144"/>
        <w:jc w:val="both"/>
        <w:rPr>
          <w:spacing w:val="-3"/>
          <w:sz w:val="22"/>
          <w:szCs w:val="22"/>
        </w:rPr>
      </w:pPr>
    </w:p>
    <w:p w:rsidR="00F57E26" w:rsidRDefault="00F57E26" w:rsidP="00B81A52">
      <w:pPr>
        <w:tabs>
          <w:tab w:val="left" w:pos="-1440"/>
          <w:tab w:val="left" w:pos="-720"/>
        </w:tabs>
        <w:suppressAutoHyphens/>
        <w:spacing w:line="240" w:lineRule="auto"/>
        <w:ind w:right="144"/>
        <w:jc w:val="both"/>
        <w:rPr>
          <w:spacing w:val="-3"/>
          <w:sz w:val="22"/>
          <w:szCs w:val="22"/>
        </w:rPr>
      </w:pPr>
    </w:p>
    <w:p w:rsidR="002E0B1C" w:rsidRDefault="00F57E26" w:rsidP="006E0128">
      <w:pPr>
        <w:tabs>
          <w:tab w:val="left" w:pos="-1440"/>
          <w:tab w:val="left" w:pos="-720"/>
        </w:tabs>
        <w:suppressAutoHyphens/>
        <w:spacing w:line="240" w:lineRule="auto"/>
        <w:ind w:right="144"/>
        <w:jc w:val="both"/>
        <w:rPr>
          <w:spacing w:val="-3"/>
          <w:sz w:val="22"/>
          <w:szCs w:val="22"/>
        </w:rPr>
      </w:pPr>
      <w:r w:rsidRPr="00144D27">
        <w:rPr>
          <w:spacing w:val="-3"/>
          <w:sz w:val="22"/>
          <w:szCs w:val="22"/>
        </w:rPr>
        <w:t>Enclosure</w:t>
      </w:r>
      <w:r w:rsidR="00144D27" w:rsidRPr="00144D27">
        <w:rPr>
          <w:spacing w:val="-3"/>
          <w:sz w:val="22"/>
          <w:szCs w:val="22"/>
        </w:rPr>
        <w:t>s</w:t>
      </w:r>
      <w:r w:rsidRPr="009D2434">
        <w:rPr>
          <w:spacing w:val="-3"/>
          <w:sz w:val="22"/>
          <w:szCs w:val="22"/>
        </w:rPr>
        <w:t>:</w:t>
      </w:r>
      <w:r w:rsidR="00EA0313">
        <w:rPr>
          <w:spacing w:val="-3"/>
          <w:sz w:val="22"/>
          <w:szCs w:val="22"/>
        </w:rPr>
        <w:t xml:space="preserve"> </w:t>
      </w:r>
    </w:p>
    <w:p w:rsidR="002E0B1C" w:rsidRDefault="002E0B1C" w:rsidP="006E0128">
      <w:pPr>
        <w:tabs>
          <w:tab w:val="left" w:pos="-1440"/>
          <w:tab w:val="left" w:pos="-720"/>
        </w:tabs>
        <w:suppressAutoHyphens/>
        <w:spacing w:line="240" w:lineRule="auto"/>
        <w:ind w:right="144"/>
        <w:jc w:val="both"/>
        <w:rPr>
          <w:spacing w:val="-3"/>
          <w:sz w:val="22"/>
          <w:szCs w:val="22"/>
        </w:rPr>
      </w:pPr>
    </w:p>
    <w:p w:rsidR="002E0B1C" w:rsidRDefault="00144D27" w:rsidP="006E0128">
      <w:pPr>
        <w:tabs>
          <w:tab w:val="left" w:pos="-1440"/>
          <w:tab w:val="left" w:pos="-720"/>
        </w:tabs>
        <w:suppressAutoHyphens/>
        <w:spacing w:line="240" w:lineRule="auto"/>
        <w:ind w:right="144"/>
        <w:jc w:val="both"/>
        <w:rPr>
          <w:spacing w:val="-3"/>
          <w:sz w:val="22"/>
          <w:szCs w:val="22"/>
        </w:rPr>
      </w:pPr>
      <w:r>
        <w:rPr>
          <w:spacing w:val="-3"/>
          <w:sz w:val="22"/>
          <w:szCs w:val="22"/>
        </w:rPr>
        <w:t>(1)</w:t>
      </w:r>
      <w:r>
        <w:rPr>
          <w:spacing w:val="-3"/>
          <w:sz w:val="22"/>
          <w:szCs w:val="22"/>
        </w:rPr>
        <w:tab/>
      </w:r>
      <w:r w:rsidR="006A5F73">
        <w:rPr>
          <w:spacing w:val="-3"/>
          <w:sz w:val="22"/>
          <w:szCs w:val="22"/>
        </w:rPr>
        <w:t>“</w:t>
      </w:r>
      <w:r w:rsidR="00F86E44">
        <w:rPr>
          <w:spacing w:val="-3"/>
          <w:sz w:val="22"/>
          <w:szCs w:val="22"/>
        </w:rPr>
        <w:t>Standard</w:t>
      </w:r>
      <w:r>
        <w:rPr>
          <w:spacing w:val="-3"/>
          <w:sz w:val="22"/>
          <w:szCs w:val="22"/>
        </w:rPr>
        <w:t xml:space="preserve"> Conditions for </w:t>
      </w:r>
      <w:r w:rsidR="00F86E44">
        <w:rPr>
          <w:spacing w:val="-3"/>
          <w:sz w:val="22"/>
          <w:szCs w:val="22"/>
        </w:rPr>
        <w:t>Advances Made by the World Bank</w:t>
      </w:r>
      <w:r w:rsidR="00F47859">
        <w:rPr>
          <w:spacing w:val="-3"/>
          <w:sz w:val="22"/>
          <w:szCs w:val="22"/>
        </w:rPr>
        <w:t xml:space="preserve"> under its Project Preparation Facility</w:t>
      </w:r>
      <w:r w:rsidR="006A5F73">
        <w:rPr>
          <w:spacing w:val="-3"/>
          <w:sz w:val="22"/>
          <w:szCs w:val="22"/>
        </w:rPr>
        <w:t>”</w:t>
      </w:r>
      <w:r>
        <w:rPr>
          <w:spacing w:val="-3"/>
          <w:sz w:val="22"/>
          <w:szCs w:val="22"/>
        </w:rPr>
        <w:t>, dated</w:t>
      </w:r>
      <w:r w:rsidR="00B552CF">
        <w:rPr>
          <w:spacing w:val="-3"/>
          <w:sz w:val="22"/>
          <w:szCs w:val="22"/>
        </w:rPr>
        <w:t xml:space="preserve"> January </w:t>
      </w:r>
      <w:r w:rsidR="003F2A9A">
        <w:rPr>
          <w:spacing w:val="-3"/>
          <w:sz w:val="22"/>
          <w:szCs w:val="22"/>
        </w:rPr>
        <w:t>15</w:t>
      </w:r>
      <w:r w:rsidR="00B552CF">
        <w:rPr>
          <w:spacing w:val="-3"/>
          <w:sz w:val="22"/>
          <w:szCs w:val="22"/>
        </w:rPr>
        <w:t>, 2008</w:t>
      </w:r>
      <w:r>
        <w:rPr>
          <w:spacing w:val="-3"/>
          <w:sz w:val="22"/>
          <w:szCs w:val="22"/>
        </w:rPr>
        <w:t>;</w:t>
      </w:r>
      <w:r w:rsidR="002E0B1C">
        <w:rPr>
          <w:spacing w:val="-3"/>
          <w:sz w:val="22"/>
          <w:szCs w:val="22"/>
        </w:rPr>
        <w:t xml:space="preserve"> and</w:t>
      </w:r>
      <w:r w:rsidR="0002403E" w:rsidDel="0002403E">
        <w:rPr>
          <w:spacing w:val="-3"/>
          <w:sz w:val="22"/>
          <w:szCs w:val="22"/>
        </w:rPr>
        <w:t xml:space="preserve"> </w:t>
      </w:r>
    </w:p>
    <w:p w:rsidR="002E0B1C" w:rsidRDefault="002E0B1C" w:rsidP="006E0128">
      <w:pPr>
        <w:tabs>
          <w:tab w:val="left" w:pos="-1440"/>
          <w:tab w:val="left" w:pos="-720"/>
        </w:tabs>
        <w:suppressAutoHyphens/>
        <w:spacing w:line="240" w:lineRule="auto"/>
        <w:ind w:right="144"/>
        <w:jc w:val="both"/>
        <w:rPr>
          <w:spacing w:val="-3"/>
          <w:sz w:val="22"/>
          <w:szCs w:val="22"/>
        </w:rPr>
      </w:pPr>
    </w:p>
    <w:p w:rsidR="006E0128" w:rsidRDefault="00144D27" w:rsidP="006E0128">
      <w:pPr>
        <w:tabs>
          <w:tab w:val="left" w:pos="-1440"/>
          <w:tab w:val="left" w:pos="-720"/>
        </w:tabs>
        <w:suppressAutoHyphens/>
        <w:spacing w:line="240" w:lineRule="auto"/>
        <w:ind w:right="144"/>
        <w:jc w:val="both"/>
        <w:rPr>
          <w:bCs/>
          <w:color w:val="000000"/>
          <w:sz w:val="22"/>
          <w:szCs w:val="22"/>
        </w:rPr>
      </w:pPr>
      <w:r>
        <w:rPr>
          <w:spacing w:val="-3"/>
          <w:sz w:val="22"/>
          <w:szCs w:val="22"/>
        </w:rPr>
        <w:t>(</w:t>
      </w:r>
      <w:r w:rsidR="0002403E">
        <w:rPr>
          <w:spacing w:val="-3"/>
          <w:sz w:val="22"/>
          <w:szCs w:val="22"/>
        </w:rPr>
        <w:t>2</w:t>
      </w:r>
      <w:r>
        <w:rPr>
          <w:spacing w:val="-3"/>
          <w:sz w:val="22"/>
          <w:szCs w:val="22"/>
        </w:rPr>
        <w:t>)</w:t>
      </w:r>
      <w:r w:rsidR="00DA53FB">
        <w:rPr>
          <w:spacing w:val="-3"/>
          <w:sz w:val="22"/>
          <w:szCs w:val="22"/>
        </w:rPr>
        <w:tab/>
      </w:r>
      <w:r w:rsidR="002E0B1C">
        <w:rPr>
          <w:spacing w:val="-3"/>
          <w:sz w:val="22"/>
          <w:szCs w:val="22"/>
        </w:rPr>
        <w:t xml:space="preserve"> </w:t>
      </w:r>
      <w:r w:rsidR="00F57E26" w:rsidRPr="009D2434">
        <w:rPr>
          <w:bCs/>
          <w:color w:val="000000"/>
          <w:sz w:val="22"/>
          <w:szCs w:val="22"/>
        </w:rPr>
        <w:t xml:space="preserve">Disbursement Letter </w:t>
      </w:r>
      <w:r w:rsidR="00A567BC">
        <w:rPr>
          <w:bCs/>
          <w:color w:val="000000"/>
          <w:sz w:val="22"/>
          <w:szCs w:val="22"/>
        </w:rPr>
        <w:t>for the Advance,</w:t>
      </w:r>
      <w:r w:rsidR="00F57E26" w:rsidRPr="009D2434">
        <w:rPr>
          <w:bCs/>
          <w:color w:val="000000"/>
          <w:sz w:val="22"/>
          <w:szCs w:val="22"/>
        </w:rPr>
        <w:t xml:space="preserve"> together with </w:t>
      </w:r>
      <w:r w:rsidR="006A5F73">
        <w:rPr>
          <w:bCs/>
          <w:color w:val="000000"/>
          <w:sz w:val="22"/>
          <w:szCs w:val="22"/>
        </w:rPr>
        <w:t>“</w:t>
      </w:r>
      <w:r w:rsidR="0022410E" w:rsidRPr="009D2434">
        <w:rPr>
          <w:bCs/>
          <w:color w:val="000000"/>
          <w:sz w:val="22"/>
          <w:szCs w:val="22"/>
        </w:rPr>
        <w:t xml:space="preserve">World Bank </w:t>
      </w:r>
      <w:r w:rsidR="00F57E26" w:rsidRPr="009D2434">
        <w:rPr>
          <w:bCs/>
          <w:color w:val="000000"/>
          <w:sz w:val="22"/>
          <w:szCs w:val="22"/>
        </w:rPr>
        <w:t xml:space="preserve">Disbursement Guidelines </w:t>
      </w:r>
      <w:r w:rsidR="0022410E" w:rsidRPr="009D2434">
        <w:rPr>
          <w:bCs/>
          <w:color w:val="000000"/>
          <w:sz w:val="22"/>
          <w:szCs w:val="22"/>
        </w:rPr>
        <w:t>for Projects</w:t>
      </w:r>
      <w:r w:rsidR="006A5F73">
        <w:rPr>
          <w:bCs/>
          <w:color w:val="000000"/>
          <w:sz w:val="22"/>
          <w:szCs w:val="22"/>
        </w:rPr>
        <w:t>”</w:t>
      </w:r>
      <w:r w:rsidR="0022410E" w:rsidRPr="009D2434">
        <w:rPr>
          <w:bCs/>
          <w:color w:val="000000"/>
          <w:sz w:val="22"/>
          <w:szCs w:val="22"/>
        </w:rPr>
        <w:t xml:space="preserve">, </w:t>
      </w:r>
      <w:r w:rsidR="00F57E26" w:rsidRPr="009D2434">
        <w:rPr>
          <w:bCs/>
          <w:color w:val="000000"/>
          <w:sz w:val="22"/>
          <w:szCs w:val="22"/>
        </w:rPr>
        <w:t>dated May</w:t>
      </w:r>
      <w:r w:rsidR="0022410E" w:rsidRPr="009D2434">
        <w:rPr>
          <w:bCs/>
          <w:color w:val="000000"/>
          <w:sz w:val="22"/>
          <w:szCs w:val="22"/>
        </w:rPr>
        <w:t xml:space="preserve"> 1,</w:t>
      </w:r>
      <w:r w:rsidR="00F57E26" w:rsidRPr="009D2434">
        <w:rPr>
          <w:bCs/>
          <w:color w:val="000000"/>
          <w:sz w:val="22"/>
          <w:szCs w:val="22"/>
        </w:rPr>
        <w:t xml:space="preserve"> 2006</w:t>
      </w:r>
      <w:r>
        <w:rPr>
          <w:bCs/>
          <w:color w:val="000000"/>
          <w:sz w:val="22"/>
          <w:szCs w:val="22"/>
        </w:rPr>
        <w:t>.</w:t>
      </w:r>
    </w:p>
    <w:p w:rsidR="006E0128" w:rsidRDefault="006E0128" w:rsidP="006E0128">
      <w:pPr>
        <w:tabs>
          <w:tab w:val="left" w:pos="-1440"/>
          <w:tab w:val="left" w:pos="-720"/>
        </w:tabs>
        <w:suppressAutoHyphens/>
        <w:spacing w:line="240" w:lineRule="auto"/>
        <w:ind w:right="144"/>
        <w:jc w:val="both"/>
        <w:rPr>
          <w:bCs/>
          <w:color w:val="000000"/>
          <w:sz w:val="22"/>
          <w:szCs w:val="22"/>
        </w:rPr>
      </w:pPr>
    </w:p>
    <w:p w:rsidR="0053012C" w:rsidRDefault="0053012C" w:rsidP="006E0128">
      <w:pPr>
        <w:tabs>
          <w:tab w:val="left" w:pos="-1440"/>
          <w:tab w:val="left" w:pos="-720"/>
        </w:tabs>
        <w:suppressAutoHyphens/>
        <w:spacing w:line="240" w:lineRule="auto"/>
        <w:ind w:right="144"/>
        <w:jc w:val="right"/>
        <w:rPr>
          <w:b/>
          <w:sz w:val="22"/>
          <w:szCs w:val="22"/>
        </w:rPr>
      </w:pPr>
    </w:p>
    <w:p w:rsidR="0053012C" w:rsidRPr="0053012C" w:rsidRDefault="0053012C" w:rsidP="0053012C">
      <w:pPr>
        <w:rPr>
          <w:sz w:val="22"/>
          <w:szCs w:val="22"/>
        </w:rPr>
      </w:pPr>
    </w:p>
    <w:p w:rsidR="0053012C" w:rsidRPr="0053012C" w:rsidRDefault="0053012C" w:rsidP="0053012C">
      <w:pPr>
        <w:rPr>
          <w:sz w:val="22"/>
          <w:szCs w:val="22"/>
        </w:rPr>
      </w:pPr>
    </w:p>
    <w:p w:rsidR="00DA328A" w:rsidRDefault="00DA328A">
      <w:pPr>
        <w:spacing w:line="240" w:lineRule="auto"/>
        <w:rPr>
          <w:sz w:val="22"/>
          <w:szCs w:val="22"/>
        </w:rPr>
      </w:pPr>
      <w:r>
        <w:rPr>
          <w:sz w:val="22"/>
          <w:szCs w:val="22"/>
        </w:rPr>
        <w:br w:type="page"/>
      </w:r>
    </w:p>
    <w:p w:rsidR="00152470" w:rsidRPr="00D12831" w:rsidRDefault="00144D27" w:rsidP="00F85D36">
      <w:pPr>
        <w:tabs>
          <w:tab w:val="left" w:pos="-1440"/>
          <w:tab w:val="left" w:pos="-720"/>
        </w:tabs>
        <w:suppressAutoHyphens/>
        <w:spacing w:line="240" w:lineRule="auto"/>
        <w:jc w:val="right"/>
        <w:rPr>
          <w:b/>
          <w:sz w:val="22"/>
          <w:szCs w:val="22"/>
        </w:rPr>
      </w:pPr>
      <w:r>
        <w:rPr>
          <w:b/>
          <w:sz w:val="22"/>
          <w:szCs w:val="22"/>
        </w:rPr>
        <w:lastRenderedPageBreak/>
        <w:t xml:space="preserve">PPA </w:t>
      </w:r>
      <w:r w:rsidR="00152470" w:rsidRPr="00D12831">
        <w:rPr>
          <w:b/>
          <w:sz w:val="22"/>
          <w:szCs w:val="22"/>
        </w:rPr>
        <w:t>No.</w:t>
      </w:r>
      <w:r w:rsidR="002461E1">
        <w:rPr>
          <w:b/>
          <w:sz w:val="22"/>
          <w:szCs w:val="22"/>
        </w:rPr>
        <w:t>P4580</w:t>
      </w:r>
    </w:p>
    <w:p w:rsidR="00D95183" w:rsidRPr="00D12831" w:rsidRDefault="00152470" w:rsidP="00152470">
      <w:pPr>
        <w:spacing w:line="240" w:lineRule="auto"/>
        <w:jc w:val="right"/>
        <w:rPr>
          <w:b/>
          <w:sz w:val="22"/>
          <w:szCs w:val="22"/>
        </w:rPr>
      </w:pPr>
      <w:r w:rsidRPr="00D12831">
        <w:rPr>
          <w:b/>
          <w:sz w:val="22"/>
          <w:szCs w:val="22"/>
        </w:rPr>
        <w:t>ANNEX</w:t>
      </w:r>
    </w:p>
    <w:p w:rsidR="00D95183" w:rsidRPr="00D12831" w:rsidRDefault="00D95183">
      <w:pPr>
        <w:pStyle w:val="Heading1"/>
        <w:spacing w:line="240" w:lineRule="auto"/>
        <w:rPr>
          <w:sz w:val="22"/>
          <w:szCs w:val="22"/>
        </w:rPr>
      </w:pPr>
    </w:p>
    <w:p w:rsidR="00D91765" w:rsidRPr="00D12831" w:rsidRDefault="00D95183">
      <w:pPr>
        <w:pStyle w:val="Heading1"/>
        <w:spacing w:line="240" w:lineRule="auto"/>
        <w:rPr>
          <w:sz w:val="22"/>
          <w:szCs w:val="22"/>
        </w:rPr>
      </w:pPr>
      <w:r w:rsidRPr="00D12831">
        <w:rPr>
          <w:sz w:val="22"/>
          <w:szCs w:val="22"/>
        </w:rPr>
        <w:t>A</w:t>
      </w:r>
      <w:r w:rsidR="009661FB">
        <w:rPr>
          <w:sz w:val="22"/>
          <w:szCs w:val="22"/>
        </w:rPr>
        <w:t>rticle</w:t>
      </w:r>
      <w:r w:rsidRPr="00D12831">
        <w:rPr>
          <w:sz w:val="22"/>
          <w:szCs w:val="22"/>
        </w:rPr>
        <w:t xml:space="preserve"> I</w:t>
      </w:r>
    </w:p>
    <w:p w:rsidR="00D95183" w:rsidRPr="00D12831" w:rsidRDefault="00F86E44">
      <w:pPr>
        <w:pStyle w:val="Heading1"/>
        <w:spacing w:line="240" w:lineRule="auto"/>
        <w:rPr>
          <w:sz w:val="22"/>
          <w:szCs w:val="22"/>
        </w:rPr>
      </w:pPr>
      <w:r>
        <w:rPr>
          <w:sz w:val="22"/>
          <w:szCs w:val="22"/>
        </w:rPr>
        <w:t xml:space="preserve">Standard </w:t>
      </w:r>
      <w:r w:rsidR="00EA0313">
        <w:rPr>
          <w:sz w:val="22"/>
          <w:szCs w:val="22"/>
        </w:rPr>
        <w:t>Conditions</w:t>
      </w:r>
      <w:r w:rsidR="009661FB">
        <w:rPr>
          <w:sz w:val="22"/>
          <w:szCs w:val="22"/>
        </w:rPr>
        <w:t>; Definitions</w:t>
      </w:r>
    </w:p>
    <w:p w:rsidR="00D95183" w:rsidRPr="00D12831" w:rsidRDefault="00D95183">
      <w:pPr>
        <w:spacing w:line="240" w:lineRule="auto"/>
        <w:rPr>
          <w:sz w:val="22"/>
          <w:szCs w:val="22"/>
        </w:rPr>
      </w:pPr>
    </w:p>
    <w:p w:rsidR="00B81A52" w:rsidRPr="00DD2D3F" w:rsidRDefault="00F86E44" w:rsidP="00F01A1A">
      <w:pPr>
        <w:pStyle w:val="BodyText"/>
        <w:numPr>
          <w:ilvl w:val="1"/>
          <w:numId w:val="2"/>
        </w:numPr>
        <w:tabs>
          <w:tab w:val="clear" w:pos="1485"/>
          <w:tab w:val="num" w:pos="0"/>
        </w:tabs>
        <w:ind w:left="0" w:firstLine="0"/>
        <w:rPr>
          <w:sz w:val="22"/>
          <w:szCs w:val="22"/>
        </w:rPr>
      </w:pPr>
      <w:r>
        <w:rPr>
          <w:b/>
          <w:i/>
          <w:sz w:val="22"/>
          <w:szCs w:val="22"/>
        </w:rPr>
        <w:t>Standard</w:t>
      </w:r>
      <w:r w:rsidRPr="00D12831">
        <w:rPr>
          <w:b/>
          <w:i/>
          <w:sz w:val="22"/>
          <w:szCs w:val="22"/>
        </w:rPr>
        <w:t xml:space="preserve"> </w:t>
      </w:r>
      <w:r w:rsidR="004D5CDC" w:rsidRPr="00D12831">
        <w:rPr>
          <w:b/>
          <w:i/>
          <w:sz w:val="22"/>
          <w:szCs w:val="22"/>
        </w:rPr>
        <w:t>Conditions.</w:t>
      </w:r>
      <w:r w:rsidR="004D5CDC" w:rsidRPr="00D12831">
        <w:rPr>
          <w:sz w:val="22"/>
          <w:szCs w:val="22"/>
        </w:rPr>
        <w:t xml:space="preserve">  </w:t>
      </w:r>
      <w:r w:rsidR="00152470" w:rsidRPr="00D12831">
        <w:rPr>
          <w:sz w:val="22"/>
          <w:szCs w:val="22"/>
        </w:rPr>
        <w:t xml:space="preserve">The </w:t>
      </w:r>
      <w:r>
        <w:rPr>
          <w:sz w:val="22"/>
          <w:szCs w:val="22"/>
        </w:rPr>
        <w:t xml:space="preserve">Standard </w:t>
      </w:r>
      <w:r w:rsidR="00EA0313">
        <w:rPr>
          <w:bCs/>
          <w:sz w:val="22"/>
          <w:szCs w:val="22"/>
        </w:rPr>
        <w:t xml:space="preserve">Conditions for </w:t>
      </w:r>
      <w:r>
        <w:rPr>
          <w:bCs/>
          <w:sz w:val="22"/>
          <w:szCs w:val="22"/>
        </w:rPr>
        <w:t>Advances Made by the World Bank</w:t>
      </w:r>
      <w:r w:rsidR="00EA0313">
        <w:rPr>
          <w:bCs/>
          <w:sz w:val="22"/>
          <w:szCs w:val="22"/>
        </w:rPr>
        <w:t xml:space="preserve"> </w:t>
      </w:r>
      <w:r w:rsidR="00C50E91">
        <w:rPr>
          <w:bCs/>
          <w:sz w:val="22"/>
          <w:szCs w:val="22"/>
        </w:rPr>
        <w:t xml:space="preserve">under its Project Preparation Facility </w:t>
      </w:r>
      <w:r w:rsidR="00EA0313">
        <w:rPr>
          <w:bCs/>
          <w:sz w:val="22"/>
          <w:szCs w:val="22"/>
        </w:rPr>
        <w:t>dated</w:t>
      </w:r>
      <w:r w:rsidR="00B81A52" w:rsidRPr="00D12831">
        <w:rPr>
          <w:bCs/>
          <w:sz w:val="22"/>
          <w:szCs w:val="22"/>
        </w:rPr>
        <w:t xml:space="preserve"> </w:t>
      </w:r>
      <w:r w:rsidR="00B552CF">
        <w:rPr>
          <w:bCs/>
          <w:sz w:val="22"/>
          <w:szCs w:val="22"/>
        </w:rPr>
        <w:t>J</w:t>
      </w:r>
      <w:r w:rsidR="00B552CF">
        <w:rPr>
          <w:sz w:val="22"/>
          <w:szCs w:val="22"/>
        </w:rPr>
        <w:t xml:space="preserve">anuary </w:t>
      </w:r>
      <w:r w:rsidR="003F2A9A">
        <w:rPr>
          <w:sz w:val="22"/>
          <w:szCs w:val="22"/>
        </w:rPr>
        <w:t>15</w:t>
      </w:r>
      <w:r w:rsidR="00B552CF">
        <w:rPr>
          <w:sz w:val="22"/>
          <w:szCs w:val="22"/>
        </w:rPr>
        <w:t>, 2008</w:t>
      </w:r>
      <w:r>
        <w:rPr>
          <w:sz w:val="22"/>
          <w:szCs w:val="22"/>
        </w:rPr>
        <w:t xml:space="preserve"> </w:t>
      </w:r>
      <w:r w:rsidRPr="009B76A7">
        <w:rPr>
          <w:sz w:val="22"/>
          <w:szCs w:val="22"/>
        </w:rPr>
        <w:t>(“Standard Conditions”)</w:t>
      </w:r>
      <w:r w:rsidR="009C48C9" w:rsidRPr="009B76A7">
        <w:rPr>
          <w:sz w:val="22"/>
          <w:szCs w:val="22"/>
        </w:rPr>
        <w:t xml:space="preserve"> </w:t>
      </w:r>
      <w:r w:rsidR="00152470" w:rsidRPr="00D12831">
        <w:rPr>
          <w:sz w:val="22"/>
          <w:szCs w:val="22"/>
        </w:rPr>
        <w:t xml:space="preserve">constitute </w:t>
      </w:r>
      <w:r w:rsidR="00152470" w:rsidRPr="00DD2D3F">
        <w:rPr>
          <w:sz w:val="22"/>
          <w:szCs w:val="22"/>
        </w:rPr>
        <w:t>an integral part of t</w:t>
      </w:r>
      <w:r w:rsidR="000C7439" w:rsidRPr="00DD2D3F">
        <w:rPr>
          <w:sz w:val="22"/>
          <w:szCs w:val="22"/>
        </w:rPr>
        <w:t>his Agreement</w:t>
      </w:r>
      <w:r w:rsidR="00152470" w:rsidRPr="00DD2D3F">
        <w:rPr>
          <w:sz w:val="22"/>
          <w:szCs w:val="22"/>
        </w:rPr>
        <w:t>.</w:t>
      </w:r>
      <w:r w:rsidR="00B81A52" w:rsidRPr="00DD2D3F">
        <w:rPr>
          <w:bCs/>
          <w:sz w:val="22"/>
          <w:szCs w:val="22"/>
        </w:rPr>
        <w:t xml:space="preserve"> </w:t>
      </w:r>
    </w:p>
    <w:p w:rsidR="0002609F" w:rsidRPr="00DD2D3F" w:rsidRDefault="0002609F" w:rsidP="0002609F">
      <w:pPr>
        <w:pStyle w:val="BodyText"/>
        <w:rPr>
          <w:sz w:val="22"/>
          <w:szCs w:val="22"/>
        </w:rPr>
      </w:pPr>
    </w:p>
    <w:p w:rsidR="00152470" w:rsidRPr="00DD2D3F" w:rsidRDefault="0002609F" w:rsidP="00382316">
      <w:pPr>
        <w:pStyle w:val="BodyText"/>
        <w:numPr>
          <w:ilvl w:val="1"/>
          <w:numId w:val="2"/>
        </w:numPr>
        <w:tabs>
          <w:tab w:val="clear" w:pos="1485"/>
          <w:tab w:val="num" w:pos="0"/>
        </w:tabs>
        <w:ind w:left="0" w:firstLine="0"/>
        <w:rPr>
          <w:sz w:val="22"/>
          <w:szCs w:val="22"/>
        </w:rPr>
      </w:pPr>
      <w:r w:rsidRPr="00DD2D3F">
        <w:rPr>
          <w:b/>
          <w:i/>
          <w:sz w:val="22"/>
          <w:szCs w:val="22"/>
        </w:rPr>
        <w:t xml:space="preserve">Definitions.  </w:t>
      </w:r>
      <w:r w:rsidR="00382316" w:rsidRPr="00DD2D3F">
        <w:rPr>
          <w:sz w:val="22"/>
          <w:szCs w:val="22"/>
        </w:rPr>
        <w:t xml:space="preserve">Unless the context requires otherwise, the capitalized terms used in </w:t>
      </w:r>
      <w:r w:rsidR="009661FB" w:rsidRPr="00DD2D3F">
        <w:rPr>
          <w:sz w:val="22"/>
          <w:szCs w:val="22"/>
        </w:rPr>
        <w:t>t</w:t>
      </w:r>
      <w:r w:rsidR="000C7439" w:rsidRPr="00DD2D3F">
        <w:rPr>
          <w:sz w:val="22"/>
          <w:szCs w:val="22"/>
        </w:rPr>
        <w:t>his Agreement</w:t>
      </w:r>
      <w:r w:rsidR="00382316" w:rsidRPr="00DD2D3F">
        <w:rPr>
          <w:sz w:val="22"/>
          <w:szCs w:val="22"/>
        </w:rPr>
        <w:t xml:space="preserve"> have the meanings ascribed to them in the </w:t>
      </w:r>
      <w:r w:rsidR="00F86E44" w:rsidRPr="00DD2D3F">
        <w:rPr>
          <w:sz w:val="22"/>
          <w:szCs w:val="22"/>
        </w:rPr>
        <w:t xml:space="preserve">Standard </w:t>
      </w:r>
      <w:r w:rsidR="00EA0313" w:rsidRPr="00DD2D3F">
        <w:rPr>
          <w:sz w:val="22"/>
          <w:szCs w:val="22"/>
        </w:rPr>
        <w:t>Conditions</w:t>
      </w:r>
      <w:r w:rsidR="00382316" w:rsidRPr="00DD2D3F">
        <w:rPr>
          <w:sz w:val="22"/>
          <w:szCs w:val="22"/>
        </w:rPr>
        <w:t xml:space="preserve"> </w:t>
      </w:r>
      <w:r w:rsidR="009661FB" w:rsidRPr="00DD2D3F">
        <w:rPr>
          <w:sz w:val="22"/>
          <w:szCs w:val="22"/>
        </w:rPr>
        <w:t>or</w:t>
      </w:r>
      <w:r w:rsidR="00382316" w:rsidRPr="00DD2D3F">
        <w:rPr>
          <w:sz w:val="22"/>
          <w:szCs w:val="22"/>
        </w:rPr>
        <w:t xml:space="preserve"> in </w:t>
      </w:r>
      <w:r w:rsidR="009661FB" w:rsidRPr="00DD2D3F">
        <w:rPr>
          <w:sz w:val="22"/>
          <w:szCs w:val="22"/>
        </w:rPr>
        <w:t>t</w:t>
      </w:r>
      <w:r w:rsidR="000C7439" w:rsidRPr="00DD2D3F">
        <w:rPr>
          <w:sz w:val="22"/>
          <w:szCs w:val="22"/>
        </w:rPr>
        <w:t>his Agreement</w:t>
      </w:r>
      <w:r w:rsidR="00F47859" w:rsidRPr="00DD2D3F">
        <w:rPr>
          <w:sz w:val="22"/>
          <w:szCs w:val="22"/>
        </w:rPr>
        <w:t>, including the Appendix to this Agreement</w:t>
      </w:r>
      <w:r w:rsidR="00382316" w:rsidRPr="00DD2D3F">
        <w:rPr>
          <w:sz w:val="22"/>
          <w:szCs w:val="22"/>
        </w:rPr>
        <w:t>.</w:t>
      </w:r>
    </w:p>
    <w:p w:rsidR="009D7C8B" w:rsidRPr="00DD2D3F" w:rsidRDefault="009D7C8B" w:rsidP="009D7C8B">
      <w:pPr>
        <w:pStyle w:val="BodyText"/>
        <w:rPr>
          <w:bCs/>
          <w:sz w:val="22"/>
          <w:szCs w:val="22"/>
        </w:rPr>
      </w:pPr>
    </w:p>
    <w:p w:rsidR="00FB619C" w:rsidRDefault="00FB619C" w:rsidP="00F85D36">
      <w:pPr>
        <w:pStyle w:val="BodyText"/>
        <w:numPr>
          <w:ilvl w:val="0"/>
          <w:numId w:val="22"/>
        </w:numPr>
        <w:ind w:left="900" w:hanging="540"/>
        <w:rPr>
          <w:bCs/>
          <w:sz w:val="22"/>
          <w:szCs w:val="22"/>
        </w:rPr>
      </w:pPr>
      <w:r w:rsidRPr="00DD2D3F">
        <w:rPr>
          <w:bCs/>
          <w:sz w:val="22"/>
          <w:szCs w:val="22"/>
        </w:rPr>
        <w:t>“MAFCP” means the Ministry of Agriculture, Food and Consumer Protection of the Recipient or any successor</w:t>
      </w:r>
      <w:r w:rsidR="00B7655A" w:rsidRPr="00DD2D3F">
        <w:rPr>
          <w:bCs/>
          <w:sz w:val="22"/>
          <w:szCs w:val="22"/>
        </w:rPr>
        <w:t xml:space="preserve"> thereto; and</w:t>
      </w:r>
    </w:p>
    <w:p w:rsidR="00F85D36" w:rsidRPr="00DD2D3F" w:rsidRDefault="00F85D36" w:rsidP="00F85D36">
      <w:pPr>
        <w:pStyle w:val="BodyText"/>
        <w:ind w:left="900" w:hanging="540"/>
        <w:rPr>
          <w:bCs/>
          <w:sz w:val="22"/>
          <w:szCs w:val="22"/>
        </w:rPr>
      </w:pPr>
    </w:p>
    <w:p w:rsidR="00FB619C" w:rsidRPr="00DD2D3F" w:rsidRDefault="00B7655A" w:rsidP="00F85D36">
      <w:pPr>
        <w:pStyle w:val="BodyText"/>
        <w:numPr>
          <w:ilvl w:val="0"/>
          <w:numId w:val="22"/>
        </w:numPr>
        <w:ind w:left="900" w:hanging="540"/>
        <w:rPr>
          <w:bCs/>
          <w:sz w:val="22"/>
          <w:szCs w:val="22"/>
        </w:rPr>
      </w:pPr>
      <w:r w:rsidRPr="00DD2D3F">
        <w:rPr>
          <w:bCs/>
          <w:sz w:val="22"/>
          <w:szCs w:val="22"/>
        </w:rPr>
        <w:t>“</w:t>
      </w:r>
      <w:r w:rsidRPr="00DD2D3F">
        <w:rPr>
          <w:sz w:val="22"/>
          <w:szCs w:val="22"/>
        </w:rPr>
        <w:t xml:space="preserve">MEFWA” means the </w:t>
      </w:r>
      <w:r w:rsidR="00117541" w:rsidRPr="00DD2D3F">
        <w:rPr>
          <w:sz w:val="22"/>
          <w:szCs w:val="22"/>
        </w:rPr>
        <w:t>Ministry of Environment, Forestry and Water Administration of the Recipient or any successor thereto.</w:t>
      </w:r>
    </w:p>
    <w:p w:rsidR="00117541" w:rsidRPr="00DD2D3F" w:rsidRDefault="00117541" w:rsidP="00117541">
      <w:pPr>
        <w:pStyle w:val="BodyText"/>
        <w:ind w:left="720"/>
        <w:rPr>
          <w:bCs/>
          <w:sz w:val="22"/>
          <w:szCs w:val="22"/>
        </w:rPr>
      </w:pPr>
    </w:p>
    <w:p w:rsidR="00D91765" w:rsidRPr="00DD2D3F" w:rsidRDefault="00EA6B34">
      <w:pPr>
        <w:pStyle w:val="BodyText"/>
        <w:jc w:val="center"/>
        <w:rPr>
          <w:b/>
          <w:bCs/>
          <w:sz w:val="22"/>
          <w:szCs w:val="22"/>
        </w:rPr>
      </w:pPr>
      <w:r w:rsidRPr="00DD2D3F">
        <w:rPr>
          <w:b/>
          <w:bCs/>
          <w:sz w:val="22"/>
          <w:szCs w:val="22"/>
        </w:rPr>
        <w:t>A</w:t>
      </w:r>
      <w:r w:rsidR="009661FB" w:rsidRPr="00DD2D3F">
        <w:rPr>
          <w:b/>
          <w:bCs/>
          <w:sz w:val="22"/>
          <w:szCs w:val="22"/>
        </w:rPr>
        <w:t xml:space="preserve">rticle </w:t>
      </w:r>
      <w:r w:rsidR="009D7C8B" w:rsidRPr="00DD2D3F">
        <w:rPr>
          <w:b/>
          <w:bCs/>
          <w:sz w:val="22"/>
          <w:szCs w:val="22"/>
        </w:rPr>
        <w:t>II</w:t>
      </w:r>
    </w:p>
    <w:p w:rsidR="00D95183" w:rsidRPr="00DD2D3F" w:rsidRDefault="009661FB">
      <w:pPr>
        <w:pStyle w:val="BodyText"/>
        <w:jc w:val="center"/>
        <w:rPr>
          <w:b/>
          <w:bCs/>
          <w:sz w:val="22"/>
          <w:szCs w:val="22"/>
        </w:rPr>
      </w:pPr>
      <w:r w:rsidRPr="00DD2D3F">
        <w:rPr>
          <w:b/>
          <w:bCs/>
          <w:sz w:val="22"/>
          <w:szCs w:val="22"/>
        </w:rPr>
        <w:t>Execution</w:t>
      </w:r>
      <w:r w:rsidR="00272757" w:rsidRPr="00DD2D3F">
        <w:rPr>
          <w:b/>
          <w:bCs/>
          <w:sz w:val="22"/>
          <w:szCs w:val="22"/>
        </w:rPr>
        <w:t xml:space="preserve"> of </w:t>
      </w:r>
      <w:r w:rsidR="00120DEF" w:rsidRPr="00DD2D3F">
        <w:rPr>
          <w:b/>
          <w:bCs/>
          <w:sz w:val="22"/>
          <w:szCs w:val="22"/>
        </w:rPr>
        <w:t xml:space="preserve">the </w:t>
      </w:r>
      <w:r w:rsidR="006A5F73" w:rsidRPr="00DD2D3F">
        <w:rPr>
          <w:b/>
          <w:bCs/>
          <w:sz w:val="22"/>
          <w:szCs w:val="22"/>
        </w:rPr>
        <w:t>Activities</w:t>
      </w:r>
    </w:p>
    <w:p w:rsidR="00EA6B34" w:rsidRPr="00DD2D3F" w:rsidRDefault="00EA6B34" w:rsidP="00EA6B34">
      <w:pPr>
        <w:spacing w:line="240" w:lineRule="auto"/>
        <w:ind w:left="720" w:hanging="720"/>
        <w:jc w:val="both"/>
        <w:rPr>
          <w:sz w:val="22"/>
          <w:szCs w:val="22"/>
        </w:rPr>
      </w:pPr>
    </w:p>
    <w:p w:rsidR="00240D73" w:rsidRPr="00DD2D3F" w:rsidRDefault="00CA1738" w:rsidP="00F01A1A">
      <w:pPr>
        <w:spacing w:line="240" w:lineRule="auto"/>
        <w:jc w:val="both"/>
        <w:rPr>
          <w:spacing w:val="-3"/>
          <w:sz w:val="22"/>
          <w:szCs w:val="22"/>
        </w:rPr>
      </w:pPr>
      <w:r w:rsidRPr="00DD2D3F">
        <w:rPr>
          <w:sz w:val="22"/>
          <w:szCs w:val="22"/>
        </w:rPr>
        <w:t>2</w:t>
      </w:r>
      <w:r w:rsidR="00EA6B34" w:rsidRPr="00DD2D3F">
        <w:rPr>
          <w:sz w:val="22"/>
          <w:szCs w:val="22"/>
        </w:rPr>
        <w:t>.01.</w:t>
      </w:r>
      <w:r w:rsidR="00EA6B34" w:rsidRPr="00DD2D3F">
        <w:rPr>
          <w:sz w:val="22"/>
          <w:szCs w:val="22"/>
        </w:rPr>
        <w:tab/>
      </w:r>
      <w:r w:rsidR="00144D27" w:rsidRPr="00DD2D3F">
        <w:rPr>
          <w:b/>
          <w:i/>
          <w:sz w:val="22"/>
          <w:szCs w:val="22"/>
        </w:rPr>
        <w:t>Description</w:t>
      </w:r>
      <w:r w:rsidR="005A5D4D" w:rsidRPr="00DD2D3F">
        <w:rPr>
          <w:b/>
          <w:i/>
          <w:sz w:val="22"/>
          <w:szCs w:val="22"/>
        </w:rPr>
        <w:t xml:space="preserve"> of the Activities</w:t>
      </w:r>
      <w:r w:rsidR="00144D27" w:rsidRPr="00DD2D3F">
        <w:rPr>
          <w:b/>
          <w:i/>
          <w:sz w:val="22"/>
          <w:szCs w:val="22"/>
        </w:rPr>
        <w:t>.</w:t>
      </w:r>
      <w:r w:rsidR="00144D27" w:rsidRPr="00DD2D3F">
        <w:rPr>
          <w:sz w:val="22"/>
          <w:szCs w:val="22"/>
        </w:rPr>
        <w:t xml:space="preserve">  </w:t>
      </w:r>
      <w:r w:rsidR="00144D27" w:rsidRPr="00DD2D3F">
        <w:rPr>
          <w:spacing w:val="-3"/>
          <w:sz w:val="22"/>
          <w:szCs w:val="22"/>
        </w:rPr>
        <w:t xml:space="preserve">The </w:t>
      </w:r>
      <w:r w:rsidR="006A5F73" w:rsidRPr="00DD2D3F">
        <w:rPr>
          <w:spacing w:val="-3"/>
          <w:sz w:val="22"/>
          <w:szCs w:val="22"/>
        </w:rPr>
        <w:t>Activities</w:t>
      </w:r>
      <w:r w:rsidR="00144D27" w:rsidRPr="00DD2D3F">
        <w:rPr>
          <w:spacing w:val="-3"/>
          <w:sz w:val="22"/>
          <w:szCs w:val="22"/>
        </w:rPr>
        <w:t xml:space="preserve"> </w:t>
      </w:r>
      <w:r w:rsidR="006A5F73" w:rsidRPr="00DD2D3F">
        <w:rPr>
          <w:spacing w:val="-3"/>
          <w:sz w:val="22"/>
          <w:szCs w:val="22"/>
        </w:rPr>
        <w:t>for which the Advance</w:t>
      </w:r>
      <w:r w:rsidR="00BD0D7A" w:rsidRPr="00DD2D3F">
        <w:rPr>
          <w:spacing w:val="-3"/>
          <w:sz w:val="22"/>
          <w:szCs w:val="22"/>
        </w:rPr>
        <w:t xml:space="preserve"> is provided</w:t>
      </w:r>
      <w:r w:rsidR="006A5F73" w:rsidRPr="00DD2D3F">
        <w:rPr>
          <w:spacing w:val="-3"/>
          <w:sz w:val="22"/>
          <w:szCs w:val="22"/>
        </w:rPr>
        <w:t xml:space="preserve"> </w:t>
      </w:r>
      <w:r w:rsidR="00B7655A" w:rsidRPr="00DD2D3F">
        <w:rPr>
          <w:spacing w:val="-3"/>
          <w:sz w:val="22"/>
          <w:szCs w:val="22"/>
        </w:rPr>
        <w:t>are as follows</w:t>
      </w:r>
      <w:r w:rsidR="005A5D4D" w:rsidRPr="00DD2D3F">
        <w:rPr>
          <w:spacing w:val="-3"/>
          <w:sz w:val="22"/>
          <w:szCs w:val="22"/>
        </w:rPr>
        <w:t>:</w:t>
      </w:r>
    </w:p>
    <w:p w:rsidR="00240D73" w:rsidRPr="00DD2D3F" w:rsidRDefault="00240D73" w:rsidP="00240D73">
      <w:pPr>
        <w:spacing w:line="240" w:lineRule="auto"/>
        <w:jc w:val="both"/>
        <w:rPr>
          <w:spacing w:val="-3"/>
          <w:sz w:val="22"/>
          <w:szCs w:val="22"/>
        </w:rPr>
      </w:pPr>
    </w:p>
    <w:p w:rsidR="00F85D36" w:rsidRDefault="00F85D36" w:rsidP="00F85D36">
      <w:pPr>
        <w:pStyle w:val="ListParagraph"/>
        <w:numPr>
          <w:ilvl w:val="0"/>
          <w:numId w:val="21"/>
        </w:numPr>
        <w:spacing w:line="240" w:lineRule="auto"/>
        <w:ind w:left="900" w:hanging="540"/>
        <w:jc w:val="both"/>
        <w:rPr>
          <w:sz w:val="22"/>
          <w:szCs w:val="22"/>
        </w:rPr>
      </w:pPr>
      <w:r>
        <w:rPr>
          <w:sz w:val="22"/>
          <w:szCs w:val="22"/>
        </w:rPr>
        <w:t>c</w:t>
      </w:r>
      <w:r w:rsidR="00B7655A" w:rsidRPr="00DD2D3F">
        <w:rPr>
          <w:sz w:val="22"/>
          <w:szCs w:val="22"/>
        </w:rPr>
        <w:t>onducting of investment preparation studies, including feasibility and detailed design studies;</w:t>
      </w:r>
    </w:p>
    <w:p w:rsidR="00B7655A" w:rsidRPr="00DD2D3F" w:rsidRDefault="00B7655A" w:rsidP="00F85D36">
      <w:pPr>
        <w:pStyle w:val="ListParagraph"/>
        <w:spacing w:line="240" w:lineRule="auto"/>
        <w:ind w:left="900" w:hanging="540"/>
        <w:jc w:val="both"/>
        <w:rPr>
          <w:sz w:val="22"/>
          <w:szCs w:val="22"/>
        </w:rPr>
      </w:pPr>
      <w:r w:rsidRPr="00DD2D3F">
        <w:rPr>
          <w:sz w:val="22"/>
          <w:szCs w:val="22"/>
        </w:rPr>
        <w:t xml:space="preserve"> </w:t>
      </w:r>
    </w:p>
    <w:p w:rsidR="00F85D36" w:rsidRPr="00F85D36" w:rsidRDefault="00F85D36" w:rsidP="00F85D36">
      <w:pPr>
        <w:pStyle w:val="ListParagraph"/>
        <w:numPr>
          <w:ilvl w:val="0"/>
          <w:numId w:val="21"/>
        </w:numPr>
        <w:spacing w:line="240" w:lineRule="auto"/>
        <w:ind w:left="900" w:hanging="540"/>
        <w:jc w:val="both"/>
        <w:rPr>
          <w:spacing w:val="-3"/>
          <w:sz w:val="22"/>
          <w:szCs w:val="22"/>
        </w:rPr>
      </w:pPr>
      <w:r>
        <w:rPr>
          <w:sz w:val="22"/>
          <w:szCs w:val="22"/>
        </w:rPr>
        <w:t>c</w:t>
      </w:r>
      <w:r w:rsidR="00B7655A" w:rsidRPr="00DD2D3F">
        <w:rPr>
          <w:sz w:val="22"/>
          <w:szCs w:val="22"/>
        </w:rPr>
        <w:t>onducting of all safeguards studies required before the Project appraisal;</w:t>
      </w:r>
    </w:p>
    <w:p w:rsidR="00B7655A" w:rsidRPr="00DD2D3F" w:rsidRDefault="00B7655A" w:rsidP="00F85D36">
      <w:pPr>
        <w:pStyle w:val="ListParagraph"/>
        <w:spacing w:line="240" w:lineRule="auto"/>
        <w:ind w:left="900" w:hanging="540"/>
        <w:jc w:val="both"/>
        <w:rPr>
          <w:spacing w:val="-3"/>
          <w:sz w:val="22"/>
          <w:szCs w:val="22"/>
        </w:rPr>
      </w:pPr>
    </w:p>
    <w:p w:rsidR="00F85D36" w:rsidRPr="00F85D36" w:rsidRDefault="00F85D36" w:rsidP="00F85D36">
      <w:pPr>
        <w:pStyle w:val="ListParagraph"/>
        <w:numPr>
          <w:ilvl w:val="0"/>
          <w:numId w:val="21"/>
        </w:numPr>
        <w:spacing w:line="240" w:lineRule="auto"/>
        <w:ind w:left="900" w:hanging="540"/>
        <w:jc w:val="both"/>
        <w:rPr>
          <w:spacing w:val="-3"/>
          <w:sz w:val="22"/>
          <w:szCs w:val="22"/>
        </w:rPr>
      </w:pPr>
      <w:r>
        <w:rPr>
          <w:sz w:val="22"/>
          <w:szCs w:val="22"/>
        </w:rPr>
        <w:t>p</w:t>
      </w:r>
      <w:r w:rsidR="0088776F" w:rsidRPr="00EF3D41">
        <w:rPr>
          <w:sz w:val="22"/>
          <w:szCs w:val="22"/>
        </w:rPr>
        <w:t>reparing an investment plan for the first year of the Project</w:t>
      </w:r>
      <w:r w:rsidR="00B7655A" w:rsidRPr="00EF3D41">
        <w:rPr>
          <w:sz w:val="22"/>
          <w:szCs w:val="22"/>
        </w:rPr>
        <w:t>;</w:t>
      </w:r>
    </w:p>
    <w:p w:rsidR="00B7655A" w:rsidRPr="00EF3D41" w:rsidRDefault="00B7655A" w:rsidP="00F85D36">
      <w:pPr>
        <w:pStyle w:val="ListParagraph"/>
        <w:spacing w:line="240" w:lineRule="auto"/>
        <w:ind w:left="900" w:hanging="540"/>
        <w:jc w:val="both"/>
        <w:rPr>
          <w:spacing w:val="-3"/>
          <w:sz w:val="22"/>
          <w:szCs w:val="22"/>
        </w:rPr>
      </w:pPr>
      <w:r w:rsidRPr="00EF3D41">
        <w:rPr>
          <w:sz w:val="22"/>
          <w:szCs w:val="22"/>
        </w:rPr>
        <w:t xml:space="preserve"> </w:t>
      </w:r>
    </w:p>
    <w:p w:rsidR="00240D73" w:rsidRPr="00F85D36" w:rsidRDefault="00F85D36" w:rsidP="00F85D36">
      <w:pPr>
        <w:pStyle w:val="ListParagraph"/>
        <w:numPr>
          <w:ilvl w:val="0"/>
          <w:numId w:val="21"/>
        </w:numPr>
        <w:spacing w:line="240" w:lineRule="auto"/>
        <w:ind w:left="900" w:hanging="540"/>
        <w:jc w:val="both"/>
        <w:rPr>
          <w:spacing w:val="-3"/>
          <w:sz w:val="22"/>
          <w:szCs w:val="22"/>
        </w:rPr>
      </w:pPr>
      <w:r>
        <w:rPr>
          <w:sz w:val="22"/>
          <w:szCs w:val="22"/>
        </w:rPr>
        <w:t>p</w:t>
      </w:r>
      <w:r w:rsidR="006458B9">
        <w:rPr>
          <w:sz w:val="22"/>
          <w:szCs w:val="22"/>
        </w:rPr>
        <w:t>reparing</w:t>
      </w:r>
      <w:r w:rsidR="00893231">
        <w:rPr>
          <w:sz w:val="22"/>
          <w:szCs w:val="22"/>
        </w:rPr>
        <w:t xml:space="preserve"> an operational manual for the Project</w:t>
      </w:r>
      <w:r w:rsidR="00EF3D41">
        <w:rPr>
          <w:sz w:val="22"/>
          <w:szCs w:val="22"/>
        </w:rPr>
        <w:t>; and</w:t>
      </w:r>
    </w:p>
    <w:p w:rsidR="00F85D36" w:rsidRDefault="00F85D36" w:rsidP="00F85D36">
      <w:pPr>
        <w:pStyle w:val="ListParagraph"/>
        <w:spacing w:line="240" w:lineRule="auto"/>
        <w:ind w:left="900" w:hanging="540"/>
        <w:jc w:val="both"/>
        <w:rPr>
          <w:spacing w:val="-3"/>
          <w:sz w:val="22"/>
          <w:szCs w:val="22"/>
        </w:rPr>
      </w:pPr>
    </w:p>
    <w:p w:rsidR="00EF3D41" w:rsidRPr="00DD2D3F" w:rsidRDefault="00F85D36" w:rsidP="00F85D36">
      <w:pPr>
        <w:pStyle w:val="ListParagraph"/>
        <w:numPr>
          <w:ilvl w:val="0"/>
          <w:numId w:val="21"/>
        </w:numPr>
        <w:spacing w:line="240" w:lineRule="auto"/>
        <w:ind w:left="900" w:hanging="540"/>
        <w:jc w:val="both"/>
        <w:rPr>
          <w:spacing w:val="-3"/>
          <w:sz w:val="22"/>
          <w:szCs w:val="22"/>
        </w:rPr>
      </w:pPr>
      <w:r>
        <w:rPr>
          <w:spacing w:val="-3"/>
          <w:sz w:val="22"/>
          <w:szCs w:val="22"/>
        </w:rPr>
        <w:t>p</w:t>
      </w:r>
      <w:r w:rsidR="00EF3D41">
        <w:rPr>
          <w:spacing w:val="-3"/>
          <w:sz w:val="22"/>
          <w:szCs w:val="22"/>
        </w:rPr>
        <w:t>roviding support and building the capacity for managing and implementing the Activities.</w:t>
      </w:r>
    </w:p>
    <w:p w:rsidR="00144D27" w:rsidRPr="00DD2D3F" w:rsidRDefault="00144D27" w:rsidP="00240D73">
      <w:pPr>
        <w:spacing w:line="240" w:lineRule="auto"/>
        <w:jc w:val="both"/>
        <w:rPr>
          <w:spacing w:val="-3"/>
          <w:sz w:val="22"/>
          <w:szCs w:val="22"/>
        </w:rPr>
      </w:pPr>
    </w:p>
    <w:p w:rsidR="006F140B" w:rsidRPr="00DD2D3F" w:rsidRDefault="00CA1738" w:rsidP="00CC09FF">
      <w:pPr>
        <w:spacing w:line="240" w:lineRule="auto"/>
        <w:jc w:val="both"/>
        <w:rPr>
          <w:sz w:val="22"/>
          <w:szCs w:val="22"/>
        </w:rPr>
      </w:pPr>
      <w:r w:rsidRPr="00DD2D3F">
        <w:rPr>
          <w:sz w:val="22"/>
          <w:szCs w:val="22"/>
        </w:rPr>
        <w:t>2</w:t>
      </w:r>
      <w:r w:rsidR="00EA6B34" w:rsidRPr="00DD2D3F">
        <w:rPr>
          <w:sz w:val="22"/>
          <w:szCs w:val="22"/>
        </w:rPr>
        <w:t>.02.</w:t>
      </w:r>
      <w:r w:rsidR="00EA6B34" w:rsidRPr="00DD2D3F">
        <w:rPr>
          <w:sz w:val="22"/>
          <w:szCs w:val="22"/>
        </w:rPr>
        <w:tab/>
      </w:r>
      <w:r w:rsidR="004D5CDC" w:rsidRPr="00DD2D3F">
        <w:rPr>
          <w:b/>
          <w:i/>
          <w:sz w:val="22"/>
          <w:szCs w:val="22"/>
        </w:rPr>
        <w:t>Execution</w:t>
      </w:r>
      <w:r w:rsidR="00272757" w:rsidRPr="00DD2D3F">
        <w:rPr>
          <w:b/>
          <w:i/>
          <w:sz w:val="22"/>
          <w:szCs w:val="22"/>
        </w:rPr>
        <w:t xml:space="preserve"> </w:t>
      </w:r>
      <w:r w:rsidR="006A5F73" w:rsidRPr="00DD2D3F">
        <w:rPr>
          <w:b/>
          <w:i/>
          <w:sz w:val="22"/>
          <w:szCs w:val="22"/>
        </w:rPr>
        <w:t xml:space="preserve">of the Activities </w:t>
      </w:r>
      <w:r w:rsidR="004D5CDC" w:rsidRPr="00DD2D3F">
        <w:rPr>
          <w:b/>
          <w:i/>
          <w:sz w:val="22"/>
          <w:szCs w:val="22"/>
        </w:rPr>
        <w:t>Generally.</w:t>
      </w:r>
      <w:r w:rsidR="00CC09FF" w:rsidRPr="00DD2D3F">
        <w:rPr>
          <w:sz w:val="22"/>
          <w:szCs w:val="22"/>
        </w:rPr>
        <w:t xml:space="preserve">  </w:t>
      </w:r>
      <w:r w:rsidR="00D95183" w:rsidRPr="00DD2D3F">
        <w:rPr>
          <w:sz w:val="22"/>
          <w:szCs w:val="22"/>
        </w:rPr>
        <w:t>The</w:t>
      </w:r>
      <w:r w:rsidR="00963576" w:rsidRPr="00DD2D3F">
        <w:rPr>
          <w:sz w:val="22"/>
          <w:szCs w:val="22"/>
        </w:rPr>
        <w:t xml:space="preserve"> </w:t>
      </w:r>
      <w:r w:rsidR="002027AB" w:rsidRPr="00DD2D3F">
        <w:rPr>
          <w:sz w:val="22"/>
          <w:szCs w:val="22"/>
        </w:rPr>
        <w:t>Recipient</w:t>
      </w:r>
      <w:r w:rsidR="00963576" w:rsidRPr="00DD2D3F">
        <w:rPr>
          <w:sz w:val="22"/>
          <w:szCs w:val="22"/>
        </w:rPr>
        <w:t xml:space="preserve"> </w:t>
      </w:r>
      <w:r w:rsidR="00D95183" w:rsidRPr="00DD2D3F">
        <w:rPr>
          <w:sz w:val="22"/>
          <w:szCs w:val="22"/>
        </w:rPr>
        <w:t xml:space="preserve">declares its commitment to the objectives of the </w:t>
      </w:r>
      <w:r w:rsidR="006A5F73" w:rsidRPr="00DD2D3F">
        <w:rPr>
          <w:sz w:val="22"/>
          <w:szCs w:val="22"/>
        </w:rPr>
        <w:t>Activities</w:t>
      </w:r>
      <w:r w:rsidR="00D95183" w:rsidRPr="00DD2D3F">
        <w:rPr>
          <w:sz w:val="22"/>
          <w:szCs w:val="22"/>
        </w:rPr>
        <w:t xml:space="preserve">.  To this end, the </w:t>
      </w:r>
      <w:r w:rsidR="002027AB" w:rsidRPr="00DD2D3F">
        <w:rPr>
          <w:sz w:val="22"/>
          <w:szCs w:val="22"/>
        </w:rPr>
        <w:t>Recipient</w:t>
      </w:r>
      <w:r w:rsidR="00D95183" w:rsidRPr="00DD2D3F">
        <w:rPr>
          <w:sz w:val="22"/>
          <w:szCs w:val="22"/>
        </w:rPr>
        <w:t xml:space="preserve"> shall carry out the </w:t>
      </w:r>
      <w:r w:rsidR="006A5F73" w:rsidRPr="00DD2D3F">
        <w:rPr>
          <w:sz w:val="22"/>
          <w:szCs w:val="22"/>
        </w:rPr>
        <w:t>Activities</w:t>
      </w:r>
      <w:r w:rsidR="00FB619C" w:rsidRPr="00DD2D3F">
        <w:rPr>
          <w:sz w:val="22"/>
          <w:szCs w:val="22"/>
        </w:rPr>
        <w:t xml:space="preserve"> through its MAFCP</w:t>
      </w:r>
      <w:r w:rsidR="009B76A7" w:rsidRPr="00DD2D3F">
        <w:rPr>
          <w:sz w:val="22"/>
          <w:szCs w:val="22"/>
        </w:rPr>
        <w:t xml:space="preserve"> </w:t>
      </w:r>
      <w:r w:rsidR="001C7360" w:rsidRPr="00DD2D3F">
        <w:rPr>
          <w:sz w:val="22"/>
          <w:szCs w:val="22"/>
        </w:rPr>
        <w:t>in accordance with the provisions of</w:t>
      </w:r>
      <w:r w:rsidR="00185039" w:rsidRPr="00DD2D3F">
        <w:rPr>
          <w:sz w:val="22"/>
          <w:szCs w:val="22"/>
        </w:rPr>
        <w:t>:</w:t>
      </w:r>
      <w:r w:rsidR="006F140B" w:rsidRPr="00DD2D3F">
        <w:rPr>
          <w:sz w:val="22"/>
          <w:szCs w:val="22"/>
        </w:rPr>
        <w:t xml:space="preserve"> (a)</w:t>
      </w:r>
      <w:r w:rsidR="001C7360" w:rsidRPr="00DD2D3F">
        <w:rPr>
          <w:sz w:val="22"/>
          <w:szCs w:val="22"/>
        </w:rPr>
        <w:t xml:space="preserve"> </w:t>
      </w:r>
      <w:r w:rsidR="000716D2" w:rsidRPr="00DD2D3F">
        <w:rPr>
          <w:sz w:val="22"/>
          <w:szCs w:val="22"/>
        </w:rPr>
        <w:t>Article II</w:t>
      </w:r>
      <w:r w:rsidRPr="00DD2D3F">
        <w:rPr>
          <w:sz w:val="22"/>
          <w:szCs w:val="22"/>
        </w:rPr>
        <w:t xml:space="preserve"> </w:t>
      </w:r>
      <w:r w:rsidR="001C7360" w:rsidRPr="00DD2D3F">
        <w:rPr>
          <w:sz w:val="22"/>
          <w:szCs w:val="22"/>
        </w:rPr>
        <w:t xml:space="preserve">of the </w:t>
      </w:r>
      <w:r w:rsidR="0088692B" w:rsidRPr="00DD2D3F">
        <w:rPr>
          <w:sz w:val="22"/>
          <w:szCs w:val="22"/>
        </w:rPr>
        <w:t>Standard</w:t>
      </w:r>
      <w:r w:rsidR="00EA0313" w:rsidRPr="00DD2D3F">
        <w:rPr>
          <w:sz w:val="22"/>
          <w:szCs w:val="22"/>
        </w:rPr>
        <w:t xml:space="preserve"> Conditions</w:t>
      </w:r>
      <w:r w:rsidR="00185039" w:rsidRPr="00DD2D3F">
        <w:rPr>
          <w:sz w:val="22"/>
          <w:szCs w:val="22"/>
        </w:rPr>
        <w:t>;</w:t>
      </w:r>
      <w:r w:rsidR="006F140B" w:rsidRPr="00DD2D3F">
        <w:rPr>
          <w:sz w:val="22"/>
          <w:szCs w:val="22"/>
        </w:rPr>
        <w:t xml:space="preserve"> (b)</w:t>
      </w:r>
      <w:r w:rsidR="00E7610B" w:rsidRPr="00DD2D3F">
        <w:rPr>
          <w:sz w:val="22"/>
          <w:szCs w:val="22"/>
        </w:rPr>
        <w:t xml:space="preserve"> this </w:t>
      </w:r>
      <w:r w:rsidR="009C48C9" w:rsidRPr="00DD2D3F">
        <w:rPr>
          <w:sz w:val="22"/>
          <w:szCs w:val="22"/>
        </w:rPr>
        <w:t>Article II</w:t>
      </w:r>
      <w:r w:rsidR="00185039" w:rsidRPr="00DD2D3F">
        <w:rPr>
          <w:sz w:val="22"/>
          <w:szCs w:val="22"/>
        </w:rPr>
        <w:t>;</w:t>
      </w:r>
      <w:r w:rsidR="006F140B" w:rsidRPr="00DD2D3F">
        <w:rPr>
          <w:sz w:val="22"/>
          <w:szCs w:val="22"/>
        </w:rPr>
        <w:t xml:space="preserve"> and (c)</w:t>
      </w:r>
      <w:r w:rsidR="006F140B" w:rsidRPr="00DD2D3F">
        <w:rPr>
          <w:bCs/>
          <w:sz w:val="22"/>
          <w:szCs w:val="22"/>
        </w:rPr>
        <w:t xml:space="preserve"> the </w:t>
      </w:r>
      <w:r w:rsidR="006F140B" w:rsidRPr="00DD2D3F">
        <w:rPr>
          <w:sz w:val="22"/>
          <w:szCs w:val="22"/>
        </w:rPr>
        <w:t>“Guidelines on Preventing and Combating Fraud and Corruption in Projects Financed by IBRD Loans and IDA Credits and Grants”, dated October 15, 2006</w:t>
      </w:r>
      <w:r w:rsidR="005E3CB7" w:rsidRPr="00DD2D3F">
        <w:rPr>
          <w:sz w:val="22"/>
          <w:szCs w:val="22"/>
        </w:rPr>
        <w:t>, with the modifications set forth in the Appendix to this Agreement</w:t>
      </w:r>
      <w:r w:rsidR="006F140B" w:rsidRPr="00DD2D3F">
        <w:rPr>
          <w:sz w:val="22"/>
          <w:szCs w:val="22"/>
        </w:rPr>
        <w:t>.</w:t>
      </w:r>
    </w:p>
    <w:p w:rsidR="00D553B1" w:rsidRPr="00DD2D3F" w:rsidRDefault="00D553B1" w:rsidP="00D553B1">
      <w:pPr>
        <w:spacing w:line="240" w:lineRule="auto"/>
        <w:ind w:left="720" w:hanging="720"/>
        <w:jc w:val="both"/>
        <w:rPr>
          <w:sz w:val="22"/>
          <w:szCs w:val="22"/>
        </w:rPr>
      </w:pPr>
    </w:p>
    <w:p w:rsidR="00CA1738" w:rsidRPr="00DD2D3F" w:rsidRDefault="00CA1738" w:rsidP="00095DBC">
      <w:pPr>
        <w:spacing w:line="240" w:lineRule="auto"/>
        <w:jc w:val="both"/>
        <w:rPr>
          <w:sz w:val="22"/>
          <w:szCs w:val="22"/>
        </w:rPr>
      </w:pPr>
      <w:r w:rsidRPr="00DD2D3F">
        <w:rPr>
          <w:bCs/>
          <w:sz w:val="22"/>
          <w:szCs w:val="22"/>
        </w:rPr>
        <w:t>2</w:t>
      </w:r>
      <w:r w:rsidR="005A41A7" w:rsidRPr="00DD2D3F">
        <w:rPr>
          <w:bCs/>
          <w:sz w:val="22"/>
          <w:szCs w:val="22"/>
        </w:rPr>
        <w:t>.0</w:t>
      </w:r>
      <w:r w:rsidR="00ED13FE" w:rsidRPr="00DD2D3F">
        <w:rPr>
          <w:bCs/>
          <w:sz w:val="22"/>
          <w:szCs w:val="22"/>
        </w:rPr>
        <w:t>3</w:t>
      </w:r>
      <w:r w:rsidR="00EA6B34" w:rsidRPr="00DD2D3F">
        <w:rPr>
          <w:bCs/>
          <w:sz w:val="22"/>
          <w:szCs w:val="22"/>
        </w:rPr>
        <w:t>.</w:t>
      </w:r>
      <w:r w:rsidR="00240D73" w:rsidRPr="00DD2D3F">
        <w:rPr>
          <w:bCs/>
          <w:sz w:val="22"/>
          <w:szCs w:val="22"/>
        </w:rPr>
        <w:tab/>
      </w:r>
      <w:r w:rsidRPr="00DD2D3F">
        <w:rPr>
          <w:b/>
          <w:bCs/>
          <w:i/>
          <w:sz w:val="22"/>
          <w:szCs w:val="22"/>
        </w:rPr>
        <w:t>Monitoring, Reporting and Evaluation</w:t>
      </w:r>
      <w:r w:rsidR="006A5F73" w:rsidRPr="00DD2D3F">
        <w:rPr>
          <w:b/>
          <w:bCs/>
          <w:i/>
          <w:sz w:val="22"/>
          <w:szCs w:val="22"/>
        </w:rPr>
        <w:t xml:space="preserve"> of the Activities</w:t>
      </w:r>
      <w:r w:rsidRPr="00DD2D3F">
        <w:rPr>
          <w:b/>
          <w:bCs/>
          <w:i/>
          <w:sz w:val="22"/>
          <w:szCs w:val="22"/>
        </w:rPr>
        <w:t xml:space="preserve">.  </w:t>
      </w:r>
      <w:r w:rsidRPr="00DD2D3F">
        <w:rPr>
          <w:sz w:val="22"/>
          <w:szCs w:val="22"/>
        </w:rPr>
        <w:t xml:space="preserve">The Recipient shall monitor and evaluate the progress of the </w:t>
      </w:r>
      <w:r w:rsidR="006A5F73" w:rsidRPr="00DD2D3F">
        <w:rPr>
          <w:sz w:val="22"/>
          <w:szCs w:val="22"/>
        </w:rPr>
        <w:t>Activities</w:t>
      </w:r>
      <w:r w:rsidRPr="00DD2D3F">
        <w:rPr>
          <w:sz w:val="22"/>
          <w:szCs w:val="22"/>
        </w:rPr>
        <w:t xml:space="preserve"> in accordance with the provisions of </w:t>
      </w:r>
      <w:r w:rsidR="00674F73" w:rsidRPr="00DD2D3F">
        <w:rPr>
          <w:sz w:val="22"/>
          <w:szCs w:val="22"/>
        </w:rPr>
        <w:t>Section 2.</w:t>
      </w:r>
      <w:r w:rsidRPr="00DD2D3F">
        <w:rPr>
          <w:sz w:val="22"/>
          <w:szCs w:val="22"/>
        </w:rPr>
        <w:t xml:space="preserve">08 of the </w:t>
      </w:r>
      <w:r w:rsidR="0088692B" w:rsidRPr="00DD2D3F">
        <w:rPr>
          <w:sz w:val="22"/>
          <w:szCs w:val="22"/>
        </w:rPr>
        <w:t xml:space="preserve">Standard </w:t>
      </w:r>
      <w:r w:rsidRPr="00DD2D3F">
        <w:rPr>
          <w:sz w:val="22"/>
          <w:szCs w:val="22"/>
        </w:rPr>
        <w:t>Conditions.</w:t>
      </w:r>
    </w:p>
    <w:p w:rsidR="00270A2D" w:rsidRPr="00DD2D3F" w:rsidRDefault="00270A2D" w:rsidP="00270A2D">
      <w:pPr>
        <w:spacing w:line="240" w:lineRule="auto"/>
        <w:jc w:val="both"/>
        <w:rPr>
          <w:b/>
          <w:bCs/>
          <w:i/>
          <w:sz w:val="22"/>
          <w:szCs w:val="22"/>
        </w:rPr>
      </w:pPr>
    </w:p>
    <w:p w:rsidR="006A5F73" w:rsidRDefault="00CA1738" w:rsidP="00885569">
      <w:pPr>
        <w:spacing w:line="240" w:lineRule="auto"/>
        <w:jc w:val="both"/>
        <w:rPr>
          <w:bCs/>
          <w:sz w:val="22"/>
          <w:szCs w:val="22"/>
        </w:rPr>
      </w:pPr>
      <w:r w:rsidRPr="00270A2D">
        <w:rPr>
          <w:sz w:val="22"/>
          <w:szCs w:val="22"/>
        </w:rPr>
        <w:lastRenderedPageBreak/>
        <w:t>2</w:t>
      </w:r>
      <w:r w:rsidR="00C1409F" w:rsidRPr="00270A2D">
        <w:rPr>
          <w:sz w:val="22"/>
          <w:szCs w:val="22"/>
        </w:rPr>
        <w:t>.</w:t>
      </w:r>
      <w:r w:rsidR="00ED13FE">
        <w:rPr>
          <w:sz w:val="22"/>
          <w:szCs w:val="22"/>
        </w:rPr>
        <w:t>04</w:t>
      </w:r>
      <w:r w:rsidRPr="00270A2D">
        <w:rPr>
          <w:sz w:val="22"/>
          <w:szCs w:val="22"/>
        </w:rPr>
        <w:t>.</w:t>
      </w:r>
      <w:r w:rsidRPr="00270A2D">
        <w:rPr>
          <w:sz w:val="22"/>
          <w:szCs w:val="22"/>
        </w:rPr>
        <w:tab/>
      </w:r>
      <w:r w:rsidR="00240D73" w:rsidRPr="00270A2D">
        <w:rPr>
          <w:b/>
          <w:bCs/>
          <w:i/>
          <w:sz w:val="22"/>
          <w:szCs w:val="22"/>
        </w:rPr>
        <w:t>Financial Management.</w:t>
      </w:r>
      <w:r w:rsidR="00240D73" w:rsidRPr="00270A2D">
        <w:rPr>
          <w:bCs/>
          <w:sz w:val="22"/>
          <w:szCs w:val="22"/>
        </w:rPr>
        <w:t xml:space="preserve">  (</w:t>
      </w:r>
      <w:r w:rsidR="005A41A7" w:rsidRPr="00270A2D">
        <w:rPr>
          <w:bCs/>
          <w:sz w:val="22"/>
          <w:szCs w:val="22"/>
        </w:rPr>
        <w:t>a</w:t>
      </w:r>
      <w:r w:rsidR="00724B23" w:rsidRPr="00270A2D">
        <w:rPr>
          <w:bCs/>
          <w:sz w:val="22"/>
          <w:szCs w:val="22"/>
        </w:rPr>
        <w:t>)</w:t>
      </w:r>
      <w:r w:rsidR="00724B23" w:rsidRPr="00270A2D">
        <w:rPr>
          <w:bCs/>
          <w:sz w:val="22"/>
          <w:szCs w:val="22"/>
        </w:rPr>
        <w:tab/>
      </w:r>
      <w:r w:rsidR="005A41A7" w:rsidRPr="00270A2D">
        <w:rPr>
          <w:bCs/>
          <w:sz w:val="22"/>
          <w:szCs w:val="22"/>
        </w:rPr>
        <w:t xml:space="preserve">The Recipient shall </w:t>
      </w:r>
      <w:r w:rsidR="00F445EE" w:rsidRPr="00270A2D">
        <w:rPr>
          <w:bCs/>
          <w:sz w:val="22"/>
          <w:szCs w:val="22"/>
        </w:rPr>
        <w:t xml:space="preserve">ensure that </w:t>
      </w:r>
      <w:r w:rsidR="005A41A7" w:rsidRPr="00270A2D">
        <w:rPr>
          <w:bCs/>
          <w:sz w:val="22"/>
          <w:szCs w:val="22"/>
        </w:rPr>
        <w:t xml:space="preserve">a financial management system </w:t>
      </w:r>
      <w:r w:rsidR="00F445EE" w:rsidRPr="00270A2D">
        <w:rPr>
          <w:bCs/>
          <w:sz w:val="22"/>
          <w:szCs w:val="22"/>
        </w:rPr>
        <w:t xml:space="preserve">is maintained </w:t>
      </w:r>
      <w:r w:rsidR="005A41A7" w:rsidRPr="00270A2D">
        <w:rPr>
          <w:bCs/>
          <w:sz w:val="22"/>
          <w:szCs w:val="22"/>
        </w:rPr>
        <w:t>in accordance</w:t>
      </w:r>
      <w:r w:rsidR="005A41A7" w:rsidRPr="009661FB">
        <w:rPr>
          <w:bCs/>
          <w:sz w:val="22"/>
          <w:szCs w:val="22"/>
        </w:rPr>
        <w:t xml:space="preserve"> with the provisions of </w:t>
      </w:r>
      <w:r w:rsidR="000716D2">
        <w:rPr>
          <w:bCs/>
          <w:sz w:val="22"/>
          <w:szCs w:val="22"/>
        </w:rPr>
        <w:t>Section 2.</w:t>
      </w:r>
      <w:r w:rsidR="00EA5387" w:rsidRPr="009661FB">
        <w:rPr>
          <w:bCs/>
          <w:sz w:val="22"/>
          <w:szCs w:val="22"/>
        </w:rPr>
        <w:t>0</w:t>
      </w:r>
      <w:r w:rsidR="00884E97">
        <w:rPr>
          <w:bCs/>
          <w:sz w:val="22"/>
          <w:szCs w:val="22"/>
        </w:rPr>
        <w:t>9</w:t>
      </w:r>
      <w:r w:rsidR="003D1246" w:rsidRPr="009661FB">
        <w:rPr>
          <w:bCs/>
          <w:sz w:val="22"/>
          <w:szCs w:val="22"/>
        </w:rPr>
        <w:t xml:space="preserve"> </w:t>
      </w:r>
      <w:r w:rsidR="005A41A7" w:rsidRPr="009661FB">
        <w:rPr>
          <w:bCs/>
          <w:sz w:val="22"/>
          <w:szCs w:val="22"/>
        </w:rPr>
        <w:t xml:space="preserve">of the </w:t>
      </w:r>
      <w:r w:rsidR="002F11C9">
        <w:rPr>
          <w:bCs/>
          <w:sz w:val="22"/>
          <w:szCs w:val="22"/>
        </w:rPr>
        <w:t xml:space="preserve">Standard </w:t>
      </w:r>
      <w:r w:rsidR="00EA0313">
        <w:rPr>
          <w:bCs/>
          <w:sz w:val="22"/>
          <w:szCs w:val="22"/>
        </w:rPr>
        <w:t>Conditions</w:t>
      </w:r>
      <w:r w:rsidR="006A5F73">
        <w:rPr>
          <w:bCs/>
          <w:sz w:val="22"/>
          <w:szCs w:val="22"/>
        </w:rPr>
        <w:t>.</w:t>
      </w:r>
    </w:p>
    <w:p w:rsidR="006A5F73" w:rsidRDefault="006A5F73" w:rsidP="00885569">
      <w:pPr>
        <w:spacing w:line="240" w:lineRule="auto"/>
        <w:jc w:val="both"/>
        <w:rPr>
          <w:bCs/>
          <w:sz w:val="22"/>
          <w:szCs w:val="22"/>
        </w:rPr>
      </w:pPr>
    </w:p>
    <w:p w:rsidR="00167F2E" w:rsidRPr="00E7610B" w:rsidRDefault="00167F2E" w:rsidP="00167F2E">
      <w:pPr>
        <w:spacing w:line="240" w:lineRule="auto"/>
        <w:ind w:firstLine="720"/>
        <w:jc w:val="both"/>
        <w:rPr>
          <w:sz w:val="22"/>
          <w:szCs w:val="22"/>
        </w:rPr>
      </w:pPr>
      <w:r>
        <w:rPr>
          <w:bCs/>
          <w:sz w:val="22"/>
          <w:szCs w:val="22"/>
        </w:rPr>
        <w:t>(b)</w:t>
      </w:r>
      <w:r>
        <w:rPr>
          <w:sz w:val="22"/>
          <w:szCs w:val="22"/>
        </w:rPr>
        <w:tab/>
        <w:t xml:space="preserve">The Recipient shall ensure that </w:t>
      </w:r>
      <w:r w:rsidRPr="00090D80">
        <w:rPr>
          <w:sz w:val="22"/>
          <w:szCs w:val="22"/>
        </w:rPr>
        <w:t>interim un</w:t>
      </w:r>
      <w:r>
        <w:rPr>
          <w:sz w:val="22"/>
          <w:szCs w:val="22"/>
        </w:rPr>
        <w:t>-</w:t>
      </w:r>
      <w:r w:rsidRPr="00090D80">
        <w:rPr>
          <w:sz w:val="22"/>
          <w:szCs w:val="22"/>
        </w:rPr>
        <w:t xml:space="preserve">audited financial reports for the </w:t>
      </w:r>
      <w:r>
        <w:rPr>
          <w:sz w:val="22"/>
          <w:szCs w:val="22"/>
        </w:rPr>
        <w:t>Activities</w:t>
      </w:r>
      <w:r w:rsidRPr="00090D80">
        <w:rPr>
          <w:sz w:val="22"/>
          <w:szCs w:val="22"/>
        </w:rPr>
        <w:t xml:space="preserve"> are prepared and furnished to the </w:t>
      </w:r>
      <w:r>
        <w:rPr>
          <w:sz w:val="22"/>
          <w:szCs w:val="22"/>
        </w:rPr>
        <w:t>World Bank</w:t>
      </w:r>
      <w:r w:rsidRPr="00E7610B">
        <w:rPr>
          <w:sz w:val="22"/>
          <w:szCs w:val="22"/>
        </w:rPr>
        <w:t xml:space="preserve"> not later than </w:t>
      </w:r>
      <w:r>
        <w:rPr>
          <w:sz w:val="22"/>
          <w:szCs w:val="22"/>
        </w:rPr>
        <w:t>45 days</w:t>
      </w:r>
      <w:r w:rsidRPr="00E7610B">
        <w:rPr>
          <w:sz w:val="22"/>
          <w:szCs w:val="22"/>
        </w:rPr>
        <w:t xml:space="preserve"> after the end of each calendar quarter, covering the quarter, in form and substance satisfactory to the </w:t>
      </w:r>
      <w:r>
        <w:rPr>
          <w:sz w:val="22"/>
          <w:szCs w:val="22"/>
        </w:rPr>
        <w:t>World Bank</w:t>
      </w:r>
      <w:r w:rsidRPr="00E7610B">
        <w:rPr>
          <w:sz w:val="22"/>
          <w:szCs w:val="22"/>
        </w:rPr>
        <w:t>.</w:t>
      </w:r>
    </w:p>
    <w:p w:rsidR="00167F2E" w:rsidRPr="009661FB" w:rsidRDefault="00167F2E" w:rsidP="00167F2E">
      <w:pPr>
        <w:spacing w:line="240" w:lineRule="auto"/>
        <w:ind w:left="1440" w:hanging="720"/>
        <w:jc w:val="both"/>
        <w:rPr>
          <w:bCs/>
          <w:sz w:val="22"/>
          <w:szCs w:val="22"/>
        </w:rPr>
      </w:pPr>
    </w:p>
    <w:p w:rsidR="00757FFE" w:rsidRDefault="00167F2E" w:rsidP="00167F2E">
      <w:pPr>
        <w:pStyle w:val="ModelNrmlDouble"/>
        <w:tabs>
          <w:tab w:val="left" w:pos="-720"/>
          <w:tab w:val="left" w:pos="720"/>
        </w:tabs>
        <w:suppressAutoHyphens/>
        <w:spacing w:after="0" w:line="240" w:lineRule="auto"/>
        <w:ind w:firstLine="0"/>
        <w:rPr>
          <w:bCs/>
          <w:szCs w:val="22"/>
        </w:rPr>
      </w:pPr>
      <w:r>
        <w:rPr>
          <w:szCs w:val="22"/>
        </w:rPr>
        <w:tab/>
        <w:t>(c)</w:t>
      </w:r>
      <w:r w:rsidRPr="00E7610B">
        <w:rPr>
          <w:szCs w:val="22"/>
        </w:rPr>
        <w:tab/>
      </w:r>
      <w:r>
        <w:rPr>
          <w:spacing w:val="-3"/>
          <w:szCs w:val="24"/>
        </w:rPr>
        <w:t xml:space="preserve">The </w:t>
      </w:r>
      <w:r w:rsidRPr="00E20C0E">
        <w:rPr>
          <w:bCs/>
          <w:szCs w:val="22"/>
        </w:rPr>
        <w:t>Recipient shall have its Financial Statements audited in accordance with the provisions of Sections 2.09 (b) of the Standard Conditions</w:t>
      </w:r>
      <w:r>
        <w:rPr>
          <w:bCs/>
          <w:szCs w:val="22"/>
        </w:rPr>
        <w:t>.  Such audit of the Financial Statements shall cover the period of one fiscal year of the Recipient, commencing with the fiscal year in which the first withdrawal under the Advance was made.  The audited Financial Statements for such period shall be furnished to the Bank not later than six months after the end of such period</w:t>
      </w:r>
      <w:r w:rsidR="00D844EE">
        <w:rPr>
          <w:bCs/>
          <w:szCs w:val="22"/>
        </w:rPr>
        <w:t>.</w:t>
      </w:r>
    </w:p>
    <w:p w:rsidR="00757FFE" w:rsidRDefault="00757FFE" w:rsidP="00E20C0E">
      <w:pPr>
        <w:pStyle w:val="ModelNrmlDouble"/>
        <w:tabs>
          <w:tab w:val="left" w:pos="-720"/>
          <w:tab w:val="left" w:pos="720"/>
        </w:tabs>
        <w:suppressAutoHyphens/>
        <w:spacing w:after="0" w:line="240" w:lineRule="auto"/>
        <w:ind w:firstLine="0"/>
        <w:rPr>
          <w:bCs/>
          <w:szCs w:val="22"/>
        </w:rPr>
      </w:pPr>
    </w:p>
    <w:p w:rsidR="00240D73" w:rsidRDefault="0088692B" w:rsidP="00F85D36">
      <w:pPr>
        <w:spacing w:line="240" w:lineRule="auto"/>
        <w:jc w:val="both"/>
        <w:rPr>
          <w:b/>
          <w:bCs/>
          <w:i/>
          <w:sz w:val="22"/>
          <w:szCs w:val="22"/>
        </w:rPr>
      </w:pPr>
      <w:r>
        <w:rPr>
          <w:bCs/>
          <w:sz w:val="22"/>
          <w:szCs w:val="22"/>
        </w:rPr>
        <w:t>2</w:t>
      </w:r>
      <w:r w:rsidR="00ED13FE">
        <w:rPr>
          <w:bCs/>
          <w:sz w:val="22"/>
          <w:szCs w:val="22"/>
        </w:rPr>
        <w:t>.05</w:t>
      </w:r>
      <w:r w:rsidR="00604B11" w:rsidRPr="009661FB">
        <w:rPr>
          <w:bCs/>
          <w:sz w:val="22"/>
          <w:szCs w:val="22"/>
        </w:rPr>
        <w:t>.</w:t>
      </w:r>
      <w:r w:rsidR="00240D73" w:rsidRPr="009661FB">
        <w:rPr>
          <w:bCs/>
          <w:sz w:val="22"/>
          <w:szCs w:val="22"/>
        </w:rPr>
        <w:tab/>
      </w:r>
      <w:r w:rsidR="00240D73" w:rsidRPr="009661FB">
        <w:rPr>
          <w:b/>
          <w:bCs/>
          <w:i/>
          <w:sz w:val="22"/>
          <w:szCs w:val="22"/>
        </w:rPr>
        <w:t>Procurement</w:t>
      </w:r>
    </w:p>
    <w:p w:rsidR="004B1C85" w:rsidRPr="009661FB" w:rsidRDefault="004B1C85" w:rsidP="005A41A7">
      <w:pPr>
        <w:spacing w:line="240" w:lineRule="auto"/>
        <w:ind w:left="1440" w:hanging="720"/>
        <w:jc w:val="both"/>
        <w:rPr>
          <w:b/>
          <w:bCs/>
          <w:sz w:val="22"/>
          <w:szCs w:val="22"/>
        </w:rPr>
      </w:pPr>
    </w:p>
    <w:p w:rsidR="00DA53FB" w:rsidRDefault="00DA53FB" w:rsidP="00AC2FF9">
      <w:pPr>
        <w:spacing w:line="240" w:lineRule="auto"/>
        <w:ind w:firstLine="720"/>
        <w:jc w:val="both"/>
        <w:rPr>
          <w:sz w:val="22"/>
          <w:szCs w:val="22"/>
        </w:rPr>
      </w:pPr>
      <w:r w:rsidRPr="009661FB">
        <w:rPr>
          <w:bCs/>
          <w:sz w:val="22"/>
          <w:szCs w:val="22"/>
        </w:rPr>
        <w:t>(a)</w:t>
      </w:r>
      <w:r w:rsidRPr="009661FB">
        <w:rPr>
          <w:bCs/>
          <w:sz w:val="22"/>
          <w:szCs w:val="22"/>
        </w:rPr>
        <w:tab/>
      </w:r>
      <w:r w:rsidRPr="009661FB">
        <w:rPr>
          <w:bCs/>
          <w:sz w:val="22"/>
          <w:szCs w:val="22"/>
          <w:u w:val="single"/>
        </w:rPr>
        <w:t>General</w:t>
      </w:r>
      <w:r>
        <w:rPr>
          <w:bCs/>
          <w:sz w:val="22"/>
          <w:szCs w:val="22"/>
        </w:rPr>
        <w:t xml:space="preserve">.  </w:t>
      </w:r>
      <w:r w:rsidRPr="00E7610B">
        <w:rPr>
          <w:sz w:val="22"/>
          <w:szCs w:val="22"/>
        </w:rPr>
        <w:t xml:space="preserve">All </w:t>
      </w:r>
      <w:r>
        <w:rPr>
          <w:sz w:val="22"/>
          <w:szCs w:val="22"/>
        </w:rPr>
        <w:t>services</w:t>
      </w:r>
      <w:r w:rsidRPr="00E7610B">
        <w:rPr>
          <w:sz w:val="22"/>
          <w:szCs w:val="22"/>
        </w:rPr>
        <w:t xml:space="preserve"> required for the </w:t>
      </w:r>
      <w:r>
        <w:rPr>
          <w:sz w:val="22"/>
          <w:szCs w:val="22"/>
        </w:rPr>
        <w:t xml:space="preserve">Activities </w:t>
      </w:r>
      <w:r w:rsidRPr="00E7610B">
        <w:rPr>
          <w:sz w:val="22"/>
          <w:szCs w:val="22"/>
        </w:rPr>
        <w:t xml:space="preserve">and to be financed out of the proceeds of the </w:t>
      </w:r>
      <w:r>
        <w:rPr>
          <w:sz w:val="22"/>
          <w:szCs w:val="22"/>
        </w:rPr>
        <w:t>Advance</w:t>
      </w:r>
      <w:r w:rsidRPr="00E7610B">
        <w:rPr>
          <w:sz w:val="22"/>
          <w:szCs w:val="22"/>
        </w:rPr>
        <w:t xml:space="preserve"> shall be procured in accordance with the requirements set forth or referred to in</w:t>
      </w:r>
      <w:r>
        <w:rPr>
          <w:sz w:val="22"/>
          <w:szCs w:val="22"/>
        </w:rPr>
        <w:t>:</w:t>
      </w:r>
    </w:p>
    <w:p w:rsidR="00DA53FB" w:rsidRPr="009661FB" w:rsidRDefault="00DA53FB" w:rsidP="005A41A7">
      <w:pPr>
        <w:spacing w:line="240" w:lineRule="auto"/>
        <w:ind w:left="1440" w:hanging="720"/>
        <w:jc w:val="both"/>
        <w:rPr>
          <w:b/>
          <w:bCs/>
          <w:sz w:val="22"/>
          <w:szCs w:val="22"/>
        </w:rPr>
      </w:pPr>
    </w:p>
    <w:p w:rsidR="00DA53FB" w:rsidRDefault="00DA53FB" w:rsidP="00AC2FF9">
      <w:pPr>
        <w:tabs>
          <w:tab w:val="left" w:pos="720"/>
        </w:tabs>
        <w:spacing w:line="240" w:lineRule="auto"/>
        <w:jc w:val="both"/>
        <w:rPr>
          <w:sz w:val="22"/>
          <w:szCs w:val="22"/>
        </w:rPr>
      </w:pPr>
      <w:r>
        <w:rPr>
          <w:bCs/>
          <w:sz w:val="22"/>
          <w:szCs w:val="22"/>
        </w:rPr>
        <w:tab/>
      </w:r>
      <w:r>
        <w:rPr>
          <w:bCs/>
          <w:sz w:val="22"/>
          <w:szCs w:val="22"/>
        </w:rPr>
        <w:tab/>
      </w:r>
      <w:r w:rsidRPr="00B9054E">
        <w:rPr>
          <w:bCs/>
          <w:sz w:val="22"/>
          <w:szCs w:val="22"/>
        </w:rPr>
        <w:t>(i)</w:t>
      </w:r>
      <w:r w:rsidRPr="00B9054E">
        <w:rPr>
          <w:bCs/>
          <w:sz w:val="22"/>
          <w:szCs w:val="22"/>
        </w:rPr>
        <w:tab/>
      </w:r>
      <w:r w:rsidRPr="00B9054E">
        <w:rPr>
          <w:sz w:val="22"/>
          <w:szCs w:val="22"/>
        </w:rPr>
        <w:t xml:space="preserve">“Guidelines: Selection and Employment of Consultants by World Bank </w:t>
      </w:r>
      <w:r>
        <w:rPr>
          <w:sz w:val="22"/>
          <w:szCs w:val="22"/>
        </w:rPr>
        <w:t>Borrowers</w:t>
      </w:r>
      <w:r w:rsidRPr="00B9054E">
        <w:rPr>
          <w:sz w:val="22"/>
          <w:szCs w:val="22"/>
        </w:rPr>
        <w:t xml:space="preserve">” published by the World Bank in May 2004 </w:t>
      </w:r>
      <w:r>
        <w:rPr>
          <w:sz w:val="22"/>
          <w:szCs w:val="22"/>
        </w:rPr>
        <w:t xml:space="preserve">and revised in October 2006 </w:t>
      </w:r>
      <w:r w:rsidR="00A50249">
        <w:rPr>
          <w:sz w:val="22"/>
          <w:szCs w:val="22"/>
        </w:rPr>
        <w:t xml:space="preserve">and May 2010 </w:t>
      </w:r>
      <w:r w:rsidRPr="00B9054E">
        <w:rPr>
          <w:sz w:val="22"/>
          <w:szCs w:val="22"/>
        </w:rPr>
        <w:t>(</w:t>
      </w:r>
      <w:r>
        <w:rPr>
          <w:sz w:val="22"/>
          <w:szCs w:val="22"/>
        </w:rPr>
        <w:t>“</w:t>
      </w:r>
      <w:r w:rsidRPr="00B9054E">
        <w:rPr>
          <w:sz w:val="22"/>
          <w:szCs w:val="22"/>
        </w:rPr>
        <w:t>Consultant Guidelines</w:t>
      </w:r>
      <w:r>
        <w:rPr>
          <w:sz w:val="22"/>
          <w:szCs w:val="22"/>
        </w:rPr>
        <w:t>”</w:t>
      </w:r>
      <w:r w:rsidRPr="00B9054E">
        <w:rPr>
          <w:sz w:val="22"/>
          <w:szCs w:val="22"/>
        </w:rPr>
        <w:t>)</w:t>
      </w:r>
      <w:r>
        <w:rPr>
          <w:sz w:val="22"/>
          <w:szCs w:val="22"/>
        </w:rPr>
        <w:t xml:space="preserve"> in the case of consultants’ services; and</w:t>
      </w:r>
    </w:p>
    <w:p w:rsidR="00DA53FB" w:rsidRDefault="00DA53FB" w:rsidP="00AC2FF9">
      <w:pPr>
        <w:tabs>
          <w:tab w:val="num" w:pos="0"/>
        </w:tabs>
        <w:spacing w:line="240" w:lineRule="auto"/>
        <w:jc w:val="both"/>
        <w:rPr>
          <w:sz w:val="22"/>
          <w:szCs w:val="22"/>
        </w:rPr>
      </w:pPr>
    </w:p>
    <w:p w:rsidR="00DA53FB" w:rsidRDefault="0005012D" w:rsidP="006F140B">
      <w:pPr>
        <w:tabs>
          <w:tab w:val="num" w:pos="0"/>
        </w:tabs>
        <w:spacing w:line="240" w:lineRule="auto"/>
        <w:jc w:val="both"/>
        <w:rPr>
          <w:sz w:val="22"/>
          <w:szCs w:val="22"/>
        </w:rPr>
      </w:pPr>
      <w:r>
        <w:rPr>
          <w:sz w:val="22"/>
          <w:szCs w:val="22"/>
        </w:rPr>
        <w:tab/>
      </w:r>
      <w:r>
        <w:rPr>
          <w:sz w:val="22"/>
          <w:szCs w:val="22"/>
        </w:rPr>
        <w:tab/>
      </w:r>
      <w:r w:rsidR="00DA53FB">
        <w:rPr>
          <w:sz w:val="22"/>
          <w:szCs w:val="22"/>
        </w:rPr>
        <w:t>(ii)</w:t>
      </w:r>
      <w:r w:rsidR="00DA53FB">
        <w:rPr>
          <w:sz w:val="22"/>
          <w:szCs w:val="22"/>
        </w:rPr>
        <w:tab/>
      </w:r>
      <w:r w:rsidR="00DA53FB" w:rsidRPr="00B9054E">
        <w:rPr>
          <w:sz w:val="22"/>
          <w:szCs w:val="22"/>
        </w:rPr>
        <w:t xml:space="preserve">the provisions of </w:t>
      </w:r>
      <w:r w:rsidR="00DA53FB" w:rsidRPr="00090D80">
        <w:rPr>
          <w:sz w:val="22"/>
          <w:szCs w:val="22"/>
        </w:rPr>
        <w:t>this Section</w:t>
      </w:r>
      <w:r w:rsidR="00DA53FB" w:rsidRPr="00B9054E">
        <w:rPr>
          <w:sz w:val="22"/>
          <w:szCs w:val="22"/>
        </w:rPr>
        <w:t>,</w:t>
      </w:r>
      <w:r w:rsidR="00DA53FB">
        <w:rPr>
          <w:sz w:val="22"/>
          <w:szCs w:val="22"/>
        </w:rPr>
        <w:t xml:space="preserve"> </w:t>
      </w:r>
      <w:r w:rsidR="00DA53FB" w:rsidRPr="00B9054E">
        <w:rPr>
          <w:sz w:val="22"/>
          <w:szCs w:val="22"/>
        </w:rPr>
        <w:t xml:space="preserve">as </w:t>
      </w:r>
      <w:r w:rsidR="00DA53FB">
        <w:rPr>
          <w:sz w:val="22"/>
          <w:szCs w:val="22"/>
        </w:rPr>
        <w:t xml:space="preserve">the same shall be </w:t>
      </w:r>
      <w:r w:rsidR="00DA53FB" w:rsidRPr="00B9054E">
        <w:rPr>
          <w:sz w:val="22"/>
          <w:szCs w:val="22"/>
        </w:rPr>
        <w:t>elaborated in the</w:t>
      </w:r>
      <w:r w:rsidR="00DA53FB">
        <w:rPr>
          <w:sz w:val="22"/>
          <w:szCs w:val="22"/>
        </w:rPr>
        <w:t xml:space="preserve"> procurement plan prepared and updated from time to time by the Recipient for the</w:t>
      </w:r>
      <w:r w:rsidR="004B1C85">
        <w:rPr>
          <w:sz w:val="22"/>
          <w:szCs w:val="22"/>
        </w:rPr>
        <w:t xml:space="preserve"> Activities in accordance with </w:t>
      </w:r>
      <w:r w:rsidR="00DA53FB">
        <w:rPr>
          <w:sz w:val="22"/>
          <w:szCs w:val="22"/>
        </w:rPr>
        <w:t>paragraph 1.16 of</w:t>
      </w:r>
      <w:r w:rsidR="004B1C85">
        <w:rPr>
          <w:sz w:val="22"/>
          <w:szCs w:val="22"/>
        </w:rPr>
        <w:t xml:space="preserve"> the Procurement Guidelines and</w:t>
      </w:r>
      <w:r w:rsidR="00DA53FB">
        <w:rPr>
          <w:sz w:val="22"/>
          <w:szCs w:val="22"/>
        </w:rPr>
        <w:t xml:space="preserve"> </w:t>
      </w:r>
      <w:r w:rsidR="00DA53FB" w:rsidRPr="00B9054E">
        <w:rPr>
          <w:sz w:val="22"/>
          <w:szCs w:val="22"/>
        </w:rPr>
        <w:t>paragraph 1.24 of the Consultant Guidelines</w:t>
      </w:r>
      <w:r w:rsidR="00DA53FB">
        <w:rPr>
          <w:sz w:val="22"/>
          <w:szCs w:val="22"/>
        </w:rPr>
        <w:t xml:space="preserve"> (“Procurement Plan”)</w:t>
      </w:r>
      <w:r w:rsidR="00DA53FB" w:rsidRPr="00B9054E">
        <w:rPr>
          <w:sz w:val="22"/>
          <w:szCs w:val="22"/>
        </w:rPr>
        <w:t>.</w:t>
      </w:r>
    </w:p>
    <w:p w:rsidR="00DA53FB" w:rsidRDefault="00DA53FB" w:rsidP="00AC2FF9">
      <w:pPr>
        <w:tabs>
          <w:tab w:val="num" w:pos="0"/>
        </w:tabs>
        <w:spacing w:line="240" w:lineRule="auto"/>
        <w:jc w:val="both"/>
        <w:rPr>
          <w:sz w:val="22"/>
          <w:szCs w:val="22"/>
        </w:rPr>
      </w:pPr>
    </w:p>
    <w:p w:rsidR="00DA53FB" w:rsidRPr="009661FB" w:rsidRDefault="00DA53FB" w:rsidP="005926D7">
      <w:pPr>
        <w:tabs>
          <w:tab w:val="num" w:pos="0"/>
        </w:tabs>
        <w:spacing w:line="240" w:lineRule="auto"/>
        <w:jc w:val="both"/>
        <w:rPr>
          <w:sz w:val="22"/>
          <w:szCs w:val="22"/>
        </w:rPr>
      </w:pPr>
      <w:r>
        <w:rPr>
          <w:sz w:val="22"/>
          <w:szCs w:val="22"/>
        </w:rPr>
        <w:tab/>
      </w:r>
      <w:r w:rsidRPr="009661FB">
        <w:rPr>
          <w:bCs/>
          <w:sz w:val="22"/>
          <w:szCs w:val="22"/>
        </w:rPr>
        <w:t>(</w:t>
      </w:r>
      <w:r>
        <w:rPr>
          <w:bCs/>
          <w:sz w:val="22"/>
          <w:szCs w:val="22"/>
        </w:rPr>
        <w:t>b</w:t>
      </w:r>
      <w:r w:rsidRPr="009661FB">
        <w:rPr>
          <w:bCs/>
          <w:sz w:val="22"/>
          <w:szCs w:val="22"/>
        </w:rPr>
        <w:t>)</w:t>
      </w:r>
      <w:r w:rsidRPr="009661FB">
        <w:rPr>
          <w:bCs/>
          <w:sz w:val="22"/>
          <w:szCs w:val="22"/>
        </w:rPr>
        <w:tab/>
      </w:r>
      <w:r w:rsidRPr="009661FB">
        <w:rPr>
          <w:bCs/>
          <w:sz w:val="22"/>
          <w:szCs w:val="22"/>
          <w:u w:val="single"/>
        </w:rPr>
        <w:t>Definitions</w:t>
      </w:r>
      <w:r w:rsidRPr="009661FB">
        <w:rPr>
          <w:bCs/>
          <w:sz w:val="22"/>
          <w:szCs w:val="22"/>
        </w:rPr>
        <w:t>.</w:t>
      </w:r>
      <w:r w:rsidRPr="009661FB">
        <w:rPr>
          <w:sz w:val="22"/>
          <w:szCs w:val="22"/>
        </w:rPr>
        <w:t xml:space="preserve">  The capitalized terms used in the following paragraphs of this Section to describe particular procurement methods or methods of review by the </w:t>
      </w:r>
      <w:r>
        <w:rPr>
          <w:sz w:val="22"/>
          <w:szCs w:val="22"/>
        </w:rPr>
        <w:t>World Bank</w:t>
      </w:r>
      <w:r w:rsidRPr="009661FB">
        <w:rPr>
          <w:sz w:val="22"/>
          <w:szCs w:val="22"/>
        </w:rPr>
        <w:t xml:space="preserve"> of particular contracts, refer to the corresponding method described in the Consultant Guidelines</w:t>
      </w:r>
      <w:r w:rsidR="0005012D">
        <w:rPr>
          <w:sz w:val="22"/>
          <w:szCs w:val="22"/>
        </w:rPr>
        <w:t>.</w:t>
      </w:r>
    </w:p>
    <w:p w:rsidR="00DA53FB" w:rsidRPr="00B9054E" w:rsidRDefault="00DA53FB" w:rsidP="00AC2FF9">
      <w:pPr>
        <w:tabs>
          <w:tab w:val="num" w:pos="0"/>
        </w:tabs>
        <w:spacing w:line="240" w:lineRule="auto"/>
        <w:jc w:val="both"/>
        <w:rPr>
          <w:sz w:val="22"/>
          <w:szCs w:val="22"/>
        </w:rPr>
      </w:pPr>
    </w:p>
    <w:p w:rsidR="00DA53FB" w:rsidRPr="009661FB" w:rsidRDefault="00DA53FB" w:rsidP="00382316">
      <w:pPr>
        <w:spacing w:line="240" w:lineRule="auto"/>
        <w:ind w:firstLine="720"/>
        <w:jc w:val="both"/>
        <w:rPr>
          <w:bCs/>
          <w:sz w:val="22"/>
          <w:szCs w:val="22"/>
        </w:rPr>
      </w:pPr>
      <w:r w:rsidRPr="009661FB">
        <w:rPr>
          <w:bCs/>
          <w:sz w:val="22"/>
          <w:szCs w:val="22"/>
        </w:rPr>
        <w:t>(</w:t>
      </w:r>
      <w:r w:rsidR="0005012D">
        <w:rPr>
          <w:bCs/>
          <w:sz w:val="22"/>
          <w:szCs w:val="22"/>
        </w:rPr>
        <w:t>c</w:t>
      </w:r>
      <w:r w:rsidRPr="009661FB">
        <w:rPr>
          <w:bCs/>
          <w:sz w:val="22"/>
          <w:szCs w:val="22"/>
        </w:rPr>
        <w:t xml:space="preserve">) </w:t>
      </w:r>
      <w:r w:rsidRPr="009661FB">
        <w:rPr>
          <w:bCs/>
          <w:sz w:val="22"/>
          <w:szCs w:val="22"/>
        </w:rPr>
        <w:tab/>
      </w:r>
      <w:r w:rsidRPr="009661FB">
        <w:rPr>
          <w:bCs/>
          <w:sz w:val="22"/>
          <w:szCs w:val="22"/>
          <w:u w:val="single"/>
        </w:rPr>
        <w:t>Particular Methods of Procurement of Consultants’ Services</w:t>
      </w:r>
    </w:p>
    <w:p w:rsidR="00DA53FB" w:rsidRPr="009661FB" w:rsidRDefault="00DA53FB" w:rsidP="00382316">
      <w:pPr>
        <w:spacing w:line="240" w:lineRule="auto"/>
        <w:jc w:val="both"/>
        <w:rPr>
          <w:sz w:val="22"/>
          <w:szCs w:val="22"/>
        </w:rPr>
      </w:pPr>
    </w:p>
    <w:p w:rsidR="00DA53FB" w:rsidRDefault="00DA53FB" w:rsidP="005B3DDD">
      <w:pPr>
        <w:spacing w:line="240" w:lineRule="auto"/>
        <w:ind w:firstLine="1440"/>
        <w:jc w:val="both"/>
        <w:rPr>
          <w:sz w:val="22"/>
          <w:szCs w:val="22"/>
        </w:rPr>
      </w:pPr>
      <w:r w:rsidRPr="009661FB">
        <w:rPr>
          <w:bCs/>
          <w:sz w:val="22"/>
          <w:szCs w:val="22"/>
        </w:rPr>
        <w:t>(i)</w:t>
      </w:r>
      <w:r w:rsidRPr="009661FB">
        <w:rPr>
          <w:bCs/>
          <w:sz w:val="22"/>
          <w:szCs w:val="22"/>
        </w:rPr>
        <w:tab/>
      </w:r>
      <w:r w:rsidRPr="009661FB">
        <w:rPr>
          <w:sz w:val="22"/>
          <w:szCs w:val="22"/>
        </w:rPr>
        <w:t xml:space="preserve">Except as otherwise provided in </w:t>
      </w:r>
      <w:r>
        <w:rPr>
          <w:sz w:val="22"/>
          <w:szCs w:val="22"/>
        </w:rPr>
        <w:t xml:space="preserve">sub-paragraph </w:t>
      </w:r>
      <w:r w:rsidRPr="009661FB">
        <w:rPr>
          <w:sz w:val="22"/>
          <w:szCs w:val="22"/>
        </w:rPr>
        <w:t>(ii) below, consultants’ services shall be procured under contracts awarded on the basis of Quality</w:t>
      </w:r>
      <w:r>
        <w:rPr>
          <w:sz w:val="22"/>
          <w:szCs w:val="22"/>
        </w:rPr>
        <w:t>-</w:t>
      </w:r>
      <w:r w:rsidRPr="009661FB">
        <w:rPr>
          <w:sz w:val="22"/>
          <w:szCs w:val="22"/>
        </w:rPr>
        <w:t xml:space="preserve"> and Cost-based Selection.</w:t>
      </w:r>
    </w:p>
    <w:p w:rsidR="00DA53FB" w:rsidRPr="009661FB" w:rsidRDefault="00DA53FB" w:rsidP="00F47859">
      <w:pPr>
        <w:spacing w:line="240" w:lineRule="auto"/>
        <w:jc w:val="both"/>
        <w:rPr>
          <w:i/>
          <w:iCs/>
          <w:sz w:val="22"/>
          <w:szCs w:val="22"/>
        </w:rPr>
      </w:pPr>
    </w:p>
    <w:p w:rsidR="00DA53FB" w:rsidRPr="009661FB" w:rsidRDefault="00DA53FB" w:rsidP="005B3DDD">
      <w:pPr>
        <w:spacing w:line="240" w:lineRule="auto"/>
        <w:ind w:firstLine="1440"/>
        <w:jc w:val="both"/>
        <w:rPr>
          <w:sz w:val="22"/>
          <w:szCs w:val="22"/>
        </w:rPr>
      </w:pPr>
      <w:r w:rsidRPr="009661FB">
        <w:rPr>
          <w:bCs/>
          <w:sz w:val="22"/>
          <w:szCs w:val="22"/>
        </w:rPr>
        <w:t>(ii)</w:t>
      </w:r>
      <w:r w:rsidRPr="009661FB">
        <w:rPr>
          <w:bCs/>
          <w:sz w:val="22"/>
          <w:szCs w:val="22"/>
        </w:rPr>
        <w:tab/>
      </w:r>
      <w:r w:rsidRPr="009661FB">
        <w:rPr>
          <w:sz w:val="22"/>
          <w:szCs w:val="22"/>
        </w:rPr>
        <w:t>The following methods</w:t>
      </w:r>
      <w:r>
        <w:rPr>
          <w:sz w:val="22"/>
          <w:szCs w:val="22"/>
        </w:rPr>
        <w:t xml:space="preserve">, </w:t>
      </w:r>
      <w:r w:rsidRPr="004379D5">
        <w:rPr>
          <w:sz w:val="22"/>
          <w:szCs w:val="22"/>
        </w:rPr>
        <w:t xml:space="preserve">other than </w:t>
      </w:r>
      <w:r>
        <w:rPr>
          <w:sz w:val="22"/>
          <w:szCs w:val="22"/>
        </w:rPr>
        <w:t xml:space="preserve">Quality- and Cost-based Selection, </w:t>
      </w:r>
      <w:r w:rsidRPr="009661FB">
        <w:rPr>
          <w:sz w:val="22"/>
          <w:szCs w:val="22"/>
        </w:rPr>
        <w:t>may be used for the procurement of consultants’ services</w:t>
      </w:r>
      <w:r>
        <w:rPr>
          <w:sz w:val="22"/>
          <w:szCs w:val="22"/>
        </w:rPr>
        <w:t xml:space="preserve"> for those assignments</w:t>
      </w:r>
      <w:r w:rsidRPr="009661FB">
        <w:rPr>
          <w:sz w:val="22"/>
          <w:szCs w:val="22"/>
        </w:rPr>
        <w:t xml:space="preserve"> </w:t>
      </w:r>
      <w:r w:rsidRPr="004379D5">
        <w:rPr>
          <w:sz w:val="22"/>
          <w:szCs w:val="22"/>
        </w:rPr>
        <w:t>which are specified in the Procurement Plan</w:t>
      </w:r>
      <w:r w:rsidRPr="009661FB">
        <w:rPr>
          <w:sz w:val="22"/>
          <w:szCs w:val="22"/>
        </w:rPr>
        <w:t>:  (A) Selection based on Consultants’ Qualification</w:t>
      </w:r>
      <w:r w:rsidR="0005012D">
        <w:rPr>
          <w:sz w:val="22"/>
          <w:szCs w:val="22"/>
        </w:rPr>
        <w:t>s; and (B</w:t>
      </w:r>
      <w:r w:rsidRPr="009661FB">
        <w:rPr>
          <w:sz w:val="22"/>
          <w:szCs w:val="22"/>
        </w:rPr>
        <w:t>) Selection of Individua</w:t>
      </w:r>
      <w:r w:rsidR="0005012D">
        <w:rPr>
          <w:sz w:val="22"/>
          <w:szCs w:val="22"/>
        </w:rPr>
        <w:t>l Consultants</w:t>
      </w:r>
      <w:r w:rsidRPr="009661FB">
        <w:rPr>
          <w:sz w:val="22"/>
          <w:szCs w:val="22"/>
        </w:rPr>
        <w:t>.</w:t>
      </w:r>
    </w:p>
    <w:p w:rsidR="00DA53FB" w:rsidRPr="009661FB" w:rsidRDefault="00DA53FB" w:rsidP="00382316">
      <w:pPr>
        <w:pStyle w:val="ModelDoubleNoIndent"/>
        <w:spacing w:after="0" w:line="240" w:lineRule="auto"/>
        <w:rPr>
          <w:szCs w:val="22"/>
        </w:rPr>
      </w:pPr>
    </w:p>
    <w:p w:rsidR="00DA53FB" w:rsidRPr="004379D5" w:rsidRDefault="00DA53FB" w:rsidP="0005012D">
      <w:pPr>
        <w:pStyle w:val="ModelNrmlSingle"/>
        <w:spacing w:after="0"/>
        <w:rPr>
          <w:b/>
          <w:bCs/>
          <w:szCs w:val="22"/>
        </w:rPr>
      </w:pPr>
      <w:r w:rsidRPr="009661FB">
        <w:rPr>
          <w:bCs/>
          <w:szCs w:val="22"/>
        </w:rPr>
        <w:t>(</w:t>
      </w:r>
      <w:r w:rsidR="0005012D">
        <w:rPr>
          <w:bCs/>
          <w:szCs w:val="22"/>
        </w:rPr>
        <w:t>d</w:t>
      </w:r>
      <w:r w:rsidRPr="009661FB">
        <w:rPr>
          <w:bCs/>
          <w:szCs w:val="22"/>
        </w:rPr>
        <w:t>)</w:t>
      </w:r>
      <w:r w:rsidRPr="009661FB">
        <w:rPr>
          <w:bCs/>
          <w:szCs w:val="22"/>
        </w:rPr>
        <w:tab/>
      </w:r>
      <w:r w:rsidRPr="009661FB">
        <w:rPr>
          <w:bCs/>
          <w:szCs w:val="22"/>
          <w:u w:val="single"/>
        </w:rPr>
        <w:t xml:space="preserve">Review by the </w:t>
      </w:r>
      <w:r>
        <w:rPr>
          <w:bCs/>
          <w:szCs w:val="22"/>
          <w:u w:val="single"/>
        </w:rPr>
        <w:t>World Bank</w:t>
      </w:r>
      <w:r w:rsidRPr="009661FB">
        <w:rPr>
          <w:bCs/>
          <w:szCs w:val="22"/>
          <w:u w:val="single"/>
        </w:rPr>
        <w:t xml:space="preserve"> of Procurement Decisions</w:t>
      </w:r>
      <w:r w:rsidR="0005012D">
        <w:rPr>
          <w:bCs/>
          <w:szCs w:val="22"/>
          <w:u w:val="single"/>
        </w:rPr>
        <w:t xml:space="preserve">:  </w:t>
      </w:r>
      <w:r w:rsidRPr="004379D5">
        <w:rPr>
          <w:szCs w:val="22"/>
        </w:rPr>
        <w:t xml:space="preserve">Except as the </w:t>
      </w:r>
      <w:r>
        <w:rPr>
          <w:szCs w:val="22"/>
        </w:rPr>
        <w:t>World Bank</w:t>
      </w:r>
      <w:r w:rsidRPr="004379D5">
        <w:rPr>
          <w:szCs w:val="22"/>
        </w:rPr>
        <w:t xml:space="preserve"> shall otherwise determine by notice to the Recipient, the following contracts shall be subject to Prior Review by the </w:t>
      </w:r>
      <w:r>
        <w:rPr>
          <w:szCs w:val="22"/>
        </w:rPr>
        <w:t>World Bank</w:t>
      </w:r>
      <w:r w:rsidRPr="004379D5">
        <w:rPr>
          <w:szCs w:val="22"/>
        </w:rPr>
        <w:t>:  each contract for consultants’ services provided by a firm estimated to cost the equivalent of $</w:t>
      </w:r>
      <w:r w:rsidR="0005012D">
        <w:rPr>
          <w:szCs w:val="22"/>
        </w:rPr>
        <w:t>100,000</w:t>
      </w:r>
      <w:r w:rsidRPr="004379D5">
        <w:rPr>
          <w:szCs w:val="22"/>
        </w:rPr>
        <w:t xml:space="preserve"> or more.  </w:t>
      </w:r>
      <w:r w:rsidR="0005012D" w:rsidRPr="0005012D">
        <w:rPr>
          <w:szCs w:val="22"/>
        </w:rPr>
        <w:t xml:space="preserve">In addition, the following prior review </w:t>
      </w:r>
      <w:r w:rsidR="0005012D" w:rsidRPr="0005012D">
        <w:rPr>
          <w:szCs w:val="22"/>
        </w:rPr>
        <w:lastRenderedPageBreak/>
        <w:t>procedures shall apply to each contract for the employment of individual consultants estimated to cost the equivalent of $</w:t>
      </w:r>
      <w:r w:rsidR="0005012D">
        <w:rPr>
          <w:szCs w:val="22"/>
        </w:rPr>
        <w:t>50,000</w:t>
      </w:r>
      <w:r w:rsidR="0005012D" w:rsidRPr="0005012D">
        <w:rPr>
          <w:szCs w:val="22"/>
        </w:rPr>
        <w:t xml:space="preserve"> or more: (i) the report on the comparison of the qualifications and experience of candidates, terms of reference and conditions of employment of the consultant shall be furnished to the World Bank for its prior review and approval; (ii) the contract shall be awarded only after the World Bank’s approval shall have been given; and (iii) the provisions of paragraph 3 and 5 of Appendix 1 to the Consultant Guidelines shall apply to the contract.  The following prior review procedures shall apply to each contract for the employment of individual consultants to be selected on a sole source basis: (i) the qualifications, experience, terms of reference and conditions of employment of the consultants shall be furnished to the World Bank for its prior review and approval; (ii) the contract shall be awarded only after the World Bank’s approval shall have been given; and (iii) the provisions of paragraph 3 of Appendix 1 to the Consultant Guidelines shall apply to the contract.</w:t>
      </w:r>
      <w:r w:rsidR="0005012D">
        <w:rPr>
          <w:szCs w:val="22"/>
        </w:rPr>
        <w:t xml:space="preserve">  </w:t>
      </w:r>
      <w:r w:rsidRPr="004379D5">
        <w:rPr>
          <w:szCs w:val="22"/>
        </w:rPr>
        <w:t xml:space="preserve">All other contracts shall be subject to Post Review by the </w:t>
      </w:r>
      <w:r>
        <w:rPr>
          <w:szCs w:val="22"/>
        </w:rPr>
        <w:t>World Bank</w:t>
      </w:r>
      <w:r w:rsidR="0005012D">
        <w:rPr>
          <w:szCs w:val="22"/>
        </w:rPr>
        <w:t>.</w:t>
      </w:r>
    </w:p>
    <w:p w:rsidR="00DA53FB" w:rsidRDefault="00DA53FB" w:rsidP="00B9054E">
      <w:pPr>
        <w:pStyle w:val="ModelNrmlSingle"/>
        <w:spacing w:after="0"/>
        <w:ind w:firstLine="0"/>
        <w:jc w:val="center"/>
        <w:rPr>
          <w:b/>
          <w:szCs w:val="22"/>
        </w:rPr>
      </w:pPr>
    </w:p>
    <w:p w:rsidR="00DA53FB" w:rsidRDefault="00DA53FB" w:rsidP="00C42B50">
      <w:pPr>
        <w:pStyle w:val="ModelNrmlSingle"/>
        <w:spacing w:after="0"/>
        <w:ind w:firstLine="0"/>
        <w:jc w:val="center"/>
        <w:rPr>
          <w:b/>
          <w:szCs w:val="22"/>
        </w:rPr>
      </w:pPr>
      <w:r>
        <w:rPr>
          <w:b/>
          <w:szCs w:val="22"/>
        </w:rPr>
        <w:t>Article III</w:t>
      </w:r>
    </w:p>
    <w:p w:rsidR="00DA53FB" w:rsidRDefault="00DA53FB" w:rsidP="00C42B50">
      <w:pPr>
        <w:pStyle w:val="ModelNrmlSingle"/>
        <w:spacing w:after="0"/>
        <w:ind w:firstLine="0"/>
        <w:jc w:val="center"/>
        <w:rPr>
          <w:bCs/>
          <w:szCs w:val="22"/>
        </w:rPr>
      </w:pPr>
      <w:r>
        <w:rPr>
          <w:b/>
          <w:szCs w:val="22"/>
        </w:rPr>
        <w:t>Wit</w:t>
      </w:r>
      <w:r w:rsidRPr="009661FB">
        <w:rPr>
          <w:b/>
          <w:szCs w:val="22"/>
        </w:rPr>
        <w:t xml:space="preserve">hdrawal of </w:t>
      </w:r>
      <w:r>
        <w:rPr>
          <w:b/>
          <w:szCs w:val="22"/>
        </w:rPr>
        <w:t>the Advance</w:t>
      </w:r>
    </w:p>
    <w:p w:rsidR="00DA53FB" w:rsidRDefault="00DA53FB" w:rsidP="00C42B50">
      <w:pPr>
        <w:pStyle w:val="ModelNrmlSingle"/>
        <w:spacing w:after="0"/>
        <w:ind w:firstLine="0"/>
        <w:rPr>
          <w:bCs/>
          <w:szCs w:val="22"/>
        </w:rPr>
      </w:pPr>
    </w:p>
    <w:p w:rsidR="00DA53FB" w:rsidRDefault="00DA53FB" w:rsidP="00C42B50">
      <w:pPr>
        <w:pStyle w:val="ModelNrmlSingle"/>
        <w:ind w:firstLine="0"/>
        <w:rPr>
          <w:szCs w:val="22"/>
        </w:rPr>
      </w:pPr>
      <w:r>
        <w:rPr>
          <w:bCs/>
          <w:szCs w:val="22"/>
        </w:rPr>
        <w:t>3</w:t>
      </w:r>
      <w:r w:rsidRPr="009661FB">
        <w:rPr>
          <w:bCs/>
          <w:szCs w:val="22"/>
        </w:rPr>
        <w:t>.01.</w:t>
      </w:r>
      <w:r w:rsidRPr="009661FB">
        <w:rPr>
          <w:bCs/>
          <w:szCs w:val="22"/>
        </w:rPr>
        <w:tab/>
      </w:r>
      <w:r w:rsidRPr="009661FB">
        <w:rPr>
          <w:b/>
          <w:bCs/>
          <w:i/>
          <w:szCs w:val="22"/>
        </w:rPr>
        <w:t>Eligible Expenditures.</w:t>
      </w:r>
      <w:r w:rsidRPr="009661FB">
        <w:rPr>
          <w:bCs/>
          <w:szCs w:val="22"/>
        </w:rPr>
        <w:t xml:space="preserve">  </w:t>
      </w:r>
      <w:r w:rsidRPr="004379D5">
        <w:rPr>
          <w:szCs w:val="22"/>
        </w:rPr>
        <w:t xml:space="preserve">The Recipient may withdraw the proceeds of the </w:t>
      </w:r>
      <w:r>
        <w:rPr>
          <w:szCs w:val="22"/>
        </w:rPr>
        <w:t>Advance</w:t>
      </w:r>
      <w:r w:rsidRPr="004379D5">
        <w:rPr>
          <w:szCs w:val="22"/>
        </w:rPr>
        <w:t xml:space="preserve"> in accordance with the provisions o</w:t>
      </w:r>
      <w:r>
        <w:rPr>
          <w:szCs w:val="22"/>
        </w:rPr>
        <w:t>:</w:t>
      </w:r>
      <w:r w:rsidRPr="004379D5">
        <w:rPr>
          <w:szCs w:val="22"/>
        </w:rPr>
        <w:t xml:space="preserve"> </w:t>
      </w:r>
      <w:r>
        <w:rPr>
          <w:szCs w:val="22"/>
        </w:rPr>
        <w:t xml:space="preserve">(a) </w:t>
      </w:r>
      <w:r w:rsidRPr="004379D5">
        <w:rPr>
          <w:szCs w:val="22"/>
        </w:rPr>
        <w:t>Article II</w:t>
      </w:r>
      <w:r>
        <w:rPr>
          <w:szCs w:val="22"/>
        </w:rPr>
        <w:t>I</w:t>
      </w:r>
      <w:r w:rsidRPr="004379D5">
        <w:rPr>
          <w:szCs w:val="22"/>
        </w:rPr>
        <w:t xml:space="preserve"> of the </w:t>
      </w:r>
      <w:r>
        <w:rPr>
          <w:szCs w:val="22"/>
        </w:rPr>
        <w:t xml:space="preserve">Standard Conditions; (b) </w:t>
      </w:r>
      <w:r w:rsidRPr="004379D5">
        <w:rPr>
          <w:szCs w:val="22"/>
        </w:rPr>
        <w:t>this Section</w:t>
      </w:r>
      <w:r>
        <w:rPr>
          <w:szCs w:val="22"/>
        </w:rPr>
        <w:t>;</w:t>
      </w:r>
      <w:r w:rsidRPr="004379D5">
        <w:rPr>
          <w:szCs w:val="22"/>
        </w:rPr>
        <w:t xml:space="preserve"> and </w:t>
      </w:r>
      <w:r>
        <w:rPr>
          <w:szCs w:val="22"/>
        </w:rPr>
        <w:t xml:space="preserve">(c) </w:t>
      </w:r>
      <w:r w:rsidRPr="004379D5">
        <w:rPr>
          <w:szCs w:val="22"/>
        </w:rPr>
        <w:t xml:space="preserve">such additional instructions as the </w:t>
      </w:r>
      <w:r>
        <w:rPr>
          <w:szCs w:val="22"/>
        </w:rPr>
        <w:t>World Bank</w:t>
      </w:r>
      <w:r w:rsidRPr="004379D5">
        <w:rPr>
          <w:szCs w:val="22"/>
        </w:rPr>
        <w:t xml:space="preserve"> may specify by notice to the Recipient</w:t>
      </w:r>
      <w:r>
        <w:rPr>
          <w:szCs w:val="22"/>
        </w:rPr>
        <w:t xml:space="preserve"> (including</w:t>
      </w:r>
      <w:r w:rsidRPr="00BB1408">
        <w:rPr>
          <w:szCs w:val="22"/>
        </w:rPr>
        <w:t xml:space="preserve"> </w:t>
      </w:r>
      <w:r>
        <w:rPr>
          <w:szCs w:val="22"/>
        </w:rPr>
        <w:t>the “World Bank Disbursement Guidelines for Projects” dated May 2006, as revised from time to time by the World Bank and as made applicable to this Agreement pursuant to such instructions)</w:t>
      </w:r>
      <w:r w:rsidRPr="004379D5">
        <w:rPr>
          <w:szCs w:val="22"/>
        </w:rPr>
        <w:t xml:space="preserve">, to finance </w:t>
      </w:r>
      <w:r w:rsidR="00F766FA">
        <w:rPr>
          <w:szCs w:val="22"/>
        </w:rPr>
        <w:t>100</w:t>
      </w:r>
      <w:r w:rsidRPr="004379D5">
        <w:rPr>
          <w:szCs w:val="22"/>
        </w:rPr>
        <w:t xml:space="preserve">% of Eligible Expenditures </w:t>
      </w:r>
      <w:r w:rsidR="00F766FA">
        <w:rPr>
          <w:szCs w:val="22"/>
        </w:rPr>
        <w:t xml:space="preserve">consisting </w:t>
      </w:r>
      <w:r w:rsidR="00F85D36">
        <w:rPr>
          <w:szCs w:val="22"/>
        </w:rPr>
        <w:t xml:space="preserve">of </w:t>
      </w:r>
      <w:r w:rsidR="00F766FA">
        <w:rPr>
          <w:szCs w:val="22"/>
        </w:rPr>
        <w:t>consultants’ services</w:t>
      </w:r>
      <w:r w:rsidR="006458B9">
        <w:rPr>
          <w:szCs w:val="22"/>
        </w:rPr>
        <w:t xml:space="preserve"> </w:t>
      </w:r>
      <w:r w:rsidR="006458B9" w:rsidRPr="0088776F">
        <w:rPr>
          <w:szCs w:val="22"/>
        </w:rPr>
        <w:t>and operating costs</w:t>
      </w:r>
      <w:r w:rsidR="00172AD4">
        <w:rPr>
          <w:szCs w:val="22"/>
        </w:rPr>
        <w:t>.</w:t>
      </w:r>
    </w:p>
    <w:p w:rsidR="0088776F" w:rsidRPr="0088776F" w:rsidRDefault="0088776F" w:rsidP="00C42B50">
      <w:pPr>
        <w:pStyle w:val="ModelNrmlSingle"/>
        <w:ind w:firstLine="0"/>
        <w:rPr>
          <w:szCs w:val="22"/>
        </w:rPr>
      </w:pPr>
      <w:r w:rsidRPr="00EF3D41">
        <w:rPr>
          <w:szCs w:val="22"/>
        </w:rPr>
        <w:t xml:space="preserve">For the purposes of this section, the term </w:t>
      </w:r>
      <w:r w:rsidR="00172AD4">
        <w:rPr>
          <w:szCs w:val="22"/>
        </w:rPr>
        <w:t>‘</w:t>
      </w:r>
      <w:r w:rsidRPr="00EF3D41">
        <w:rPr>
          <w:szCs w:val="22"/>
        </w:rPr>
        <w:t>operating costs</w:t>
      </w:r>
      <w:r w:rsidR="00172AD4">
        <w:rPr>
          <w:szCs w:val="22"/>
        </w:rPr>
        <w:t>’</w:t>
      </w:r>
      <w:r w:rsidRPr="00EF3D41">
        <w:rPr>
          <w:szCs w:val="22"/>
        </w:rPr>
        <w:t xml:space="preserve"> means incremental expenses incurred by the </w:t>
      </w:r>
      <w:r w:rsidR="00EF3D41" w:rsidRPr="00EF3D41">
        <w:rPr>
          <w:szCs w:val="22"/>
        </w:rPr>
        <w:t>Recipient</w:t>
      </w:r>
      <w:r w:rsidRPr="00EF3D41">
        <w:rPr>
          <w:szCs w:val="22"/>
        </w:rPr>
        <w:t xml:space="preserve"> on account of </w:t>
      </w:r>
      <w:r w:rsidR="00EF3D41" w:rsidRPr="00EF3D41">
        <w:rPr>
          <w:szCs w:val="22"/>
        </w:rPr>
        <w:t xml:space="preserve">the </w:t>
      </w:r>
      <w:r w:rsidRPr="00EF3D41">
        <w:rPr>
          <w:szCs w:val="22"/>
        </w:rPr>
        <w:t>management and implementation</w:t>
      </w:r>
      <w:r w:rsidR="00EF3D41" w:rsidRPr="00EF3D41">
        <w:rPr>
          <w:szCs w:val="22"/>
        </w:rPr>
        <w:t xml:space="preserve"> of the Activities</w:t>
      </w:r>
      <w:r w:rsidRPr="00EF3D41">
        <w:rPr>
          <w:szCs w:val="22"/>
        </w:rPr>
        <w:t>, including the costs of commun</w:t>
      </w:r>
      <w:r w:rsidR="00EF3D41" w:rsidRPr="00EF3D41">
        <w:rPr>
          <w:szCs w:val="22"/>
        </w:rPr>
        <w:t>ication, printing and supplies</w:t>
      </w:r>
      <w:r w:rsidR="00D844EE">
        <w:rPr>
          <w:szCs w:val="22"/>
        </w:rPr>
        <w:t>,</w:t>
      </w:r>
      <w:r w:rsidR="00EF3D41" w:rsidRPr="00EF3D41">
        <w:rPr>
          <w:szCs w:val="22"/>
        </w:rPr>
        <w:t xml:space="preserve"> and costs of staff engaged for the Activities</w:t>
      </w:r>
      <w:r w:rsidRPr="00EF3D41">
        <w:rPr>
          <w:szCs w:val="22"/>
        </w:rPr>
        <w:t xml:space="preserve">, but excluding </w:t>
      </w:r>
      <w:r w:rsidRPr="00EF3D41">
        <w:rPr>
          <w:bCs/>
          <w:szCs w:val="22"/>
        </w:rPr>
        <w:t>civil servants’ salaries.</w:t>
      </w:r>
    </w:p>
    <w:p w:rsidR="00DA53FB" w:rsidRPr="009661FB" w:rsidRDefault="00DA53FB" w:rsidP="00172AD4">
      <w:pPr>
        <w:pStyle w:val="ModelNrmlSingle"/>
        <w:ind w:firstLine="0"/>
        <w:rPr>
          <w:bCs/>
          <w:szCs w:val="22"/>
        </w:rPr>
      </w:pPr>
      <w:r>
        <w:rPr>
          <w:bCs/>
          <w:szCs w:val="22"/>
        </w:rPr>
        <w:t>3</w:t>
      </w:r>
      <w:r w:rsidRPr="009661FB">
        <w:rPr>
          <w:bCs/>
          <w:szCs w:val="22"/>
        </w:rPr>
        <w:t>.02.</w:t>
      </w:r>
      <w:r w:rsidRPr="009661FB">
        <w:rPr>
          <w:bCs/>
          <w:szCs w:val="22"/>
        </w:rPr>
        <w:tab/>
      </w:r>
      <w:r w:rsidRPr="009661FB">
        <w:rPr>
          <w:b/>
          <w:bCs/>
          <w:i/>
          <w:szCs w:val="22"/>
        </w:rPr>
        <w:t>Withdrawal Conditions.</w:t>
      </w:r>
      <w:r w:rsidRPr="009661FB">
        <w:rPr>
          <w:bCs/>
          <w:szCs w:val="22"/>
        </w:rPr>
        <w:t xml:space="preserve">  Notwithstanding the provisions of Section 3.01 of </w:t>
      </w:r>
      <w:r>
        <w:rPr>
          <w:bCs/>
          <w:szCs w:val="22"/>
        </w:rPr>
        <w:t>t</w:t>
      </w:r>
      <w:r w:rsidRPr="009661FB">
        <w:rPr>
          <w:bCs/>
          <w:szCs w:val="22"/>
        </w:rPr>
        <w:t>his Agreeme</w:t>
      </w:r>
      <w:r w:rsidR="00EC72FE">
        <w:rPr>
          <w:bCs/>
          <w:szCs w:val="22"/>
        </w:rPr>
        <w:t>nt, no withdrawal shall be made</w:t>
      </w:r>
      <w:r w:rsidR="00172AD4">
        <w:rPr>
          <w:bCs/>
          <w:szCs w:val="22"/>
        </w:rPr>
        <w:t>, namely f</w:t>
      </w:r>
      <w:r w:rsidRPr="009661FB">
        <w:rPr>
          <w:bCs/>
          <w:szCs w:val="22"/>
        </w:rPr>
        <w:t xml:space="preserve">or payments made prior to the date </w:t>
      </w:r>
      <w:r>
        <w:rPr>
          <w:bCs/>
          <w:szCs w:val="22"/>
        </w:rPr>
        <w:t xml:space="preserve">of countersignature </w:t>
      </w:r>
      <w:r w:rsidRPr="009661FB">
        <w:rPr>
          <w:bCs/>
          <w:szCs w:val="22"/>
        </w:rPr>
        <w:t xml:space="preserve">of </w:t>
      </w:r>
      <w:r>
        <w:rPr>
          <w:bCs/>
          <w:szCs w:val="22"/>
        </w:rPr>
        <w:t>t</w:t>
      </w:r>
      <w:r w:rsidRPr="009661FB">
        <w:rPr>
          <w:bCs/>
          <w:szCs w:val="22"/>
        </w:rPr>
        <w:t xml:space="preserve">his Agreement </w:t>
      </w:r>
      <w:r>
        <w:rPr>
          <w:bCs/>
          <w:szCs w:val="22"/>
        </w:rPr>
        <w:t>by the Recipient</w:t>
      </w:r>
      <w:r w:rsidR="00172AD4">
        <w:rPr>
          <w:bCs/>
          <w:szCs w:val="22"/>
        </w:rPr>
        <w:t>.</w:t>
      </w:r>
    </w:p>
    <w:p w:rsidR="00C42B50" w:rsidRPr="00893231" w:rsidRDefault="00C42B50" w:rsidP="00C42B50">
      <w:pPr>
        <w:pStyle w:val="ModelNrmlSingle"/>
        <w:ind w:firstLine="0"/>
        <w:rPr>
          <w:bCs/>
          <w:szCs w:val="22"/>
        </w:rPr>
      </w:pPr>
      <w:r>
        <w:rPr>
          <w:bCs/>
          <w:szCs w:val="22"/>
        </w:rPr>
        <w:t>3</w:t>
      </w:r>
      <w:r w:rsidRPr="008B0B44">
        <w:rPr>
          <w:bCs/>
          <w:szCs w:val="22"/>
        </w:rPr>
        <w:t>.03.</w:t>
      </w:r>
      <w:r w:rsidRPr="009661FB">
        <w:rPr>
          <w:bCs/>
          <w:szCs w:val="22"/>
        </w:rPr>
        <w:tab/>
      </w:r>
      <w:r w:rsidR="00033809">
        <w:rPr>
          <w:b/>
          <w:bCs/>
          <w:i/>
          <w:szCs w:val="22"/>
        </w:rPr>
        <w:t>Refinancing</w:t>
      </w:r>
      <w:r w:rsidR="00033809" w:rsidRPr="00BC282E">
        <w:rPr>
          <w:b/>
          <w:bCs/>
          <w:i/>
          <w:szCs w:val="22"/>
        </w:rPr>
        <w:t xml:space="preserve"> </w:t>
      </w:r>
      <w:r w:rsidR="00F563A3" w:rsidRPr="00BC282E">
        <w:rPr>
          <w:b/>
          <w:bCs/>
          <w:i/>
          <w:szCs w:val="22"/>
        </w:rPr>
        <w:t>Date</w:t>
      </w:r>
      <w:r w:rsidRPr="00BC282E">
        <w:rPr>
          <w:b/>
          <w:bCs/>
          <w:i/>
          <w:szCs w:val="22"/>
        </w:rPr>
        <w:t>.</w:t>
      </w:r>
      <w:r w:rsidRPr="00BC282E">
        <w:rPr>
          <w:szCs w:val="22"/>
        </w:rPr>
        <w:t xml:space="preserve">  The</w:t>
      </w:r>
      <w:r w:rsidRPr="009661FB">
        <w:rPr>
          <w:szCs w:val="22"/>
        </w:rPr>
        <w:t xml:space="preserve"> </w:t>
      </w:r>
      <w:r w:rsidR="00033809">
        <w:rPr>
          <w:szCs w:val="22"/>
        </w:rPr>
        <w:t xml:space="preserve">Refinancing </w:t>
      </w:r>
      <w:r w:rsidRPr="009661FB">
        <w:rPr>
          <w:szCs w:val="22"/>
        </w:rPr>
        <w:t xml:space="preserve">Date </w:t>
      </w:r>
      <w:r>
        <w:rPr>
          <w:szCs w:val="22"/>
        </w:rPr>
        <w:t>is</w:t>
      </w:r>
      <w:r w:rsidR="00893231">
        <w:rPr>
          <w:szCs w:val="22"/>
        </w:rPr>
        <w:t xml:space="preserve"> December 31, 2011.</w:t>
      </w:r>
    </w:p>
    <w:p w:rsidR="00C42B50" w:rsidRPr="00C1409F" w:rsidRDefault="00C42B50" w:rsidP="00C42B50">
      <w:pPr>
        <w:pStyle w:val="BodyText"/>
        <w:jc w:val="center"/>
        <w:rPr>
          <w:b/>
          <w:bCs/>
          <w:sz w:val="22"/>
          <w:szCs w:val="22"/>
        </w:rPr>
      </w:pPr>
      <w:r w:rsidRPr="00C1409F">
        <w:rPr>
          <w:b/>
          <w:bCs/>
          <w:sz w:val="22"/>
          <w:szCs w:val="22"/>
        </w:rPr>
        <w:t xml:space="preserve">Article </w:t>
      </w:r>
      <w:r w:rsidR="00C1409F">
        <w:rPr>
          <w:b/>
          <w:bCs/>
          <w:sz w:val="22"/>
          <w:szCs w:val="22"/>
        </w:rPr>
        <w:t>I</w:t>
      </w:r>
      <w:r w:rsidRPr="00C1409F">
        <w:rPr>
          <w:b/>
          <w:bCs/>
          <w:sz w:val="22"/>
          <w:szCs w:val="22"/>
        </w:rPr>
        <w:t>V</w:t>
      </w:r>
    </w:p>
    <w:p w:rsidR="00C42B50" w:rsidRDefault="002F1E21" w:rsidP="00C42B50">
      <w:pPr>
        <w:pStyle w:val="BodyText"/>
        <w:jc w:val="center"/>
        <w:rPr>
          <w:b/>
          <w:bCs/>
          <w:sz w:val="22"/>
          <w:szCs w:val="22"/>
        </w:rPr>
      </w:pPr>
      <w:r>
        <w:rPr>
          <w:b/>
          <w:bCs/>
          <w:sz w:val="22"/>
          <w:szCs w:val="22"/>
        </w:rPr>
        <w:t>Terms of the Advance</w:t>
      </w:r>
    </w:p>
    <w:p w:rsidR="00FC7436" w:rsidRDefault="00FC7436" w:rsidP="00FC7436">
      <w:pPr>
        <w:pStyle w:val="REGULAR1"/>
        <w:jc w:val="both"/>
        <w:rPr>
          <w:rFonts w:ascii="Times New Roman" w:hAnsi="Times New Roman"/>
          <w:sz w:val="22"/>
        </w:rPr>
      </w:pPr>
    </w:p>
    <w:p w:rsidR="00356410" w:rsidRPr="000716D2" w:rsidRDefault="00FC7436" w:rsidP="00356410">
      <w:pPr>
        <w:pStyle w:val="REGULAR1"/>
        <w:jc w:val="both"/>
        <w:rPr>
          <w:rFonts w:ascii="Times New Roman" w:hAnsi="Times New Roman"/>
          <w:sz w:val="22"/>
        </w:rPr>
      </w:pPr>
      <w:r>
        <w:rPr>
          <w:rFonts w:ascii="Times New Roman" w:hAnsi="Times New Roman"/>
          <w:sz w:val="22"/>
        </w:rPr>
        <w:t>4.01.</w:t>
      </w:r>
      <w:r>
        <w:rPr>
          <w:rFonts w:ascii="Times New Roman" w:hAnsi="Times New Roman"/>
          <w:sz w:val="22"/>
        </w:rPr>
        <w:tab/>
      </w:r>
      <w:r w:rsidRPr="00EF3D41">
        <w:rPr>
          <w:rFonts w:ascii="Times New Roman" w:hAnsi="Times New Roman"/>
          <w:b/>
          <w:sz w:val="22"/>
        </w:rPr>
        <w:t>Interest</w:t>
      </w:r>
      <w:r w:rsidR="000716D2" w:rsidRPr="00EF3D41">
        <w:rPr>
          <w:rFonts w:ascii="Times New Roman" w:hAnsi="Times New Roman"/>
          <w:b/>
          <w:sz w:val="22"/>
        </w:rPr>
        <w:t>.</w:t>
      </w:r>
      <w:r w:rsidR="000716D2">
        <w:rPr>
          <w:rFonts w:ascii="Times New Roman" w:hAnsi="Times New Roman"/>
          <w:sz w:val="22"/>
        </w:rPr>
        <w:t xml:space="preserve">  The</w:t>
      </w:r>
      <w:r>
        <w:rPr>
          <w:rFonts w:ascii="Times New Roman" w:hAnsi="Times New Roman"/>
          <w:sz w:val="22"/>
        </w:rPr>
        <w:t xml:space="preserve"> Recipient </w:t>
      </w:r>
      <w:r w:rsidRPr="00EF3D41">
        <w:rPr>
          <w:rFonts w:ascii="Times New Roman" w:hAnsi="Times New Roman"/>
          <w:sz w:val="22"/>
        </w:rPr>
        <w:t xml:space="preserve">shall pay </w:t>
      </w:r>
      <w:r w:rsidR="00724C18" w:rsidRPr="00EF3D41">
        <w:rPr>
          <w:rFonts w:ascii="Times New Roman" w:hAnsi="Times New Roman"/>
          <w:sz w:val="22"/>
        </w:rPr>
        <w:t xml:space="preserve">interest on the </w:t>
      </w:r>
      <w:r w:rsidR="00D63C97" w:rsidRPr="00EF3D41">
        <w:rPr>
          <w:rFonts w:ascii="Times New Roman" w:hAnsi="Times New Roman"/>
          <w:sz w:val="22"/>
        </w:rPr>
        <w:t xml:space="preserve">Withdrawn </w:t>
      </w:r>
      <w:r w:rsidR="00724C18" w:rsidRPr="00EF3D41">
        <w:rPr>
          <w:rFonts w:ascii="Times New Roman" w:hAnsi="Times New Roman"/>
          <w:sz w:val="22"/>
        </w:rPr>
        <w:t xml:space="preserve">Advance </w:t>
      </w:r>
      <w:r w:rsidR="00D63C97" w:rsidRPr="00EF3D41">
        <w:rPr>
          <w:rFonts w:ascii="Times New Roman" w:hAnsi="Times New Roman"/>
          <w:sz w:val="22"/>
        </w:rPr>
        <w:t>Balance</w:t>
      </w:r>
      <w:r w:rsidR="00724C18" w:rsidRPr="00EF3D41">
        <w:rPr>
          <w:rFonts w:ascii="Times New Roman" w:hAnsi="Times New Roman"/>
          <w:sz w:val="22"/>
        </w:rPr>
        <w:t xml:space="preserve"> at a rate</w:t>
      </w:r>
      <w:r w:rsidR="000716D2" w:rsidRPr="00EF3D41">
        <w:rPr>
          <w:rFonts w:ascii="Times New Roman" w:hAnsi="Times New Roman"/>
          <w:sz w:val="22"/>
        </w:rPr>
        <w:t>,</w:t>
      </w:r>
      <w:r w:rsidR="00724C18" w:rsidRPr="00EF3D41">
        <w:rPr>
          <w:rFonts w:ascii="Times New Roman" w:hAnsi="Times New Roman"/>
          <w:sz w:val="22"/>
        </w:rPr>
        <w:t xml:space="preserve"> for each Interest Period</w:t>
      </w:r>
      <w:r w:rsidR="000716D2" w:rsidRPr="00EF3D41">
        <w:rPr>
          <w:rFonts w:ascii="Times New Roman" w:hAnsi="Times New Roman"/>
          <w:sz w:val="22"/>
        </w:rPr>
        <w:t>,</w:t>
      </w:r>
      <w:r w:rsidR="00724C18" w:rsidRPr="00EF3D41">
        <w:rPr>
          <w:rFonts w:ascii="Times New Roman" w:hAnsi="Times New Roman"/>
          <w:sz w:val="22"/>
        </w:rPr>
        <w:t xml:space="preserve"> equal to LIBOR </w:t>
      </w:r>
      <w:r w:rsidR="00D63C97" w:rsidRPr="00EF3D41">
        <w:rPr>
          <w:rFonts w:ascii="Times New Roman" w:hAnsi="Times New Roman"/>
          <w:sz w:val="22"/>
        </w:rPr>
        <w:t xml:space="preserve">for Dollars </w:t>
      </w:r>
      <w:r w:rsidR="00724C18" w:rsidRPr="00EF3D41">
        <w:rPr>
          <w:rFonts w:ascii="Times New Roman" w:hAnsi="Times New Roman"/>
          <w:sz w:val="22"/>
        </w:rPr>
        <w:t>plus the Fixed Spread.</w:t>
      </w:r>
      <w:r w:rsidR="00D63C97" w:rsidRPr="00EF3D41">
        <w:rPr>
          <w:rFonts w:ascii="Times New Roman" w:hAnsi="Times New Roman"/>
          <w:sz w:val="22"/>
        </w:rPr>
        <w:t xml:space="preserve">  </w:t>
      </w:r>
      <w:r w:rsidR="00743964" w:rsidRPr="00EF3D41">
        <w:rPr>
          <w:rFonts w:ascii="Times New Roman" w:hAnsi="Times New Roman"/>
          <w:sz w:val="22"/>
        </w:rPr>
        <w:t xml:space="preserve">Interest shall accrue from the respective dates on which amounts of the Advance are withdrawn and shall be paid in arrears in accordance with the provisions of Section 4.02 of this Agreement.  </w:t>
      </w:r>
      <w:r w:rsidR="00D63C97" w:rsidRPr="00EF3D41">
        <w:rPr>
          <w:rFonts w:ascii="Times New Roman" w:hAnsi="Times New Roman"/>
          <w:sz w:val="22"/>
        </w:rPr>
        <w:t xml:space="preserve">The </w:t>
      </w:r>
      <w:r w:rsidR="00C451DD" w:rsidRPr="00EF3D41">
        <w:rPr>
          <w:rFonts w:ascii="Times New Roman" w:hAnsi="Times New Roman"/>
          <w:sz w:val="22"/>
        </w:rPr>
        <w:t xml:space="preserve">Interest </w:t>
      </w:r>
      <w:r w:rsidR="00743964" w:rsidRPr="00EF3D41">
        <w:rPr>
          <w:rFonts w:ascii="Times New Roman" w:hAnsi="Times New Roman"/>
          <w:sz w:val="22"/>
        </w:rPr>
        <w:t xml:space="preserve">Period Determination </w:t>
      </w:r>
      <w:r w:rsidR="00C451DD" w:rsidRPr="00EF3D41">
        <w:rPr>
          <w:rFonts w:ascii="Times New Roman" w:hAnsi="Times New Roman"/>
          <w:sz w:val="22"/>
        </w:rPr>
        <w:t>Date</w:t>
      </w:r>
      <w:r w:rsidR="00D63C97" w:rsidRPr="00EF3D41">
        <w:rPr>
          <w:rFonts w:ascii="Times New Roman" w:hAnsi="Times New Roman"/>
          <w:sz w:val="22"/>
        </w:rPr>
        <w:t>s</w:t>
      </w:r>
      <w:r w:rsidR="00C451DD" w:rsidRPr="00EF3D41">
        <w:rPr>
          <w:rFonts w:ascii="Times New Roman" w:hAnsi="Times New Roman"/>
          <w:sz w:val="22"/>
        </w:rPr>
        <w:t xml:space="preserve"> </w:t>
      </w:r>
      <w:r w:rsidR="00D63C97" w:rsidRPr="00EF3D41">
        <w:rPr>
          <w:rFonts w:ascii="Times New Roman" w:hAnsi="Times New Roman"/>
          <w:sz w:val="22"/>
        </w:rPr>
        <w:t xml:space="preserve">are </w:t>
      </w:r>
      <w:r w:rsidR="00B951AE" w:rsidRPr="00EF3D41">
        <w:rPr>
          <w:rFonts w:ascii="Times New Roman" w:hAnsi="Times New Roman"/>
          <w:sz w:val="22"/>
        </w:rPr>
        <w:t>January 1</w:t>
      </w:r>
      <w:r w:rsidR="00D63C97" w:rsidRPr="00EF3D41">
        <w:rPr>
          <w:rFonts w:ascii="Times New Roman" w:hAnsi="Times New Roman"/>
          <w:sz w:val="22"/>
        </w:rPr>
        <w:t xml:space="preserve"> and </w:t>
      </w:r>
      <w:r w:rsidR="00B951AE" w:rsidRPr="00EF3D41">
        <w:rPr>
          <w:rFonts w:ascii="Times New Roman" w:hAnsi="Times New Roman"/>
          <w:sz w:val="22"/>
        </w:rPr>
        <w:t xml:space="preserve">July 1 </w:t>
      </w:r>
      <w:r w:rsidR="00D63C97" w:rsidRPr="00EF3D41">
        <w:rPr>
          <w:rFonts w:ascii="Times New Roman" w:hAnsi="Times New Roman"/>
          <w:sz w:val="22"/>
        </w:rPr>
        <w:t>in each year</w:t>
      </w:r>
      <w:r w:rsidR="00C451DD" w:rsidRPr="00EF3D41">
        <w:rPr>
          <w:rFonts w:ascii="Times New Roman" w:hAnsi="Times New Roman"/>
          <w:sz w:val="22"/>
        </w:rPr>
        <w:t>.</w:t>
      </w:r>
    </w:p>
    <w:p w:rsidR="00724C18" w:rsidRDefault="00724C18" w:rsidP="00D63C97">
      <w:pPr>
        <w:pStyle w:val="REGULAR1"/>
        <w:jc w:val="both"/>
        <w:rPr>
          <w:sz w:val="22"/>
          <w:szCs w:val="22"/>
        </w:rPr>
      </w:pPr>
    </w:p>
    <w:p w:rsidR="00F83DC3" w:rsidRDefault="00D63C97" w:rsidP="00F83DC3">
      <w:pPr>
        <w:pStyle w:val="REGULAR1"/>
        <w:jc w:val="both"/>
        <w:rPr>
          <w:rFonts w:ascii="Times New Roman" w:hAnsi="Times New Roman"/>
          <w:sz w:val="22"/>
        </w:rPr>
      </w:pPr>
      <w:r w:rsidRPr="00743964">
        <w:rPr>
          <w:sz w:val="22"/>
          <w:szCs w:val="22"/>
        </w:rPr>
        <w:t>4.02</w:t>
      </w:r>
      <w:r w:rsidR="00724C18" w:rsidRPr="00743964">
        <w:rPr>
          <w:sz w:val="22"/>
          <w:szCs w:val="22"/>
        </w:rPr>
        <w:t>.</w:t>
      </w:r>
      <w:r w:rsidR="00724C18" w:rsidRPr="00743964">
        <w:rPr>
          <w:sz w:val="22"/>
          <w:szCs w:val="22"/>
        </w:rPr>
        <w:tab/>
      </w:r>
      <w:r w:rsidR="00F83DC3" w:rsidRPr="00743964">
        <w:rPr>
          <w:rFonts w:ascii="Times New Roman" w:hAnsi="Times New Roman"/>
          <w:b/>
          <w:i/>
          <w:sz w:val="22"/>
        </w:rPr>
        <w:t xml:space="preserve">Repayment.  </w:t>
      </w:r>
      <w:r w:rsidR="00F83DC3" w:rsidRPr="00743964">
        <w:rPr>
          <w:rFonts w:ascii="Times New Roman" w:hAnsi="Times New Roman"/>
          <w:sz w:val="22"/>
        </w:rPr>
        <w:t>The Withdrawn Advance Balance, together with interest accrued thereon shall be repaid by the Recipient to the World Bank in accordance with the provisions of Article IV of the Standard Conditions and the following provisions:</w:t>
      </w:r>
    </w:p>
    <w:p w:rsidR="00351805" w:rsidRDefault="00351805" w:rsidP="00351805">
      <w:pPr>
        <w:pStyle w:val="REGULAR1"/>
        <w:jc w:val="both"/>
        <w:rPr>
          <w:rFonts w:ascii="Times New Roman" w:hAnsi="Times New Roman"/>
          <w:sz w:val="22"/>
        </w:rPr>
      </w:pPr>
    </w:p>
    <w:p w:rsidR="00E51E87" w:rsidRDefault="00351805" w:rsidP="00E51E87">
      <w:pPr>
        <w:pStyle w:val="REGULAR1"/>
        <w:ind w:firstLine="720"/>
        <w:jc w:val="both"/>
        <w:rPr>
          <w:rFonts w:ascii="Times New Roman" w:hAnsi="Times New Roman"/>
          <w:sz w:val="22"/>
        </w:rPr>
      </w:pPr>
      <w:r w:rsidRPr="004438AE">
        <w:rPr>
          <w:rFonts w:ascii="Times New Roman" w:hAnsi="Times New Roman"/>
          <w:sz w:val="22"/>
        </w:rPr>
        <w:lastRenderedPageBreak/>
        <w:t>(</w:t>
      </w:r>
      <w:r>
        <w:rPr>
          <w:rFonts w:ascii="Times New Roman" w:hAnsi="Times New Roman"/>
          <w:sz w:val="22"/>
        </w:rPr>
        <w:t>a</w:t>
      </w:r>
      <w:r w:rsidRPr="004438AE">
        <w:rPr>
          <w:rFonts w:ascii="Times New Roman" w:hAnsi="Times New Roman"/>
          <w:sz w:val="22"/>
        </w:rPr>
        <w:t>)</w:t>
      </w:r>
      <w:r>
        <w:rPr>
          <w:rFonts w:ascii="Times New Roman" w:hAnsi="Times New Roman"/>
          <w:sz w:val="22"/>
        </w:rPr>
        <w:tab/>
      </w:r>
      <w:r w:rsidR="00E51E87" w:rsidRPr="00E51E87">
        <w:rPr>
          <w:rFonts w:ascii="Times New Roman" w:hAnsi="Times New Roman"/>
          <w:i/>
          <w:sz w:val="22"/>
        </w:rPr>
        <w:t>Refinancing under the Refinancing Agreement:</w:t>
      </w:r>
      <w:r w:rsidR="00E51E87">
        <w:rPr>
          <w:rFonts w:ascii="Times New Roman" w:hAnsi="Times New Roman"/>
          <w:sz w:val="22"/>
        </w:rPr>
        <w:t xml:space="preserve">  If, </w:t>
      </w:r>
      <w:r w:rsidR="00F83DC3">
        <w:rPr>
          <w:rFonts w:ascii="Times New Roman" w:hAnsi="Times New Roman"/>
          <w:sz w:val="22"/>
        </w:rPr>
        <w:t>on or before</w:t>
      </w:r>
      <w:r w:rsidR="00E51E87">
        <w:rPr>
          <w:rFonts w:ascii="Times New Roman" w:hAnsi="Times New Roman"/>
          <w:sz w:val="22"/>
        </w:rPr>
        <w:t xml:space="preserve"> the Refinancing Date, </w:t>
      </w:r>
      <w:r w:rsidR="007F4C28">
        <w:rPr>
          <w:rFonts w:ascii="Times New Roman" w:hAnsi="Times New Roman"/>
          <w:sz w:val="22"/>
        </w:rPr>
        <w:t>a</w:t>
      </w:r>
      <w:r w:rsidR="00E51E87">
        <w:rPr>
          <w:rFonts w:ascii="Times New Roman" w:hAnsi="Times New Roman"/>
          <w:sz w:val="22"/>
        </w:rPr>
        <w:t xml:space="preserve"> Refinancing Agreement has been executed by all of its parties, then the full amount of the Withdrawn Advance Balance shall be </w:t>
      </w:r>
      <w:r w:rsidR="00743964">
        <w:rPr>
          <w:rFonts w:ascii="Times New Roman" w:hAnsi="Times New Roman"/>
          <w:sz w:val="22"/>
        </w:rPr>
        <w:t>re</w:t>
      </w:r>
      <w:r w:rsidR="00E51E87" w:rsidRPr="00743964">
        <w:rPr>
          <w:rFonts w:ascii="Times New Roman" w:hAnsi="Times New Roman"/>
          <w:sz w:val="22"/>
        </w:rPr>
        <w:t>paid</w:t>
      </w:r>
      <w:r w:rsidR="00E51E87">
        <w:rPr>
          <w:rFonts w:ascii="Times New Roman" w:hAnsi="Times New Roman"/>
          <w:sz w:val="22"/>
        </w:rPr>
        <w:t xml:space="preserve"> to the World Bank </w:t>
      </w:r>
      <w:r w:rsidR="00A656B8">
        <w:rPr>
          <w:rFonts w:ascii="Times New Roman" w:hAnsi="Times New Roman"/>
          <w:sz w:val="22"/>
        </w:rPr>
        <w:t xml:space="preserve">(together with interest accrued on the Advance to the date of repayment) </w:t>
      </w:r>
      <w:r w:rsidR="00E51E87">
        <w:rPr>
          <w:rFonts w:ascii="Times New Roman" w:hAnsi="Times New Roman"/>
          <w:sz w:val="22"/>
        </w:rPr>
        <w:t xml:space="preserve">as soon as the Refinancing Agreement becomes effective, by means of a withdrawal </w:t>
      </w:r>
      <w:r w:rsidR="007F4C28">
        <w:rPr>
          <w:rFonts w:ascii="Times New Roman" w:hAnsi="Times New Roman"/>
          <w:sz w:val="22"/>
        </w:rPr>
        <w:t xml:space="preserve">by the World Bank </w:t>
      </w:r>
      <w:r w:rsidR="00743964">
        <w:rPr>
          <w:rFonts w:ascii="Times New Roman" w:hAnsi="Times New Roman"/>
          <w:sz w:val="22"/>
        </w:rPr>
        <w:t xml:space="preserve">of </w:t>
      </w:r>
      <w:r w:rsidR="00A656B8">
        <w:rPr>
          <w:rFonts w:ascii="Times New Roman" w:hAnsi="Times New Roman"/>
          <w:sz w:val="22"/>
        </w:rPr>
        <w:t xml:space="preserve">an </w:t>
      </w:r>
      <w:r w:rsidR="00743964">
        <w:rPr>
          <w:rFonts w:ascii="Times New Roman" w:hAnsi="Times New Roman"/>
          <w:sz w:val="22"/>
        </w:rPr>
        <w:t>amoun</w:t>
      </w:r>
      <w:r w:rsidR="002570DE">
        <w:rPr>
          <w:rFonts w:ascii="Times New Roman" w:hAnsi="Times New Roman"/>
          <w:sz w:val="22"/>
        </w:rPr>
        <w:t>t</w:t>
      </w:r>
      <w:r w:rsidR="00743964">
        <w:rPr>
          <w:rFonts w:ascii="Times New Roman" w:hAnsi="Times New Roman"/>
          <w:sz w:val="22"/>
        </w:rPr>
        <w:t xml:space="preserve"> of </w:t>
      </w:r>
      <w:r w:rsidR="00E51E87">
        <w:rPr>
          <w:rFonts w:ascii="Times New Roman" w:hAnsi="Times New Roman"/>
          <w:sz w:val="22"/>
        </w:rPr>
        <w:t>the Refinancing Proceeds</w:t>
      </w:r>
      <w:r w:rsidR="00A656B8">
        <w:rPr>
          <w:rFonts w:ascii="Times New Roman" w:hAnsi="Times New Roman"/>
          <w:sz w:val="22"/>
        </w:rPr>
        <w:t xml:space="preserve"> equivalent to the Withdrawn Advance Balance plus such interest</w:t>
      </w:r>
      <w:r w:rsidR="00E51E87">
        <w:rPr>
          <w:rFonts w:ascii="Times New Roman" w:hAnsi="Times New Roman"/>
          <w:sz w:val="22"/>
        </w:rPr>
        <w:t xml:space="preserve">, in accordance with the provisions of the Refinancing Agreement.  </w:t>
      </w:r>
    </w:p>
    <w:p w:rsidR="00E51E87" w:rsidRDefault="00E51E87" w:rsidP="00E51E87">
      <w:pPr>
        <w:pStyle w:val="REGULAR1"/>
        <w:jc w:val="both"/>
        <w:rPr>
          <w:rFonts w:ascii="Times New Roman" w:hAnsi="Times New Roman"/>
          <w:sz w:val="22"/>
        </w:rPr>
      </w:pPr>
    </w:p>
    <w:p w:rsidR="00351805" w:rsidRDefault="00E51E87" w:rsidP="00E51E87">
      <w:pPr>
        <w:pStyle w:val="REGULAR1"/>
        <w:ind w:firstLine="720"/>
        <w:jc w:val="both"/>
        <w:rPr>
          <w:rFonts w:ascii="Times New Roman" w:hAnsi="Times New Roman"/>
          <w:sz w:val="22"/>
        </w:rPr>
      </w:pPr>
      <w:r>
        <w:rPr>
          <w:rFonts w:ascii="Times New Roman" w:hAnsi="Times New Roman"/>
          <w:sz w:val="22"/>
        </w:rPr>
        <w:t>(b)</w:t>
      </w:r>
      <w:r>
        <w:rPr>
          <w:rFonts w:ascii="Times New Roman" w:hAnsi="Times New Roman"/>
          <w:sz w:val="22"/>
        </w:rPr>
        <w:tab/>
      </w:r>
      <w:r w:rsidRPr="00E51E87">
        <w:rPr>
          <w:rFonts w:ascii="Times New Roman" w:hAnsi="Times New Roman"/>
          <w:i/>
          <w:sz w:val="22"/>
        </w:rPr>
        <w:t xml:space="preserve">Repayment in the absence of </w:t>
      </w:r>
      <w:r w:rsidR="007F4C28">
        <w:rPr>
          <w:rFonts w:ascii="Times New Roman" w:hAnsi="Times New Roman"/>
          <w:i/>
          <w:sz w:val="22"/>
        </w:rPr>
        <w:t>a</w:t>
      </w:r>
      <w:r w:rsidRPr="00E51E87">
        <w:rPr>
          <w:rFonts w:ascii="Times New Roman" w:hAnsi="Times New Roman"/>
          <w:i/>
          <w:sz w:val="22"/>
        </w:rPr>
        <w:t xml:space="preserve"> Refinancing Agreement:</w:t>
      </w:r>
      <w:r>
        <w:rPr>
          <w:rFonts w:ascii="Times New Roman" w:hAnsi="Times New Roman"/>
          <w:sz w:val="22"/>
        </w:rPr>
        <w:t xml:space="preserve">  If, </w:t>
      </w:r>
      <w:r w:rsidR="00F83DC3">
        <w:rPr>
          <w:rFonts w:ascii="Times New Roman" w:hAnsi="Times New Roman"/>
          <w:sz w:val="22"/>
        </w:rPr>
        <w:t>on or before</w:t>
      </w:r>
      <w:r>
        <w:rPr>
          <w:rFonts w:ascii="Times New Roman" w:hAnsi="Times New Roman"/>
          <w:sz w:val="22"/>
        </w:rPr>
        <w:t xml:space="preserve"> the Refinancing Date, no Refinancing Agreement has been executed by all of its parties, or if, by this date, it has been so executed but terminates without becoming effective, then</w:t>
      </w:r>
      <w:r w:rsidR="00351805">
        <w:rPr>
          <w:rFonts w:ascii="Times New Roman" w:hAnsi="Times New Roman"/>
          <w:sz w:val="22"/>
        </w:rPr>
        <w:t>:</w:t>
      </w:r>
    </w:p>
    <w:p w:rsidR="00351805" w:rsidRDefault="00351805" w:rsidP="00351805">
      <w:pPr>
        <w:pStyle w:val="REGULAR1"/>
        <w:ind w:left="1440" w:hanging="720"/>
        <w:jc w:val="both"/>
        <w:rPr>
          <w:rFonts w:ascii="Times New Roman" w:hAnsi="Times New Roman"/>
          <w:sz w:val="22"/>
        </w:rPr>
      </w:pPr>
    </w:p>
    <w:p w:rsidR="00037206" w:rsidRDefault="00037206" w:rsidP="00037206">
      <w:pPr>
        <w:pStyle w:val="REGULAR1"/>
        <w:ind w:left="1440" w:hanging="720"/>
        <w:jc w:val="both"/>
        <w:rPr>
          <w:rFonts w:ascii="Times New Roman" w:hAnsi="Times New Roman"/>
          <w:sz w:val="22"/>
        </w:rPr>
      </w:pPr>
      <w:r>
        <w:rPr>
          <w:rFonts w:ascii="Times New Roman" w:hAnsi="Times New Roman"/>
          <w:sz w:val="22"/>
        </w:rPr>
        <w:t>(i)</w:t>
      </w:r>
      <w:r>
        <w:rPr>
          <w:rFonts w:ascii="Times New Roman" w:hAnsi="Times New Roman"/>
          <w:sz w:val="22"/>
        </w:rPr>
        <w:tab/>
        <w:t>if the amount of the Withdrawn Advance Balance does not exceed US$50,000, it shall be repaid by the Recipient to the World Bank (together with interest accrued on the Withdrawn Advance Balance to the date of repayment), on such date as the World Bank shall specify in a notice to the Recipient, which shall in no event be earlier than 60 days following the date of dispatch of such notice; and</w:t>
      </w:r>
    </w:p>
    <w:p w:rsidR="00037206" w:rsidRDefault="00037206" w:rsidP="00037206">
      <w:pPr>
        <w:pStyle w:val="REGULAR1"/>
        <w:ind w:left="1440" w:hanging="720"/>
        <w:jc w:val="both"/>
        <w:rPr>
          <w:rFonts w:ascii="Times New Roman" w:hAnsi="Times New Roman"/>
          <w:sz w:val="22"/>
        </w:rPr>
      </w:pPr>
    </w:p>
    <w:p w:rsidR="00037206" w:rsidRDefault="00037206" w:rsidP="00F85D36">
      <w:pPr>
        <w:pStyle w:val="REGULAR1"/>
        <w:ind w:left="1440" w:hanging="720"/>
        <w:jc w:val="both"/>
        <w:rPr>
          <w:rFonts w:ascii="Times New Roman" w:hAnsi="Times New Roman"/>
          <w:sz w:val="22"/>
        </w:rPr>
      </w:pPr>
      <w:r>
        <w:rPr>
          <w:rFonts w:ascii="Times New Roman" w:hAnsi="Times New Roman"/>
          <w:sz w:val="22"/>
        </w:rPr>
        <w:t>(ii)</w:t>
      </w:r>
      <w:r>
        <w:rPr>
          <w:rFonts w:ascii="Times New Roman" w:hAnsi="Times New Roman"/>
          <w:sz w:val="22"/>
        </w:rPr>
        <w:tab/>
        <w:t xml:space="preserve">if the amount of the Withdrawn Advance Balance exceeds US$50,000, it </w:t>
      </w:r>
      <w:r w:rsidR="005F64B5">
        <w:rPr>
          <w:rFonts w:ascii="Times New Roman" w:hAnsi="Times New Roman"/>
          <w:sz w:val="22"/>
        </w:rPr>
        <w:t xml:space="preserve">(together with interest accrued on the Withdrawn Advance Balance to the Notice Date) (the “Aggregate Balance”) </w:t>
      </w:r>
      <w:r>
        <w:rPr>
          <w:rFonts w:ascii="Times New Roman" w:hAnsi="Times New Roman"/>
          <w:sz w:val="22"/>
        </w:rPr>
        <w:t xml:space="preserve">shall be paid by the Recipient to the World Bank in ten approximately equal semiannual installments, in the amounts and on the dates </w:t>
      </w:r>
      <w:r w:rsidR="002570DE">
        <w:rPr>
          <w:rFonts w:ascii="Times New Roman" w:hAnsi="Times New Roman"/>
          <w:sz w:val="22"/>
        </w:rPr>
        <w:t xml:space="preserve">(“Payment Dates”) </w:t>
      </w:r>
      <w:r w:rsidR="003B184A">
        <w:rPr>
          <w:rFonts w:ascii="Times New Roman" w:hAnsi="Times New Roman"/>
          <w:sz w:val="22"/>
        </w:rPr>
        <w:t>which</w:t>
      </w:r>
      <w:r>
        <w:rPr>
          <w:rFonts w:ascii="Times New Roman" w:hAnsi="Times New Roman"/>
          <w:sz w:val="22"/>
        </w:rPr>
        <w:t xml:space="preserve"> the World Bank </w:t>
      </w:r>
      <w:r w:rsidR="003B184A">
        <w:rPr>
          <w:rFonts w:ascii="Times New Roman" w:hAnsi="Times New Roman"/>
          <w:sz w:val="22"/>
        </w:rPr>
        <w:t xml:space="preserve">shall specify </w:t>
      </w:r>
      <w:r>
        <w:rPr>
          <w:rFonts w:ascii="Times New Roman" w:hAnsi="Times New Roman"/>
          <w:sz w:val="22"/>
        </w:rPr>
        <w:t xml:space="preserve">in a notice to the Recipient.  </w:t>
      </w:r>
      <w:bookmarkStart w:id="0" w:name="OLE_LINK1"/>
      <w:bookmarkStart w:id="1" w:name="OLE_LINK2"/>
      <w:r>
        <w:rPr>
          <w:rFonts w:ascii="Times New Roman" w:hAnsi="Times New Roman"/>
          <w:sz w:val="22"/>
        </w:rPr>
        <w:t xml:space="preserve">In no event shall the </w:t>
      </w:r>
      <w:r w:rsidRPr="00A80D0B">
        <w:rPr>
          <w:rFonts w:ascii="Times New Roman" w:hAnsi="Times New Roman"/>
          <w:sz w:val="22"/>
        </w:rPr>
        <w:t>first</w:t>
      </w:r>
      <w:r w:rsidR="00A80D0B" w:rsidRPr="00A80D0B">
        <w:rPr>
          <w:rFonts w:ascii="Times New Roman" w:hAnsi="Times New Roman"/>
          <w:sz w:val="22"/>
        </w:rPr>
        <w:t xml:space="preserve"> Payment Date be set earlier than 60 days following the date </w:t>
      </w:r>
      <w:r w:rsidR="005F64B5">
        <w:rPr>
          <w:rFonts w:ascii="Times New Roman" w:hAnsi="Times New Roman"/>
          <w:sz w:val="22"/>
        </w:rPr>
        <w:t xml:space="preserve">(“Notice Date”) </w:t>
      </w:r>
      <w:r w:rsidR="00A80D0B" w:rsidRPr="00A80D0B">
        <w:rPr>
          <w:rFonts w:ascii="Times New Roman" w:hAnsi="Times New Roman"/>
          <w:sz w:val="22"/>
        </w:rPr>
        <w:t xml:space="preserve">of dispatch of such notice.  </w:t>
      </w:r>
      <w:bookmarkEnd w:id="0"/>
      <w:bookmarkEnd w:id="1"/>
      <w:r w:rsidR="00A80D0B" w:rsidRPr="00A80D0B">
        <w:rPr>
          <w:rFonts w:ascii="Times New Roman" w:hAnsi="Times New Roman"/>
          <w:sz w:val="22"/>
        </w:rPr>
        <w:t xml:space="preserve">The Recipient shall pay </w:t>
      </w:r>
      <w:r w:rsidR="00A80D0B">
        <w:rPr>
          <w:rFonts w:ascii="Times New Roman" w:hAnsi="Times New Roman"/>
          <w:sz w:val="22"/>
        </w:rPr>
        <w:t>interest</w:t>
      </w:r>
      <w:r w:rsidR="00A80D0B" w:rsidRPr="00A80D0B">
        <w:rPr>
          <w:rFonts w:ascii="Times New Roman" w:hAnsi="Times New Roman"/>
          <w:sz w:val="22"/>
        </w:rPr>
        <w:t xml:space="preserve"> on the </w:t>
      </w:r>
      <w:r w:rsidR="009807DD">
        <w:rPr>
          <w:rFonts w:ascii="Times New Roman" w:hAnsi="Times New Roman"/>
          <w:sz w:val="22"/>
        </w:rPr>
        <w:t>Aggregate</w:t>
      </w:r>
      <w:r w:rsidR="00A80D0B" w:rsidRPr="00A80D0B">
        <w:rPr>
          <w:rFonts w:ascii="Times New Roman" w:hAnsi="Times New Roman"/>
          <w:sz w:val="22"/>
          <w:szCs w:val="22"/>
        </w:rPr>
        <w:t xml:space="preserve"> Balance at a rate, for each Interest Period, equal to LIBOR for Dollars plus the Fixed Spread</w:t>
      </w:r>
      <w:r w:rsidR="00A80D0B">
        <w:rPr>
          <w:rFonts w:ascii="Times New Roman" w:hAnsi="Times New Roman"/>
          <w:sz w:val="22"/>
          <w:szCs w:val="22"/>
        </w:rPr>
        <w:t xml:space="preserve">, payable </w:t>
      </w:r>
      <w:r w:rsidR="00B951AE">
        <w:rPr>
          <w:rFonts w:ascii="Times New Roman" w:hAnsi="Times New Roman"/>
          <w:sz w:val="22"/>
          <w:szCs w:val="22"/>
        </w:rPr>
        <w:t>in arrears on each Payment Date</w:t>
      </w:r>
      <w:r w:rsidR="00A80D0B" w:rsidRPr="00A80D0B">
        <w:rPr>
          <w:rFonts w:ascii="Times New Roman" w:hAnsi="Times New Roman"/>
          <w:sz w:val="22"/>
          <w:szCs w:val="22"/>
        </w:rPr>
        <w:t>.</w:t>
      </w:r>
      <w:r w:rsidR="005F64B5">
        <w:rPr>
          <w:rFonts w:ascii="Times New Roman" w:hAnsi="Times New Roman"/>
          <w:sz w:val="22"/>
          <w:szCs w:val="22"/>
        </w:rPr>
        <w:t xml:space="preserve"> </w:t>
      </w:r>
      <w:r w:rsidR="00356410" w:rsidRPr="00356410">
        <w:rPr>
          <w:rFonts w:ascii="Times New Roman" w:hAnsi="Times New Roman"/>
          <w:sz w:val="22"/>
          <w:szCs w:val="22"/>
        </w:rPr>
        <w:t xml:space="preserve"> Notwithstanding the </w:t>
      </w:r>
      <w:r w:rsidR="00356410">
        <w:rPr>
          <w:rFonts w:ascii="Times New Roman" w:hAnsi="Times New Roman"/>
          <w:sz w:val="22"/>
          <w:szCs w:val="22"/>
        </w:rPr>
        <w:t>foregoing</w:t>
      </w:r>
      <w:r w:rsidR="00356410" w:rsidRPr="00356410">
        <w:rPr>
          <w:rFonts w:ascii="Times New Roman" w:hAnsi="Times New Roman"/>
          <w:sz w:val="22"/>
          <w:szCs w:val="22"/>
        </w:rPr>
        <w:t xml:space="preserve">, if any amount of the </w:t>
      </w:r>
      <w:r w:rsidR="009807DD">
        <w:rPr>
          <w:rFonts w:ascii="Times New Roman" w:hAnsi="Times New Roman"/>
          <w:sz w:val="22"/>
          <w:szCs w:val="22"/>
        </w:rPr>
        <w:t>Aggregate</w:t>
      </w:r>
      <w:r w:rsidR="00356410">
        <w:rPr>
          <w:rFonts w:ascii="Times New Roman" w:hAnsi="Times New Roman"/>
          <w:sz w:val="22"/>
          <w:szCs w:val="22"/>
        </w:rPr>
        <w:t xml:space="preserve"> </w:t>
      </w:r>
      <w:r w:rsidR="00356410" w:rsidRPr="00356410">
        <w:rPr>
          <w:rFonts w:ascii="Times New Roman" w:hAnsi="Times New Roman"/>
          <w:sz w:val="22"/>
          <w:szCs w:val="22"/>
        </w:rPr>
        <w:t xml:space="preserve">Balance remains unpaid when due and such non-payment continues for a period of thirty days, then the </w:t>
      </w:r>
      <w:r w:rsidR="00356410">
        <w:rPr>
          <w:rFonts w:ascii="Times New Roman" w:hAnsi="Times New Roman"/>
          <w:sz w:val="22"/>
          <w:szCs w:val="22"/>
        </w:rPr>
        <w:t xml:space="preserve">Recipient </w:t>
      </w:r>
      <w:r w:rsidR="00356410" w:rsidRPr="00356410">
        <w:rPr>
          <w:rFonts w:ascii="Times New Roman" w:hAnsi="Times New Roman"/>
          <w:sz w:val="22"/>
          <w:szCs w:val="22"/>
        </w:rPr>
        <w:t xml:space="preserve">shall pay the Default Interest Rate on such overdue amount in lieu of the interest rate specified </w:t>
      </w:r>
      <w:r w:rsidR="00356410">
        <w:rPr>
          <w:rFonts w:ascii="Times New Roman" w:hAnsi="Times New Roman"/>
          <w:sz w:val="22"/>
          <w:szCs w:val="22"/>
        </w:rPr>
        <w:t xml:space="preserve">above in this subparagraph (ii) </w:t>
      </w:r>
      <w:r w:rsidR="00356410" w:rsidRPr="00356410">
        <w:rPr>
          <w:rFonts w:ascii="Times New Roman" w:hAnsi="Times New Roman"/>
          <w:sz w:val="22"/>
          <w:szCs w:val="22"/>
        </w:rPr>
        <w:t xml:space="preserve">until such overdue amount is fully paid. Interest at the Default Interest Rate shall accrue from the first day of each Default Interest Period and shall be payable semi-annually in arrears on each Payment Date. </w:t>
      </w:r>
    </w:p>
    <w:p w:rsidR="00356410" w:rsidRPr="00351805" w:rsidRDefault="00356410" w:rsidP="005F64B5">
      <w:pPr>
        <w:pStyle w:val="REGULAR1"/>
        <w:ind w:left="1440" w:hanging="720"/>
      </w:pPr>
    </w:p>
    <w:p w:rsidR="000F4D21" w:rsidRPr="00351805" w:rsidRDefault="00BF0902" w:rsidP="000F4D21">
      <w:pPr>
        <w:pStyle w:val="ModelNrmlDouble"/>
        <w:spacing w:after="0" w:line="240" w:lineRule="auto"/>
        <w:ind w:firstLine="0"/>
        <w:jc w:val="center"/>
        <w:rPr>
          <w:b/>
          <w:szCs w:val="22"/>
        </w:rPr>
      </w:pPr>
      <w:r w:rsidRPr="00351805">
        <w:rPr>
          <w:b/>
          <w:szCs w:val="22"/>
        </w:rPr>
        <w:t>Article V</w:t>
      </w:r>
    </w:p>
    <w:p w:rsidR="00BF0902" w:rsidRPr="00351805" w:rsidRDefault="008F42D5" w:rsidP="000F4D21">
      <w:pPr>
        <w:pStyle w:val="ModelNrmlDouble"/>
        <w:spacing w:after="0" w:line="240" w:lineRule="auto"/>
        <w:ind w:firstLine="0"/>
        <w:jc w:val="center"/>
        <w:rPr>
          <w:b/>
          <w:szCs w:val="22"/>
        </w:rPr>
      </w:pPr>
      <w:r w:rsidRPr="00351805">
        <w:rPr>
          <w:b/>
          <w:szCs w:val="22"/>
        </w:rPr>
        <w:t xml:space="preserve">Recipient’s </w:t>
      </w:r>
      <w:r w:rsidR="00BF0902" w:rsidRPr="00351805">
        <w:rPr>
          <w:b/>
          <w:szCs w:val="22"/>
        </w:rPr>
        <w:t>Representative; Addresses</w:t>
      </w:r>
    </w:p>
    <w:p w:rsidR="00BF0902" w:rsidRPr="00351805" w:rsidRDefault="00BF0902" w:rsidP="00BF0902">
      <w:pPr>
        <w:pStyle w:val="ModelNrmlDouble"/>
        <w:spacing w:after="0" w:line="240" w:lineRule="auto"/>
        <w:ind w:firstLine="0"/>
        <w:jc w:val="center"/>
        <w:rPr>
          <w:szCs w:val="22"/>
        </w:rPr>
      </w:pPr>
    </w:p>
    <w:p w:rsidR="00BF0902" w:rsidRPr="00351805" w:rsidRDefault="00ED13FE" w:rsidP="00BF0902">
      <w:pPr>
        <w:pStyle w:val="ModelNrmlSingle"/>
        <w:ind w:firstLine="0"/>
        <w:rPr>
          <w:szCs w:val="22"/>
        </w:rPr>
      </w:pPr>
      <w:r>
        <w:rPr>
          <w:szCs w:val="22"/>
        </w:rPr>
        <w:t>5.</w:t>
      </w:r>
      <w:r w:rsidR="00BF0902" w:rsidRPr="00351805">
        <w:rPr>
          <w:szCs w:val="22"/>
        </w:rPr>
        <w:t>01.</w:t>
      </w:r>
      <w:r w:rsidR="00BF0902" w:rsidRPr="00351805">
        <w:rPr>
          <w:szCs w:val="22"/>
        </w:rPr>
        <w:tab/>
      </w:r>
      <w:r w:rsidR="00BF0902" w:rsidRPr="00351805">
        <w:rPr>
          <w:b/>
          <w:i/>
          <w:szCs w:val="22"/>
        </w:rPr>
        <w:t>Recipient’s Representative</w:t>
      </w:r>
      <w:r w:rsidR="00BF0902" w:rsidRPr="00351805">
        <w:rPr>
          <w:szCs w:val="22"/>
        </w:rPr>
        <w:t>.  The Recipient’s Represe</w:t>
      </w:r>
      <w:r w:rsidR="005D3DAF" w:rsidRPr="00351805">
        <w:rPr>
          <w:szCs w:val="22"/>
        </w:rPr>
        <w:t>ntative referred to in Section 9</w:t>
      </w:r>
      <w:r w:rsidR="00BF0902" w:rsidRPr="00351805">
        <w:rPr>
          <w:szCs w:val="22"/>
        </w:rPr>
        <w:t xml:space="preserve">.02 of the </w:t>
      </w:r>
      <w:r w:rsidR="00F86E44" w:rsidRPr="00351805">
        <w:rPr>
          <w:szCs w:val="22"/>
        </w:rPr>
        <w:t>Standard Conditions</w:t>
      </w:r>
      <w:r w:rsidR="007C57EB" w:rsidRPr="00351805">
        <w:rPr>
          <w:szCs w:val="22"/>
        </w:rPr>
        <w:t xml:space="preserve"> </w:t>
      </w:r>
      <w:r w:rsidR="00BF0902" w:rsidRPr="00351805">
        <w:rPr>
          <w:szCs w:val="22"/>
        </w:rPr>
        <w:t xml:space="preserve">is </w:t>
      </w:r>
      <w:r w:rsidR="00EC72FE">
        <w:rPr>
          <w:szCs w:val="22"/>
        </w:rPr>
        <w:t>its Minister of Finance</w:t>
      </w:r>
      <w:r w:rsidR="00BF0902" w:rsidRPr="00351805">
        <w:rPr>
          <w:szCs w:val="22"/>
        </w:rPr>
        <w:t>.</w:t>
      </w:r>
    </w:p>
    <w:p w:rsidR="00BF0902" w:rsidRPr="00351805" w:rsidRDefault="00ED13FE" w:rsidP="008F42D5">
      <w:pPr>
        <w:pStyle w:val="ModelNrmlSingle"/>
        <w:ind w:firstLine="0"/>
        <w:rPr>
          <w:szCs w:val="22"/>
        </w:rPr>
      </w:pPr>
      <w:r>
        <w:rPr>
          <w:szCs w:val="22"/>
        </w:rPr>
        <w:t>5</w:t>
      </w:r>
      <w:r w:rsidR="00BF0902" w:rsidRPr="00351805">
        <w:rPr>
          <w:szCs w:val="22"/>
        </w:rPr>
        <w:t>.02.</w:t>
      </w:r>
      <w:r w:rsidR="00BF0902" w:rsidRPr="00351805">
        <w:rPr>
          <w:szCs w:val="22"/>
        </w:rPr>
        <w:tab/>
      </w:r>
      <w:r w:rsidR="008F42D5" w:rsidRPr="00351805">
        <w:rPr>
          <w:b/>
          <w:i/>
          <w:szCs w:val="22"/>
        </w:rPr>
        <w:t>Recipient’s Address</w:t>
      </w:r>
      <w:r w:rsidR="008F42D5" w:rsidRPr="00351805">
        <w:rPr>
          <w:szCs w:val="22"/>
        </w:rPr>
        <w:t xml:space="preserve">.  </w:t>
      </w:r>
      <w:r w:rsidR="00BF0902" w:rsidRPr="00351805">
        <w:rPr>
          <w:szCs w:val="22"/>
        </w:rPr>
        <w:t xml:space="preserve">The Recipient’s Address referred to in Section </w:t>
      </w:r>
      <w:r w:rsidR="000F4D21" w:rsidRPr="00351805">
        <w:rPr>
          <w:szCs w:val="22"/>
        </w:rPr>
        <w:t>9</w:t>
      </w:r>
      <w:r w:rsidR="00870C6A" w:rsidRPr="00351805">
        <w:rPr>
          <w:szCs w:val="22"/>
        </w:rPr>
        <w:t>.01</w:t>
      </w:r>
      <w:r w:rsidR="00BF0902" w:rsidRPr="00351805">
        <w:rPr>
          <w:szCs w:val="22"/>
        </w:rPr>
        <w:t xml:space="preserve"> of the </w:t>
      </w:r>
      <w:r w:rsidR="00F86E44" w:rsidRPr="00351805">
        <w:rPr>
          <w:szCs w:val="22"/>
        </w:rPr>
        <w:t>Standard Conditions</w:t>
      </w:r>
      <w:r w:rsidR="007C57EB" w:rsidRPr="00351805">
        <w:rPr>
          <w:szCs w:val="22"/>
        </w:rPr>
        <w:t xml:space="preserve"> </w:t>
      </w:r>
      <w:r w:rsidR="00BF0902" w:rsidRPr="00351805">
        <w:rPr>
          <w:szCs w:val="22"/>
        </w:rPr>
        <w:t>is:</w:t>
      </w:r>
    </w:p>
    <w:p w:rsidR="00EC72FE" w:rsidRDefault="00EC72FE" w:rsidP="00EC72FE">
      <w:pPr>
        <w:tabs>
          <w:tab w:val="left" w:pos="-1440"/>
          <w:tab w:val="left" w:pos="-720"/>
          <w:tab w:val="left" w:pos="2592"/>
          <w:tab w:val="left" w:pos="4896"/>
          <w:tab w:val="left" w:pos="7776"/>
        </w:tabs>
        <w:suppressAutoHyphens/>
        <w:spacing w:line="240" w:lineRule="auto"/>
        <w:ind w:left="720" w:right="144"/>
        <w:jc w:val="both"/>
        <w:rPr>
          <w:spacing w:val="-3"/>
          <w:sz w:val="22"/>
        </w:rPr>
      </w:pPr>
      <w:r>
        <w:rPr>
          <w:spacing w:val="-3"/>
          <w:sz w:val="22"/>
        </w:rPr>
        <w:t>Ministry of Finance</w:t>
      </w:r>
    </w:p>
    <w:p w:rsidR="00EC72FE" w:rsidRDefault="00EC72FE" w:rsidP="00EC72FE">
      <w:pPr>
        <w:tabs>
          <w:tab w:val="left" w:pos="-1440"/>
          <w:tab w:val="left" w:pos="-720"/>
          <w:tab w:val="left" w:pos="2592"/>
          <w:tab w:val="left" w:pos="4896"/>
          <w:tab w:val="left" w:pos="7776"/>
        </w:tabs>
        <w:suppressAutoHyphens/>
        <w:spacing w:line="240" w:lineRule="auto"/>
        <w:ind w:left="720" w:right="144"/>
        <w:jc w:val="both"/>
        <w:rPr>
          <w:spacing w:val="-3"/>
          <w:sz w:val="22"/>
          <w:szCs w:val="22"/>
        </w:rPr>
      </w:pPr>
      <w:r>
        <w:rPr>
          <w:spacing w:val="-3"/>
          <w:sz w:val="22"/>
          <w:szCs w:val="22"/>
        </w:rPr>
        <w:t>Deshmoret e Kombit</w:t>
      </w:r>
    </w:p>
    <w:p w:rsidR="00EC72FE" w:rsidRPr="00167F2E" w:rsidRDefault="00EC72FE" w:rsidP="00EC72FE">
      <w:pPr>
        <w:tabs>
          <w:tab w:val="left" w:pos="-1440"/>
          <w:tab w:val="left" w:pos="-720"/>
          <w:tab w:val="left" w:pos="2592"/>
          <w:tab w:val="left" w:pos="4896"/>
          <w:tab w:val="left" w:pos="7776"/>
        </w:tabs>
        <w:suppressAutoHyphens/>
        <w:spacing w:line="240" w:lineRule="auto"/>
        <w:ind w:left="720" w:right="144"/>
        <w:jc w:val="both"/>
        <w:rPr>
          <w:spacing w:val="-3"/>
          <w:sz w:val="22"/>
          <w:szCs w:val="22"/>
        </w:rPr>
      </w:pPr>
      <w:r w:rsidRPr="00167F2E">
        <w:rPr>
          <w:spacing w:val="-3"/>
          <w:sz w:val="22"/>
          <w:szCs w:val="22"/>
        </w:rPr>
        <w:t>No. 4, Tirana, Albania</w:t>
      </w:r>
    </w:p>
    <w:p w:rsidR="00DA328A" w:rsidRDefault="008F42D5" w:rsidP="00893231">
      <w:pPr>
        <w:pStyle w:val="ModelNrmlSingle"/>
        <w:spacing w:after="0"/>
        <w:ind w:left="720" w:firstLine="0"/>
        <w:rPr>
          <w:szCs w:val="22"/>
        </w:rPr>
      </w:pPr>
      <w:r w:rsidRPr="00167F2E">
        <w:rPr>
          <w:bCs/>
          <w:szCs w:val="22"/>
        </w:rPr>
        <w:t>Facsimile:</w:t>
      </w:r>
      <w:r w:rsidR="00893231" w:rsidRPr="00167F2E">
        <w:rPr>
          <w:bCs/>
          <w:szCs w:val="22"/>
        </w:rPr>
        <w:t xml:space="preserve"> </w:t>
      </w:r>
      <w:r w:rsidR="00893231">
        <w:rPr>
          <w:szCs w:val="22"/>
        </w:rPr>
        <w:t>+355 42 28494</w:t>
      </w:r>
    </w:p>
    <w:p w:rsidR="00DA328A" w:rsidRDefault="00DA328A">
      <w:pPr>
        <w:spacing w:line="240" w:lineRule="auto"/>
        <w:rPr>
          <w:sz w:val="22"/>
          <w:szCs w:val="22"/>
        </w:rPr>
      </w:pPr>
    </w:p>
    <w:p w:rsidR="008F42D5" w:rsidRPr="004379D5" w:rsidRDefault="00ED13FE" w:rsidP="008F42D5">
      <w:pPr>
        <w:pStyle w:val="ModelNrmlSingle"/>
        <w:ind w:firstLine="0"/>
        <w:rPr>
          <w:bCs/>
          <w:szCs w:val="22"/>
        </w:rPr>
      </w:pPr>
      <w:r>
        <w:rPr>
          <w:bCs/>
          <w:szCs w:val="22"/>
        </w:rPr>
        <w:t>5.</w:t>
      </w:r>
      <w:r w:rsidR="008F42D5" w:rsidRPr="004379D5">
        <w:rPr>
          <w:bCs/>
          <w:szCs w:val="22"/>
        </w:rPr>
        <w:t>03.</w:t>
      </w:r>
      <w:r w:rsidR="008F42D5" w:rsidRPr="004379D5">
        <w:rPr>
          <w:bCs/>
          <w:szCs w:val="22"/>
        </w:rPr>
        <w:tab/>
      </w:r>
      <w:r w:rsidR="00F86E44">
        <w:rPr>
          <w:b/>
          <w:bCs/>
          <w:i/>
          <w:szCs w:val="22"/>
        </w:rPr>
        <w:t>World Bank</w:t>
      </w:r>
      <w:r w:rsidR="008F42D5" w:rsidRPr="008F42D5">
        <w:rPr>
          <w:b/>
          <w:bCs/>
          <w:i/>
          <w:szCs w:val="22"/>
        </w:rPr>
        <w:t>’s Address</w:t>
      </w:r>
      <w:r w:rsidR="008F42D5">
        <w:rPr>
          <w:bCs/>
          <w:szCs w:val="22"/>
        </w:rPr>
        <w:t xml:space="preserve">.  </w:t>
      </w:r>
      <w:r w:rsidR="008F42D5" w:rsidRPr="004379D5">
        <w:rPr>
          <w:bCs/>
          <w:szCs w:val="22"/>
        </w:rPr>
        <w:t xml:space="preserve">The </w:t>
      </w:r>
      <w:r w:rsidR="00F86E44">
        <w:rPr>
          <w:bCs/>
          <w:szCs w:val="22"/>
        </w:rPr>
        <w:t>World Bank</w:t>
      </w:r>
      <w:r w:rsidR="008F42D5" w:rsidRPr="004379D5">
        <w:rPr>
          <w:bCs/>
          <w:szCs w:val="22"/>
        </w:rPr>
        <w:t xml:space="preserve">’s Address referred to in Section </w:t>
      </w:r>
      <w:r w:rsidR="005D3DAF">
        <w:rPr>
          <w:bCs/>
          <w:szCs w:val="22"/>
        </w:rPr>
        <w:t>9</w:t>
      </w:r>
      <w:r w:rsidR="008F42D5" w:rsidRPr="004379D5">
        <w:rPr>
          <w:bCs/>
          <w:szCs w:val="22"/>
        </w:rPr>
        <w:t>.0</w:t>
      </w:r>
      <w:r w:rsidR="00A97A12">
        <w:rPr>
          <w:bCs/>
          <w:szCs w:val="22"/>
        </w:rPr>
        <w:t>1</w:t>
      </w:r>
      <w:r w:rsidR="000F4D21">
        <w:rPr>
          <w:bCs/>
          <w:szCs w:val="22"/>
        </w:rPr>
        <w:t xml:space="preserve"> </w:t>
      </w:r>
      <w:r w:rsidR="008F42D5" w:rsidRPr="004379D5">
        <w:rPr>
          <w:bCs/>
          <w:szCs w:val="22"/>
        </w:rPr>
        <w:t xml:space="preserve">of the </w:t>
      </w:r>
      <w:r w:rsidR="00F86E44">
        <w:rPr>
          <w:bCs/>
          <w:szCs w:val="22"/>
        </w:rPr>
        <w:t>Standard Conditions</w:t>
      </w:r>
      <w:r w:rsidR="007C57EB">
        <w:rPr>
          <w:bCs/>
          <w:szCs w:val="22"/>
        </w:rPr>
        <w:t xml:space="preserve"> </w:t>
      </w:r>
      <w:r w:rsidR="008F42D5" w:rsidRPr="004379D5">
        <w:rPr>
          <w:bCs/>
          <w:szCs w:val="22"/>
        </w:rPr>
        <w:t>is:</w:t>
      </w:r>
    </w:p>
    <w:p w:rsidR="008F42D5" w:rsidRPr="004379D5" w:rsidRDefault="008F42D5" w:rsidP="008F42D5">
      <w:pPr>
        <w:pStyle w:val="ModelNrmlSingle"/>
        <w:spacing w:after="0"/>
        <w:ind w:left="720" w:hanging="720"/>
        <w:rPr>
          <w:bCs/>
          <w:szCs w:val="22"/>
        </w:rPr>
      </w:pPr>
      <w:r w:rsidRPr="004379D5">
        <w:rPr>
          <w:bCs/>
          <w:szCs w:val="22"/>
        </w:rPr>
        <w:tab/>
      </w:r>
      <w:r w:rsidR="007C57EB">
        <w:rPr>
          <w:bCs/>
          <w:szCs w:val="22"/>
        </w:rPr>
        <w:t>International Bank for</w:t>
      </w:r>
      <w:r w:rsidR="00EC72FE">
        <w:rPr>
          <w:bCs/>
          <w:szCs w:val="22"/>
        </w:rPr>
        <w:t xml:space="preserve"> Reconstruction and Development</w:t>
      </w:r>
    </w:p>
    <w:p w:rsidR="008F42D5" w:rsidRPr="004379D5" w:rsidRDefault="008F42D5" w:rsidP="008F42D5">
      <w:pPr>
        <w:pStyle w:val="ModelNrmlSingle"/>
        <w:spacing w:after="0"/>
        <w:ind w:left="720" w:hanging="720"/>
        <w:rPr>
          <w:bCs/>
          <w:szCs w:val="22"/>
        </w:rPr>
      </w:pPr>
      <w:r w:rsidRPr="004379D5">
        <w:rPr>
          <w:bCs/>
          <w:szCs w:val="22"/>
        </w:rPr>
        <w:tab/>
      </w:r>
      <w:smartTag w:uri="urn:schemas-microsoft-com:office:smarttags" w:element="Street">
        <w:smartTag w:uri="urn:schemas-microsoft-com:office:smarttags" w:element="address">
          <w:r w:rsidRPr="004379D5">
            <w:rPr>
              <w:bCs/>
              <w:szCs w:val="22"/>
            </w:rPr>
            <w:t>1818 H Street, N.W.</w:t>
          </w:r>
        </w:smartTag>
      </w:smartTag>
    </w:p>
    <w:p w:rsidR="008F42D5" w:rsidRPr="004379D5" w:rsidRDefault="008F42D5" w:rsidP="008F42D5">
      <w:pPr>
        <w:pStyle w:val="ModelNrmlSingle"/>
        <w:spacing w:after="0"/>
        <w:rPr>
          <w:bCs/>
          <w:szCs w:val="22"/>
        </w:rPr>
      </w:pPr>
      <w:smartTag w:uri="urn:schemas-microsoft-com:office:smarttags" w:element="place">
        <w:smartTag w:uri="urn:schemas-microsoft-com:office:smarttags" w:element="City">
          <w:r w:rsidRPr="004379D5">
            <w:rPr>
              <w:bCs/>
              <w:szCs w:val="22"/>
            </w:rPr>
            <w:t>Washington</w:t>
          </w:r>
        </w:smartTag>
        <w:r w:rsidRPr="004379D5">
          <w:rPr>
            <w:bCs/>
            <w:szCs w:val="22"/>
          </w:rPr>
          <w:t xml:space="preserve">, </w:t>
        </w:r>
        <w:smartTag w:uri="urn:schemas-microsoft-com:office:smarttags" w:element="State">
          <w:r w:rsidRPr="004379D5">
            <w:rPr>
              <w:bCs/>
              <w:szCs w:val="22"/>
            </w:rPr>
            <w:t>D.C.</w:t>
          </w:r>
        </w:smartTag>
        <w:r w:rsidRPr="004379D5">
          <w:rPr>
            <w:bCs/>
            <w:szCs w:val="22"/>
          </w:rPr>
          <w:t xml:space="preserve"> </w:t>
        </w:r>
        <w:smartTag w:uri="urn:schemas-microsoft-com:office:smarttags" w:element="PostalCode">
          <w:r w:rsidRPr="004379D5">
            <w:rPr>
              <w:bCs/>
              <w:szCs w:val="22"/>
            </w:rPr>
            <w:t>20433</w:t>
          </w:r>
        </w:smartTag>
      </w:smartTag>
    </w:p>
    <w:p w:rsidR="008F42D5" w:rsidRPr="004379D5" w:rsidRDefault="008F42D5" w:rsidP="008F42D5">
      <w:pPr>
        <w:pStyle w:val="ModelNrmlSingle"/>
        <w:spacing w:after="0"/>
        <w:ind w:left="720" w:hanging="720"/>
        <w:rPr>
          <w:bCs/>
          <w:szCs w:val="22"/>
        </w:rPr>
      </w:pPr>
      <w:r w:rsidRPr="004379D5">
        <w:rPr>
          <w:bCs/>
          <w:szCs w:val="22"/>
        </w:rPr>
        <w:tab/>
      </w:r>
      <w:smartTag w:uri="urn:schemas-microsoft-com:office:smarttags" w:element="place">
        <w:smartTag w:uri="urn:schemas-microsoft-com:office:smarttags" w:element="country-region">
          <w:r w:rsidRPr="004379D5">
            <w:rPr>
              <w:bCs/>
              <w:szCs w:val="22"/>
            </w:rPr>
            <w:t>United States of America</w:t>
          </w:r>
        </w:smartTag>
      </w:smartTag>
    </w:p>
    <w:p w:rsidR="008F42D5" w:rsidRPr="004379D5" w:rsidRDefault="008F42D5" w:rsidP="008F42D5">
      <w:pPr>
        <w:pStyle w:val="ModelNrmlSingle"/>
        <w:spacing w:after="0"/>
        <w:ind w:left="720" w:hanging="720"/>
        <w:rPr>
          <w:bCs/>
          <w:szCs w:val="22"/>
        </w:rPr>
      </w:pPr>
    </w:p>
    <w:p w:rsidR="008F42D5" w:rsidRPr="004379D5" w:rsidRDefault="008F42D5" w:rsidP="008F42D5">
      <w:pPr>
        <w:pStyle w:val="ModelNrmlSingle"/>
        <w:rPr>
          <w:bCs/>
          <w:szCs w:val="22"/>
        </w:rPr>
      </w:pPr>
      <w:r w:rsidRPr="004379D5">
        <w:rPr>
          <w:bCs/>
          <w:szCs w:val="22"/>
        </w:rPr>
        <w:t>Cable:</w:t>
      </w:r>
      <w:r w:rsidRPr="004379D5">
        <w:rPr>
          <w:bCs/>
          <w:szCs w:val="22"/>
        </w:rPr>
        <w:tab/>
      </w:r>
      <w:r w:rsidRPr="004379D5">
        <w:rPr>
          <w:bCs/>
          <w:szCs w:val="22"/>
        </w:rPr>
        <w:tab/>
      </w:r>
      <w:r w:rsidRPr="004379D5">
        <w:rPr>
          <w:bCs/>
          <w:szCs w:val="22"/>
        </w:rPr>
        <w:tab/>
        <w:t>Telex:</w:t>
      </w:r>
      <w:r w:rsidRPr="004379D5">
        <w:rPr>
          <w:bCs/>
          <w:szCs w:val="22"/>
        </w:rPr>
        <w:tab/>
      </w:r>
      <w:r w:rsidRPr="004379D5">
        <w:rPr>
          <w:bCs/>
          <w:szCs w:val="22"/>
        </w:rPr>
        <w:tab/>
      </w:r>
      <w:r w:rsidRPr="004379D5">
        <w:rPr>
          <w:bCs/>
          <w:szCs w:val="22"/>
        </w:rPr>
        <w:tab/>
        <w:t>Facsimile:</w:t>
      </w:r>
    </w:p>
    <w:p w:rsidR="008F42D5" w:rsidRPr="004379D5" w:rsidRDefault="00EC72FE" w:rsidP="008F42D5">
      <w:pPr>
        <w:pStyle w:val="ModelNrmlSingle"/>
        <w:spacing w:after="0"/>
        <w:ind w:left="720" w:firstLine="0"/>
        <w:rPr>
          <w:bCs/>
          <w:szCs w:val="22"/>
        </w:rPr>
      </w:pPr>
      <w:r>
        <w:rPr>
          <w:bCs/>
          <w:szCs w:val="22"/>
        </w:rPr>
        <w:t>INTBAFRAD</w:t>
      </w:r>
      <w:r w:rsidR="008F42D5" w:rsidRPr="004379D5">
        <w:rPr>
          <w:bCs/>
          <w:szCs w:val="22"/>
        </w:rPr>
        <w:tab/>
      </w:r>
      <w:r w:rsidR="008F42D5" w:rsidRPr="004379D5">
        <w:rPr>
          <w:bCs/>
          <w:szCs w:val="22"/>
        </w:rPr>
        <w:tab/>
        <w:t>248423 (MCI) or</w:t>
      </w:r>
      <w:r w:rsidR="008F42D5" w:rsidRPr="004379D5">
        <w:rPr>
          <w:bCs/>
          <w:szCs w:val="22"/>
        </w:rPr>
        <w:tab/>
        <w:t>1-202-477-6391</w:t>
      </w:r>
    </w:p>
    <w:p w:rsidR="0070003F" w:rsidRDefault="008F42D5" w:rsidP="00C37382">
      <w:pPr>
        <w:pStyle w:val="ModelNrmlSingle"/>
        <w:spacing w:after="0"/>
        <w:ind w:left="720" w:hanging="720"/>
        <w:rPr>
          <w:bCs/>
          <w:szCs w:val="22"/>
        </w:rPr>
      </w:pPr>
      <w:r w:rsidRPr="004379D5">
        <w:rPr>
          <w:bCs/>
          <w:szCs w:val="22"/>
        </w:rPr>
        <w:tab/>
        <w:t>Washington, D.C.</w:t>
      </w:r>
      <w:r w:rsidRPr="004379D5">
        <w:rPr>
          <w:bCs/>
          <w:szCs w:val="22"/>
        </w:rPr>
        <w:tab/>
        <w:t>64145 (MCI)</w:t>
      </w:r>
    </w:p>
    <w:p w:rsidR="00573DFE" w:rsidRDefault="00573DFE">
      <w:pPr>
        <w:spacing w:line="240" w:lineRule="auto"/>
        <w:rPr>
          <w:bCs/>
          <w:sz w:val="22"/>
          <w:szCs w:val="22"/>
        </w:rPr>
      </w:pPr>
      <w:r>
        <w:rPr>
          <w:bCs/>
          <w:szCs w:val="22"/>
        </w:rPr>
        <w:br w:type="page"/>
      </w:r>
    </w:p>
    <w:p w:rsidR="00573DFE" w:rsidRPr="004379D5" w:rsidRDefault="00573DFE" w:rsidP="00573DFE">
      <w:pPr>
        <w:pStyle w:val="ModelNrmlDouble"/>
        <w:spacing w:after="0" w:line="240" w:lineRule="auto"/>
        <w:ind w:firstLine="0"/>
        <w:jc w:val="center"/>
        <w:rPr>
          <w:b/>
          <w:bCs/>
          <w:szCs w:val="22"/>
        </w:rPr>
      </w:pPr>
      <w:r w:rsidRPr="004379D5">
        <w:rPr>
          <w:b/>
          <w:bCs/>
          <w:szCs w:val="22"/>
        </w:rPr>
        <w:lastRenderedPageBreak/>
        <w:t>APPENDIX</w:t>
      </w:r>
    </w:p>
    <w:p w:rsidR="00573DFE" w:rsidRPr="004379D5" w:rsidRDefault="00573DFE" w:rsidP="00573DFE">
      <w:pPr>
        <w:pStyle w:val="ModelNrmlDouble"/>
        <w:spacing w:after="0" w:line="240" w:lineRule="auto"/>
        <w:ind w:firstLine="0"/>
        <w:jc w:val="center"/>
        <w:rPr>
          <w:b/>
          <w:bCs/>
          <w:szCs w:val="22"/>
        </w:rPr>
      </w:pPr>
      <w:r w:rsidRPr="004379D5">
        <w:rPr>
          <w:b/>
          <w:bCs/>
          <w:szCs w:val="22"/>
        </w:rPr>
        <w:t xml:space="preserve">Modifications to the </w:t>
      </w:r>
      <w:r>
        <w:rPr>
          <w:b/>
          <w:bCs/>
          <w:szCs w:val="22"/>
        </w:rPr>
        <w:t>Anti-Corruption Guidelines</w:t>
      </w:r>
    </w:p>
    <w:p w:rsidR="00573DFE" w:rsidRPr="004379D5" w:rsidRDefault="00573DFE" w:rsidP="00573DFE">
      <w:pPr>
        <w:pStyle w:val="ModelNrmlDouble"/>
        <w:spacing w:line="240" w:lineRule="auto"/>
        <w:ind w:firstLine="0"/>
        <w:rPr>
          <w:iCs/>
          <w:szCs w:val="22"/>
        </w:rPr>
      </w:pPr>
    </w:p>
    <w:p w:rsidR="00573DFE" w:rsidRPr="006143FE" w:rsidRDefault="00573DFE" w:rsidP="00573DFE">
      <w:pPr>
        <w:pStyle w:val="BodyText"/>
        <w:rPr>
          <w:bCs/>
          <w:iCs/>
          <w:sz w:val="22"/>
          <w:szCs w:val="22"/>
        </w:rPr>
      </w:pPr>
      <w:r w:rsidRPr="006143FE">
        <w:rPr>
          <w:bCs/>
          <w:iCs/>
          <w:sz w:val="22"/>
          <w:szCs w:val="22"/>
        </w:rPr>
        <w:t xml:space="preserve">The modifications to the Anti-Corruption Guidelines are as follows:  </w:t>
      </w:r>
    </w:p>
    <w:p w:rsidR="00573DFE" w:rsidRPr="006143FE" w:rsidRDefault="00573DFE" w:rsidP="00573DFE">
      <w:pPr>
        <w:pStyle w:val="BodyText"/>
        <w:ind w:left="720" w:hanging="720"/>
        <w:rPr>
          <w:sz w:val="22"/>
          <w:szCs w:val="22"/>
        </w:rPr>
      </w:pPr>
    </w:p>
    <w:p w:rsidR="00573DFE" w:rsidRPr="007A4C6B" w:rsidRDefault="00573DFE" w:rsidP="00573DFE">
      <w:pPr>
        <w:pStyle w:val="Default"/>
        <w:ind w:left="720" w:hanging="720"/>
        <w:jc w:val="both"/>
        <w:rPr>
          <w:sz w:val="22"/>
          <w:szCs w:val="22"/>
        </w:rPr>
      </w:pPr>
      <w:r w:rsidRPr="006143FE">
        <w:rPr>
          <w:sz w:val="22"/>
          <w:szCs w:val="22"/>
        </w:rPr>
        <w:t xml:space="preserve">1. </w:t>
      </w:r>
      <w:r w:rsidRPr="006143FE">
        <w:rPr>
          <w:sz w:val="22"/>
          <w:szCs w:val="22"/>
        </w:rPr>
        <w:tab/>
        <w:t>Section 5 i</w:t>
      </w:r>
      <w:r w:rsidRPr="007A4C6B">
        <w:rPr>
          <w:sz w:val="22"/>
          <w:szCs w:val="22"/>
        </w:rPr>
        <w:t>s re-numbered as Section 5(a) and a new Section 5(b) is added to read as follows:</w:t>
      </w:r>
    </w:p>
    <w:p w:rsidR="00573DFE" w:rsidRPr="007A4C6B" w:rsidRDefault="00573DFE" w:rsidP="00573DFE">
      <w:pPr>
        <w:pStyle w:val="Default"/>
        <w:rPr>
          <w:sz w:val="22"/>
          <w:szCs w:val="22"/>
        </w:rPr>
      </w:pPr>
    </w:p>
    <w:p w:rsidR="00573DFE" w:rsidRDefault="00573DFE" w:rsidP="00573DFE">
      <w:pPr>
        <w:pStyle w:val="Default"/>
        <w:ind w:left="720"/>
        <w:jc w:val="both"/>
        <w:rPr>
          <w:sz w:val="22"/>
          <w:szCs w:val="22"/>
        </w:rPr>
      </w:pPr>
      <w:r w:rsidRPr="007A4C6B">
        <w:rPr>
          <w:sz w:val="22"/>
          <w:szCs w:val="22"/>
        </w:rPr>
        <w:t xml:space="preserve">“…(b) </w:t>
      </w:r>
      <w:r w:rsidRPr="007A4C6B">
        <w:rPr>
          <w:sz w:val="22"/>
          <w:szCs w:val="22"/>
        </w:rPr>
        <w:tab/>
        <w:t>These Guidelines also provide for the sanctions and related actions to be imposed by the Bank on Borrowers (other than the Member Country) and all other individuals or entities who are recipients of Loan proceeds, in the event that the Borrower or the individual or entity has been debarred by another financier as a result of a determination by such financier that the Borrower or the individual or entity has engaged in fraudulent, corrupt, coercive or collusive practices in connection with the use of the proceeds of a financing made by such financier.”</w:t>
      </w:r>
    </w:p>
    <w:p w:rsidR="00573DFE" w:rsidRDefault="00573DFE" w:rsidP="00573DFE">
      <w:pPr>
        <w:pStyle w:val="Default"/>
        <w:ind w:left="720" w:hanging="720"/>
        <w:jc w:val="both"/>
        <w:rPr>
          <w:sz w:val="22"/>
          <w:szCs w:val="22"/>
        </w:rPr>
      </w:pPr>
    </w:p>
    <w:p w:rsidR="00573DFE" w:rsidRPr="007A4C6B" w:rsidRDefault="00573DFE" w:rsidP="00573DFE">
      <w:pPr>
        <w:pStyle w:val="Default"/>
        <w:numPr>
          <w:ilvl w:val="0"/>
          <w:numId w:val="2"/>
        </w:numPr>
        <w:jc w:val="both"/>
        <w:rPr>
          <w:sz w:val="22"/>
          <w:szCs w:val="22"/>
        </w:rPr>
      </w:pPr>
      <w:r w:rsidRPr="007A4C6B">
        <w:rPr>
          <w:sz w:val="22"/>
          <w:szCs w:val="22"/>
        </w:rPr>
        <w:t>Section 11(a) is modified to read as follows:</w:t>
      </w:r>
    </w:p>
    <w:p w:rsidR="00573DFE" w:rsidRPr="007A4C6B" w:rsidRDefault="00573DFE" w:rsidP="00573DFE">
      <w:pPr>
        <w:pStyle w:val="Default"/>
        <w:rPr>
          <w:sz w:val="22"/>
          <w:szCs w:val="22"/>
        </w:rPr>
      </w:pPr>
    </w:p>
    <w:p w:rsidR="00573DFE" w:rsidRPr="00D06918" w:rsidRDefault="00573DFE" w:rsidP="00573DFE">
      <w:pPr>
        <w:autoSpaceDE w:val="0"/>
        <w:autoSpaceDN w:val="0"/>
        <w:adjustRightInd w:val="0"/>
        <w:spacing w:line="240" w:lineRule="auto"/>
        <w:ind w:left="720"/>
        <w:jc w:val="both"/>
        <w:rPr>
          <w:sz w:val="22"/>
          <w:szCs w:val="22"/>
        </w:rPr>
      </w:pPr>
      <w:r w:rsidRPr="007A4C6B">
        <w:rPr>
          <w:rFonts w:eastAsia="Calibri"/>
          <w:sz w:val="22"/>
          <w:szCs w:val="22"/>
        </w:rPr>
        <w:t xml:space="preserve">“… (a) </w:t>
      </w:r>
      <w:r w:rsidRPr="007A4C6B">
        <w:rPr>
          <w:rFonts w:eastAsia="Calibri"/>
          <w:sz w:val="22"/>
          <w:szCs w:val="22"/>
        </w:rPr>
        <w:tab/>
        <w:t xml:space="preserve">sanction </w:t>
      </w:r>
      <w:r w:rsidRPr="007A4C6B">
        <w:rPr>
          <w:color w:val="000000"/>
          <w:sz w:val="22"/>
          <w:szCs w:val="22"/>
        </w:rPr>
        <w:t>in accordance with prevailing Bank’s sanctions policies and procedures</w:t>
      </w:r>
      <w:r w:rsidRPr="007A4C6B">
        <w:rPr>
          <w:rFonts w:eastAsia="Calibri"/>
          <w:sz w:val="22"/>
          <w:szCs w:val="22"/>
        </w:rPr>
        <w:t xml:space="preserve"> </w:t>
      </w:r>
      <w:r w:rsidRPr="007A4C6B">
        <w:rPr>
          <w:rFonts w:eastAsia="Calibri"/>
        </w:rPr>
        <w:t>(fn13)</w:t>
      </w:r>
      <w:r w:rsidRPr="007A4C6B">
        <w:rPr>
          <w:rFonts w:eastAsia="Calibri"/>
          <w:sz w:val="22"/>
          <w:szCs w:val="22"/>
        </w:rPr>
        <w:t xml:space="preserve"> a Borrower (other than a Member Country) (</w:t>
      </w:r>
      <w:r w:rsidRPr="007A4C6B">
        <w:rPr>
          <w:rFonts w:eastAsia="Calibri"/>
        </w:rPr>
        <w:t xml:space="preserve">fn 14) </w:t>
      </w:r>
      <w:r w:rsidRPr="007A4C6B">
        <w:rPr>
          <w:sz w:val="22"/>
          <w:szCs w:val="22"/>
        </w:rPr>
        <w:t>or an individual or entity</w:t>
      </w:r>
      <w:r w:rsidRPr="007A4C6B">
        <w:rPr>
          <w:rFonts w:eastAsia="Calibri"/>
          <w:sz w:val="22"/>
          <w:szCs w:val="22"/>
        </w:rPr>
        <w:t>, including (but not limited to) declaring such Borrower, individual or entity ineligible publicly</w:t>
      </w:r>
      <w:r w:rsidRPr="007A4C6B">
        <w:rPr>
          <w:sz w:val="22"/>
          <w:szCs w:val="22"/>
        </w:rPr>
        <w:t xml:space="preserve">, either indefinitely or for a stated period of time: (i) </w:t>
      </w:r>
      <w:r w:rsidRPr="007A4C6B">
        <w:rPr>
          <w:rFonts w:eastAsia="Calibri"/>
          <w:sz w:val="22"/>
          <w:szCs w:val="22"/>
        </w:rPr>
        <w:t>to be awarded a Bank-financed contract; (ii)</w:t>
      </w:r>
      <w:r w:rsidRPr="007A4C6B">
        <w:rPr>
          <w:sz w:val="22"/>
          <w:szCs w:val="22"/>
        </w:rPr>
        <w:t xml:space="preserve"> to benefit from a Bank-financed contract, financially or otherwise, for example as a sub-contractor; and (iii) </w:t>
      </w:r>
      <w:r w:rsidRPr="007A4C6B">
        <w:rPr>
          <w:rFonts w:eastAsia="Calibri"/>
          <w:sz w:val="22"/>
          <w:szCs w:val="22"/>
        </w:rPr>
        <w:t xml:space="preserve">to otherwise participate in the preparation or implementation of the project or any other project financed, in whole or in part, by the Bank, if at any time the Bank determines </w:t>
      </w:r>
      <w:r w:rsidRPr="007A4C6B">
        <w:rPr>
          <w:rFonts w:eastAsia="Calibri"/>
        </w:rPr>
        <w:t xml:space="preserve">(fn 15) </w:t>
      </w:r>
      <w:r w:rsidRPr="007A4C6B">
        <w:rPr>
          <w:rFonts w:eastAsia="Calibri"/>
          <w:sz w:val="22"/>
          <w:szCs w:val="22"/>
        </w:rPr>
        <w:t xml:space="preserve">that such Borrower, individual or entity has engaged in corrupt, fraudulent, collusive, coercive or obstructive practices in connection with the use of loan proceeds, or if </w:t>
      </w:r>
      <w:r w:rsidRPr="00D06918">
        <w:rPr>
          <w:sz w:val="22"/>
          <w:szCs w:val="22"/>
        </w:rPr>
        <w:t xml:space="preserve">another financier with which the Bank has entered into an agreement for the mutual enforcement of debarment decisions </w:t>
      </w:r>
      <w:r w:rsidRPr="00D06918">
        <w:rPr>
          <w:rFonts w:eastAsia="Calibri"/>
          <w:sz w:val="22"/>
          <w:szCs w:val="22"/>
        </w:rPr>
        <w:t xml:space="preserve">has declared such person or entity ineligible </w:t>
      </w:r>
      <w:r w:rsidRPr="00D06918">
        <w:rPr>
          <w:sz w:val="22"/>
          <w:szCs w:val="22"/>
        </w:rPr>
        <w:t>to receive proceeds of financings made by such financier or otherwise to participate in the preparation or implementation of any project financed in whole or in part by such financier as a result of a determination by such financier that the Borrower or the individual or entity has engaged in fraudulent, corrupt, coercive or collusive practices in connection with the use of the proceeds of a financing made by such financier.</w:t>
      </w:r>
      <w:r>
        <w:rPr>
          <w:sz w:val="22"/>
          <w:szCs w:val="22"/>
        </w:rPr>
        <w:t>”</w:t>
      </w:r>
    </w:p>
    <w:p w:rsidR="00573DFE" w:rsidRPr="00C42D55" w:rsidRDefault="00573DFE" w:rsidP="00573DFE">
      <w:pPr>
        <w:autoSpaceDE w:val="0"/>
        <w:autoSpaceDN w:val="0"/>
        <w:adjustRightInd w:val="0"/>
        <w:spacing w:line="240" w:lineRule="auto"/>
        <w:ind w:left="720"/>
        <w:jc w:val="both"/>
        <w:rPr>
          <w:sz w:val="22"/>
          <w:szCs w:val="22"/>
        </w:rPr>
      </w:pPr>
    </w:p>
    <w:p w:rsidR="00573DFE" w:rsidRPr="00975BB6" w:rsidRDefault="00573DFE" w:rsidP="00573DFE">
      <w:pPr>
        <w:autoSpaceDE w:val="0"/>
        <w:autoSpaceDN w:val="0"/>
        <w:adjustRightInd w:val="0"/>
        <w:spacing w:line="240" w:lineRule="auto"/>
        <w:jc w:val="both"/>
        <w:rPr>
          <w:rFonts w:eastAsia="Calibri"/>
          <w:sz w:val="22"/>
          <w:szCs w:val="22"/>
          <w:u w:val="single"/>
        </w:rPr>
      </w:pPr>
      <w:r w:rsidRPr="00975BB6">
        <w:rPr>
          <w:rFonts w:eastAsia="Calibri"/>
          <w:sz w:val="22"/>
          <w:szCs w:val="22"/>
          <w:u w:val="single"/>
        </w:rPr>
        <w:t>Footnotes:</w:t>
      </w:r>
    </w:p>
    <w:p w:rsidR="00573DFE" w:rsidRPr="00975BB6" w:rsidRDefault="00573DFE" w:rsidP="00573DFE">
      <w:pPr>
        <w:autoSpaceDE w:val="0"/>
        <w:autoSpaceDN w:val="0"/>
        <w:adjustRightInd w:val="0"/>
        <w:spacing w:line="240" w:lineRule="auto"/>
        <w:jc w:val="both"/>
        <w:rPr>
          <w:rFonts w:eastAsia="Calibri"/>
          <w:sz w:val="22"/>
          <w:szCs w:val="22"/>
        </w:rPr>
      </w:pPr>
    </w:p>
    <w:p w:rsidR="00573DFE" w:rsidRPr="002B0A71" w:rsidRDefault="00573DFE" w:rsidP="00573DFE">
      <w:pPr>
        <w:autoSpaceDE w:val="0"/>
        <w:autoSpaceDN w:val="0"/>
        <w:adjustRightInd w:val="0"/>
        <w:spacing w:line="240" w:lineRule="auto"/>
        <w:ind w:left="720"/>
        <w:jc w:val="both"/>
        <w:rPr>
          <w:sz w:val="20"/>
        </w:rPr>
      </w:pPr>
      <w:r w:rsidRPr="002B0A71">
        <w:rPr>
          <w:sz w:val="20"/>
        </w:rPr>
        <w:t>“13. An individual or entity may be declared ineligible to be awarded a Bank financed contract upon completion of sanctions proceedings pursuant to the  Bank’s sanctions policies and procedures, or under the procedures of temporary suspension or early temporary suspension in connection with an ongoing sanctions proceeding, or following a sanction by another financier with whom the Bank has entered into a cross debarment agreement, as a result of a determination by such financier that the firm or individual has engaged in fraudulent, corrupt, coercive or collusive practices in connection with the use of the proceeds of a financing made by such financier.”</w:t>
      </w:r>
    </w:p>
    <w:p w:rsidR="00573DFE" w:rsidRPr="002B0A71" w:rsidRDefault="00573DFE" w:rsidP="00573DFE">
      <w:pPr>
        <w:autoSpaceDE w:val="0"/>
        <w:autoSpaceDN w:val="0"/>
        <w:adjustRightInd w:val="0"/>
        <w:spacing w:line="240" w:lineRule="auto"/>
        <w:jc w:val="both"/>
        <w:rPr>
          <w:sz w:val="20"/>
        </w:rPr>
      </w:pPr>
    </w:p>
    <w:p w:rsidR="00573DFE" w:rsidRPr="002B0A71" w:rsidRDefault="00573DFE" w:rsidP="00573DFE">
      <w:pPr>
        <w:autoSpaceDE w:val="0"/>
        <w:autoSpaceDN w:val="0"/>
        <w:adjustRightInd w:val="0"/>
        <w:spacing w:line="240" w:lineRule="auto"/>
        <w:ind w:left="720"/>
        <w:jc w:val="both"/>
        <w:rPr>
          <w:sz w:val="20"/>
        </w:rPr>
      </w:pPr>
      <w:r w:rsidRPr="002B0A71">
        <w:rPr>
          <w:sz w:val="20"/>
        </w:rPr>
        <w:t xml:space="preserve">“14. Member Country includes officials and employees of the national government or of any of its political or administrative subdivisions, and government owned enterprises and agencies that are </w:t>
      </w:r>
      <w:r w:rsidRPr="002B0A71">
        <w:rPr>
          <w:sz w:val="20"/>
        </w:rPr>
        <w:lastRenderedPageBreak/>
        <w:t>not eligible to bid under paragraph 1.8(b) of the Procurement Guidelines or participate under paragraph 1.11(c) of the Consultant Guidelines.”</w:t>
      </w:r>
    </w:p>
    <w:p w:rsidR="00573DFE" w:rsidRPr="002B0A71" w:rsidRDefault="00573DFE" w:rsidP="00573DFE">
      <w:pPr>
        <w:autoSpaceDE w:val="0"/>
        <w:autoSpaceDN w:val="0"/>
        <w:adjustRightInd w:val="0"/>
        <w:spacing w:line="240" w:lineRule="auto"/>
        <w:jc w:val="both"/>
        <w:rPr>
          <w:sz w:val="20"/>
        </w:rPr>
      </w:pPr>
    </w:p>
    <w:p w:rsidR="00573DFE" w:rsidRPr="002B0A71" w:rsidRDefault="00573DFE" w:rsidP="00573DFE">
      <w:pPr>
        <w:autoSpaceDE w:val="0"/>
        <w:autoSpaceDN w:val="0"/>
        <w:adjustRightInd w:val="0"/>
        <w:spacing w:line="240" w:lineRule="auto"/>
        <w:ind w:left="720"/>
        <w:jc w:val="both"/>
        <w:rPr>
          <w:rFonts w:eastAsia="Calibri"/>
          <w:sz w:val="20"/>
        </w:rPr>
      </w:pPr>
      <w:r w:rsidRPr="002B0A71">
        <w:rPr>
          <w:sz w:val="20"/>
        </w:rPr>
        <w:t xml:space="preserve">“15. </w:t>
      </w:r>
      <w:r w:rsidRPr="002B0A71">
        <w:rPr>
          <w:rFonts w:eastAsia="Calibri"/>
          <w:sz w:val="20"/>
        </w:rPr>
        <w:t xml:space="preserve">The Bank has established a Sanctions Board, and related procedures, for the purpose of making such determinations. The procedures of the Sanctions Board sets forth the full set of sanctions available to the Bank. In addition, the Bank has adopted an internal protocol </w:t>
      </w:r>
      <w:r w:rsidRPr="002B0A71">
        <w:rPr>
          <w:color w:val="000000"/>
          <w:sz w:val="20"/>
        </w:rPr>
        <w:t>outlining the process to be followed in implementing debarments by other financiers, and explaining how cross-debarments will be posted on the Bank’s website and otherwise be made known to staff and other stakeholders.”</w:t>
      </w:r>
    </w:p>
    <w:p w:rsidR="00573DFE" w:rsidRDefault="00573DFE" w:rsidP="00C37382">
      <w:pPr>
        <w:pStyle w:val="ModelNrmlSingle"/>
        <w:spacing w:after="0"/>
        <w:ind w:left="720" w:hanging="720"/>
      </w:pPr>
    </w:p>
    <w:sectPr w:rsidR="00573DFE" w:rsidSect="004C0672">
      <w:headerReference w:type="even" r:id="rId8"/>
      <w:headerReference w:type="default" r:id="rId9"/>
      <w:footerReference w:type="even" r:id="rId10"/>
      <w:footerReference w:type="default" r:id="rId11"/>
      <w:footerReference w:type="first" r:id="rId12"/>
      <w:endnotePr>
        <w:numFmt w:val="decimal"/>
      </w:endnotePr>
      <w:pgSz w:w="12240" w:h="15840"/>
      <w:pgMar w:top="1800" w:right="1800" w:bottom="1440" w:left="180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85" w:rsidRDefault="004B1C85">
      <w:r>
        <w:separator/>
      </w:r>
    </w:p>
  </w:endnote>
  <w:endnote w:type="continuationSeparator" w:id="0">
    <w:p w:rsidR="004B1C85" w:rsidRDefault="004B1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85" w:rsidRDefault="00B93B00" w:rsidP="006E0128">
    <w:pPr>
      <w:pStyle w:val="Footer"/>
      <w:framePr w:wrap="around" w:vAnchor="text" w:hAnchor="margin" w:xAlign="center" w:y="1"/>
      <w:rPr>
        <w:rStyle w:val="PageNumber"/>
      </w:rPr>
    </w:pPr>
    <w:r>
      <w:rPr>
        <w:rStyle w:val="PageNumber"/>
      </w:rPr>
      <w:fldChar w:fldCharType="begin"/>
    </w:r>
    <w:r w:rsidR="004B1C85">
      <w:rPr>
        <w:rStyle w:val="PageNumber"/>
      </w:rPr>
      <w:instrText xml:space="preserve">PAGE  </w:instrText>
    </w:r>
    <w:r>
      <w:rPr>
        <w:rStyle w:val="PageNumber"/>
      </w:rPr>
      <w:fldChar w:fldCharType="end"/>
    </w:r>
  </w:p>
  <w:p w:rsidR="004B1C85" w:rsidRDefault="004B1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85" w:rsidRPr="006E0128" w:rsidRDefault="00B93B00" w:rsidP="006E0128">
    <w:pPr>
      <w:pStyle w:val="Footer"/>
      <w:framePr w:wrap="around" w:vAnchor="text" w:hAnchor="margin" w:xAlign="center" w:y="1"/>
      <w:rPr>
        <w:rStyle w:val="PageNumber"/>
        <w:sz w:val="22"/>
        <w:szCs w:val="22"/>
      </w:rPr>
    </w:pPr>
    <w:r w:rsidRPr="006E0128">
      <w:rPr>
        <w:rStyle w:val="PageNumber"/>
        <w:sz w:val="22"/>
        <w:szCs w:val="22"/>
      </w:rPr>
      <w:fldChar w:fldCharType="begin"/>
    </w:r>
    <w:r w:rsidR="004B1C85" w:rsidRPr="006E0128">
      <w:rPr>
        <w:rStyle w:val="PageNumber"/>
        <w:sz w:val="22"/>
        <w:szCs w:val="22"/>
      </w:rPr>
      <w:instrText xml:space="preserve">PAGE  </w:instrText>
    </w:r>
    <w:r w:rsidRPr="006E0128">
      <w:rPr>
        <w:rStyle w:val="PageNumber"/>
        <w:sz w:val="22"/>
        <w:szCs w:val="22"/>
      </w:rPr>
      <w:fldChar w:fldCharType="separate"/>
    </w:r>
    <w:r w:rsidR="00325197">
      <w:rPr>
        <w:rStyle w:val="PageNumber"/>
        <w:noProof/>
        <w:sz w:val="22"/>
        <w:szCs w:val="22"/>
      </w:rPr>
      <w:t>- 9 -</w:t>
    </w:r>
    <w:r w:rsidRPr="006E0128">
      <w:rPr>
        <w:rStyle w:val="PageNumber"/>
        <w:sz w:val="22"/>
        <w:szCs w:val="22"/>
      </w:rPr>
      <w:fldChar w:fldCharType="end"/>
    </w:r>
  </w:p>
  <w:p w:rsidR="004B1C85" w:rsidRPr="00C44E25" w:rsidRDefault="004B1C85" w:rsidP="006E0128">
    <w:pPr>
      <w:pStyle w:val="Footer"/>
      <w:spacing w:line="240" w:lineRule="auto"/>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85" w:rsidRPr="006E0128" w:rsidRDefault="004B1C85" w:rsidP="006E0128">
    <w:pPr>
      <w:pStyle w:val="Foote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85" w:rsidRDefault="004B1C85">
      <w:r>
        <w:separator/>
      </w:r>
    </w:p>
  </w:footnote>
  <w:footnote w:type="continuationSeparator" w:id="0">
    <w:p w:rsidR="004B1C85" w:rsidRDefault="004B1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85" w:rsidRDefault="00B93B00">
    <w:pPr>
      <w:pStyle w:val="Header"/>
      <w:framePr w:wrap="around" w:vAnchor="text" w:hAnchor="margin" w:xAlign="center" w:y="1"/>
      <w:rPr>
        <w:rStyle w:val="PageNumber"/>
      </w:rPr>
    </w:pPr>
    <w:r>
      <w:rPr>
        <w:rStyle w:val="PageNumber"/>
      </w:rPr>
      <w:fldChar w:fldCharType="begin"/>
    </w:r>
    <w:r w:rsidR="004B1C85">
      <w:rPr>
        <w:rStyle w:val="PageNumber"/>
      </w:rPr>
      <w:instrText xml:space="preserve">PAGE  </w:instrText>
    </w:r>
    <w:r>
      <w:rPr>
        <w:rStyle w:val="PageNumber"/>
      </w:rPr>
      <w:fldChar w:fldCharType="end"/>
    </w:r>
  </w:p>
  <w:p w:rsidR="004B1C85" w:rsidRDefault="004B1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85" w:rsidRDefault="004B1C85">
    <w:pPr>
      <w:pStyle w:val="Header"/>
      <w:framePr w:wrap="around" w:vAnchor="text" w:hAnchor="margin" w:xAlign="center" w:y="1"/>
      <w:rPr>
        <w:rStyle w:val="PageNumber"/>
      </w:rPr>
    </w:pPr>
  </w:p>
  <w:p w:rsidR="004B1C85" w:rsidRDefault="004B1C85" w:rsidP="009C48C9">
    <w:pPr>
      <w:pStyle w:val="Heade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93B83D"/>
    <w:multiLevelType w:val="hybridMultilevel"/>
    <w:tmpl w:val="1C337E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0152"/>
    <w:multiLevelType w:val="hybridMultilevel"/>
    <w:tmpl w:val="4A2011EC"/>
    <w:lvl w:ilvl="0" w:tplc="9BB28F5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2885CE8"/>
    <w:multiLevelType w:val="hybridMultilevel"/>
    <w:tmpl w:val="E03ABA40"/>
    <w:lvl w:ilvl="0" w:tplc="0868FF6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79752B2"/>
    <w:multiLevelType w:val="hybridMultilevel"/>
    <w:tmpl w:val="CF5210A4"/>
    <w:lvl w:ilvl="0" w:tplc="E50E0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1002F"/>
    <w:multiLevelType w:val="hybridMultilevel"/>
    <w:tmpl w:val="79E82EB4"/>
    <w:lvl w:ilvl="0" w:tplc="6344A294">
      <w:start w:val="1"/>
      <w:numFmt w:val="lowerLetter"/>
      <w:lvlText w:val="(%1)"/>
      <w:lvlJc w:val="left"/>
      <w:pPr>
        <w:tabs>
          <w:tab w:val="num" w:pos="1440"/>
        </w:tabs>
        <w:ind w:left="1440" w:hanging="72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4D7065"/>
    <w:multiLevelType w:val="hybridMultilevel"/>
    <w:tmpl w:val="7786DC00"/>
    <w:lvl w:ilvl="0" w:tplc="E68AB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CA0C36"/>
    <w:multiLevelType w:val="hybridMultilevel"/>
    <w:tmpl w:val="2670F2C8"/>
    <w:lvl w:ilvl="0" w:tplc="A58697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9D35BB"/>
    <w:multiLevelType w:val="hybridMultilevel"/>
    <w:tmpl w:val="28CEE2CC"/>
    <w:lvl w:ilvl="0" w:tplc="5BECF78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5E1322"/>
    <w:multiLevelType w:val="hybridMultilevel"/>
    <w:tmpl w:val="4C6ACE2C"/>
    <w:lvl w:ilvl="0" w:tplc="776E4528">
      <w:start w:val="1"/>
      <w:numFmt w:val="lowerRoman"/>
      <w:lvlText w:val="(%1)"/>
      <w:lvlJc w:val="left"/>
      <w:pPr>
        <w:tabs>
          <w:tab w:val="num" w:pos="1440"/>
        </w:tabs>
        <w:ind w:left="1440" w:hanging="720"/>
      </w:pPr>
      <w:rPr>
        <w:rFonts w:hint="default"/>
      </w:rPr>
    </w:lvl>
    <w:lvl w:ilvl="1" w:tplc="27C8773A">
      <w:start w:val="1"/>
      <w:numFmt w:val="upperLetter"/>
      <w:lvlText w:val="%2."/>
      <w:lvlJc w:val="left"/>
      <w:pPr>
        <w:tabs>
          <w:tab w:val="num" w:pos="1800"/>
        </w:tabs>
        <w:ind w:left="1800" w:hanging="360"/>
      </w:pPr>
      <w:rPr>
        <w:rFonts w:hint="default"/>
      </w:rPr>
    </w:lvl>
    <w:lvl w:ilvl="2" w:tplc="E3D6395C">
      <w:start w:val="1"/>
      <w:numFmt w:val="upperLetter"/>
      <w:lvlText w:val="(%3)"/>
      <w:lvlJc w:val="left"/>
      <w:pPr>
        <w:tabs>
          <w:tab w:val="num" w:pos="2715"/>
        </w:tabs>
        <w:ind w:left="2715" w:hanging="37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0E0DD0"/>
    <w:multiLevelType w:val="hybridMultilevel"/>
    <w:tmpl w:val="37A8AB66"/>
    <w:lvl w:ilvl="0" w:tplc="46BE5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217B9"/>
    <w:multiLevelType w:val="hybridMultilevel"/>
    <w:tmpl w:val="2E9ED7D8"/>
    <w:lvl w:ilvl="0" w:tplc="6B5C018E">
      <w:start w:val="9"/>
      <w:numFmt w:val="decimal"/>
      <w:lvlText w:val="%1."/>
      <w:lvlJc w:val="left"/>
      <w:pPr>
        <w:tabs>
          <w:tab w:val="num" w:pos="720"/>
        </w:tabs>
        <w:ind w:left="0" w:firstLine="0"/>
      </w:pPr>
      <w:rPr>
        <w:rFonts w:hint="default"/>
      </w:rPr>
    </w:lvl>
    <w:lvl w:ilvl="1" w:tplc="FB0E024C">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A067A75"/>
    <w:multiLevelType w:val="hybridMultilevel"/>
    <w:tmpl w:val="979967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C25300B"/>
    <w:multiLevelType w:val="hybridMultilevel"/>
    <w:tmpl w:val="AD24BD50"/>
    <w:lvl w:ilvl="0" w:tplc="9F808F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2B4927"/>
    <w:multiLevelType w:val="multilevel"/>
    <w:tmpl w:val="4A2011EC"/>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4E3123B"/>
    <w:multiLevelType w:val="hybridMultilevel"/>
    <w:tmpl w:val="7CF43A7E"/>
    <w:lvl w:ilvl="0" w:tplc="1228E3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D3306E"/>
    <w:multiLevelType w:val="hybridMultilevel"/>
    <w:tmpl w:val="F2E4ADB8"/>
    <w:lvl w:ilvl="0" w:tplc="BC8CD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11"/>
  </w:num>
  <w:num w:numId="6">
    <w:abstractNumId w:val="14"/>
  </w:num>
  <w:num w:numId="7">
    <w:abstractNumId w:val="6"/>
  </w:num>
  <w:num w:numId="8">
    <w:abstractNumId w:val="1"/>
  </w:num>
  <w:num w:numId="9">
    <w:abstractNumId w:val="18"/>
  </w:num>
  <w:num w:numId="10">
    <w:abstractNumId w:val="4"/>
  </w:num>
  <w:num w:numId="11">
    <w:abstractNumId w:val="8"/>
  </w:num>
  <w:num w:numId="12">
    <w:abstractNumId w:val="2"/>
  </w:num>
  <w:num w:numId="13">
    <w:abstractNumId w:val="9"/>
  </w:num>
  <w:num w:numId="14">
    <w:abstractNumId w:val="17"/>
  </w:num>
  <w:num w:numId="15">
    <w:abstractNumId w:val="20"/>
  </w:num>
  <w:num w:numId="16">
    <w:abstractNumId w:val="16"/>
  </w:num>
  <w:num w:numId="17">
    <w:abstractNumId w:val="7"/>
  </w:num>
  <w:num w:numId="18">
    <w:abstractNumId w:val="0"/>
  </w:num>
  <w:num w:numId="19">
    <w:abstractNumId w:val="5"/>
  </w:num>
  <w:num w:numId="20">
    <w:abstractNumId w:val="21"/>
  </w:num>
  <w:num w:numId="21">
    <w:abstractNumId w:val="3"/>
  </w:num>
  <w:num w:numId="2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numFmt w:val="decimal"/>
    <w:endnote w:id="-1"/>
    <w:endnote w:id="0"/>
  </w:endnotePr>
  <w:compat/>
  <w:rsids>
    <w:rsidRoot w:val="00B46A3A"/>
    <w:rsid w:val="000011EE"/>
    <w:rsid w:val="00002842"/>
    <w:rsid w:val="00004E3D"/>
    <w:rsid w:val="0000735A"/>
    <w:rsid w:val="0001521C"/>
    <w:rsid w:val="00016208"/>
    <w:rsid w:val="000179CE"/>
    <w:rsid w:val="00022592"/>
    <w:rsid w:val="0002386A"/>
    <w:rsid w:val="0002403E"/>
    <w:rsid w:val="0002606D"/>
    <w:rsid w:val="0002609F"/>
    <w:rsid w:val="0003276A"/>
    <w:rsid w:val="00033809"/>
    <w:rsid w:val="00033D07"/>
    <w:rsid w:val="00037206"/>
    <w:rsid w:val="00042065"/>
    <w:rsid w:val="00042F67"/>
    <w:rsid w:val="00047038"/>
    <w:rsid w:val="0005012D"/>
    <w:rsid w:val="00052E2B"/>
    <w:rsid w:val="00057BFF"/>
    <w:rsid w:val="000603AD"/>
    <w:rsid w:val="000621EE"/>
    <w:rsid w:val="00062900"/>
    <w:rsid w:val="00064A9C"/>
    <w:rsid w:val="000712BF"/>
    <w:rsid w:val="000716D2"/>
    <w:rsid w:val="00071A70"/>
    <w:rsid w:val="00073D9E"/>
    <w:rsid w:val="00076F71"/>
    <w:rsid w:val="00076FA4"/>
    <w:rsid w:val="00077A6A"/>
    <w:rsid w:val="00085583"/>
    <w:rsid w:val="00085B99"/>
    <w:rsid w:val="00090A68"/>
    <w:rsid w:val="00090D80"/>
    <w:rsid w:val="00091792"/>
    <w:rsid w:val="000919BB"/>
    <w:rsid w:val="00095DBC"/>
    <w:rsid w:val="00095EEA"/>
    <w:rsid w:val="00096E55"/>
    <w:rsid w:val="000A75AA"/>
    <w:rsid w:val="000B7854"/>
    <w:rsid w:val="000C34C7"/>
    <w:rsid w:val="000C7439"/>
    <w:rsid w:val="000C7F26"/>
    <w:rsid w:val="000D516A"/>
    <w:rsid w:val="000E3DC5"/>
    <w:rsid w:val="000E48CD"/>
    <w:rsid w:val="000E62B9"/>
    <w:rsid w:val="000F3144"/>
    <w:rsid w:val="000F4D21"/>
    <w:rsid w:val="000F67C4"/>
    <w:rsid w:val="00105F16"/>
    <w:rsid w:val="00106C0B"/>
    <w:rsid w:val="00113718"/>
    <w:rsid w:val="00115ACB"/>
    <w:rsid w:val="00115FD8"/>
    <w:rsid w:val="00117541"/>
    <w:rsid w:val="00120DEF"/>
    <w:rsid w:val="00133421"/>
    <w:rsid w:val="00141163"/>
    <w:rsid w:val="001431AB"/>
    <w:rsid w:val="00144D27"/>
    <w:rsid w:val="00152470"/>
    <w:rsid w:val="00156A84"/>
    <w:rsid w:val="00166050"/>
    <w:rsid w:val="00167F2E"/>
    <w:rsid w:val="00172462"/>
    <w:rsid w:val="00172AD4"/>
    <w:rsid w:val="0017425D"/>
    <w:rsid w:val="001836B6"/>
    <w:rsid w:val="00184FF6"/>
    <w:rsid w:val="00185039"/>
    <w:rsid w:val="00192A90"/>
    <w:rsid w:val="0019485E"/>
    <w:rsid w:val="001A559D"/>
    <w:rsid w:val="001B146C"/>
    <w:rsid w:val="001B15E3"/>
    <w:rsid w:val="001B27A3"/>
    <w:rsid w:val="001C10B9"/>
    <w:rsid w:val="001C391C"/>
    <w:rsid w:val="001C3BB2"/>
    <w:rsid w:val="001C7360"/>
    <w:rsid w:val="001D2084"/>
    <w:rsid w:val="001D2146"/>
    <w:rsid w:val="001D46F4"/>
    <w:rsid w:val="001F2D45"/>
    <w:rsid w:val="001F4C16"/>
    <w:rsid w:val="002027AB"/>
    <w:rsid w:val="00212B08"/>
    <w:rsid w:val="00212E6C"/>
    <w:rsid w:val="0022410E"/>
    <w:rsid w:val="00224EDD"/>
    <w:rsid w:val="00240D73"/>
    <w:rsid w:val="00244628"/>
    <w:rsid w:val="002461E1"/>
    <w:rsid w:val="00246EC6"/>
    <w:rsid w:val="002525BA"/>
    <w:rsid w:val="00252F95"/>
    <w:rsid w:val="00256A96"/>
    <w:rsid w:val="002570DE"/>
    <w:rsid w:val="00267FB6"/>
    <w:rsid w:val="00270A2D"/>
    <w:rsid w:val="00270C4B"/>
    <w:rsid w:val="0027149B"/>
    <w:rsid w:val="00272757"/>
    <w:rsid w:val="00276CE3"/>
    <w:rsid w:val="00286DCB"/>
    <w:rsid w:val="002A1F02"/>
    <w:rsid w:val="002A5CA2"/>
    <w:rsid w:val="002A613C"/>
    <w:rsid w:val="002A6BB8"/>
    <w:rsid w:val="002B2F5A"/>
    <w:rsid w:val="002B5D2E"/>
    <w:rsid w:val="002C7206"/>
    <w:rsid w:val="002E0B1C"/>
    <w:rsid w:val="002E37B3"/>
    <w:rsid w:val="002F11C9"/>
    <w:rsid w:val="002F1E21"/>
    <w:rsid w:val="00301591"/>
    <w:rsid w:val="003015E6"/>
    <w:rsid w:val="003128E4"/>
    <w:rsid w:val="00315BA9"/>
    <w:rsid w:val="003176E7"/>
    <w:rsid w:val="00320757"/>
    <w:rsid w:val="0032369B"/>
    <w:rsid w:val="00323CF9"/>
    <w:rsid w:val="00325197"/>
    <w:rsid w:val="00330752"/>
    <w:rsid w:val="00332F22"/>
    <w:rsid w:val="00333291"/>
    <w:rsid w:val="00335441"/>
    <w:rsid w:val="003365F3"/>
    <w:rsid w:val="0034046D"/>
    <w:rsid w:val="00340476"/>
    <w:rsid w:val="00350A99"/>
    <w:rsid w:val="00351805"/>
    <w:rsid w:val="00353E41"/>
    <w:rsid w:val="00356410"/>
    <w:rsid w:val="00365078"/>
    <w:rsid w:val="0036537B"/>
    <w:rsid w:val="00373609"/>
    <w:rsid w:val="00377327"/>
    <w:rsid w:val="003811A5"/>
    <w:rsid w:val="00382316"/>
    <w:rsid w:val="0038779F"/>
    <w:rsid w:val="003912E4"/>
    <w:rsid w:val="00391644"/>
    <w:rsid w:val="00395905"/>
    <w:rsid w:val="003A23B2"/>
    <w:rsid w:val="003A61CC"/>
    <w:rsid w:val="003B184A"/>
    <w:rsid w:val="003B1D86"/>
    <w:rsid w:val="003B68CC"/>
    <w:rsid w:val="003B747A"/>
    <w:rsid w:val="003C118A"/>
    <w:rsid w:val="003C11C8"/>
    <w:rsid w:val="003C144F"/>
    <w:rsid w:val="003C2942"/>
    <w:rsid w:val="003C4489"/>
    <w:rsid w:val="003D1172"/>
    <w:rsid w:val="003D1246"/>
    <w:rsid w:val="003D5F38"/>
    <w:rsid w:val="003D6CF2"/>
    <w:rsid w:val="003F1A31"/>
    <w:rsid w:val="003F2A9A"/>
    <w:rsid w:val="003F3032"/>
    <w:rsid w:val="003F3B28"/>
    <w:rsid w:val="003F47F2"/>
    <w:rsid w:val="00401AEC"/>
    <w:rsid w:val="00401EFD"/>
    <w:rsid w:val="00403255"/>
    <w:rsid w:val="00406215"/>
    <w:rsid w:val="00412A6F"/>
    <w:rsid w:val="004162DF"/>
    <w:rsid w:val="00417FBF"/>
    <w:rsid w:val="00420515"/>
    <w:rsid w:val="00420A89"/>
    <w:rsid w:val="00423B5B"/>
    <w:rsid w:val="0043085D"/>
    <w:rsid w:val="00431CA8"/>
    <w:rsid w:val="004324F1"/>
    <w:rsid w:val="00441884"/>
    <w:rsid w:val="004432EC"/>
    <w:rsid w:val="004438AE"/>
    <w:rsid w:val="004548B9"/>
    <w:rsid w:val="00454CD1"/>
    <w:rsid w:val="00466FD7"/>
    <w:rsid w:val="004730F9"/>
    <w:rsid w:val="0047311C"/>
    <w:rsid w:val="0049565B"/>
    <w:rsid w:val="004A25BB"/>
    <w:rsid w:val="004B1C85"/>
    <w:rsid w:val="004B26F1"/>
    <w:rsid w:val="004B41B1"/>
    <w:rsid w:val="004C0672"/>
    <w:rsid w:val="004C39E4"/>
    <w:rsid w:val="004C79DD"/>
    <w:rsid w:val="004D2EE9"/>
    <w:rsid w:val="004D31AA"/>
    <w:rsid w:val="004D5CDC"/>
    <w:rsid w:val="004D6BED"/>
    <w:rsid w:val="004E4EF6"/>
    <w:rsid w:val="004F1C45"/>
    <w:rsid w:val="004F3558"/>
    <w:rsid w:val="004F4544"/>
    <w:rsid w:val="004F7ED2"/>
    <w:rsid w:val="0050148E"/>
    <w:rsid w:val="005205E5"/>
    <w:rsid w:val="005214C2"/>
    <w:rsid w:val="00522AD9"/>
    <w:rsid w:val="0053012C"/>
    <w:rsid w:val="00533162"/>
    <w:rsid w:val="00537E9E"/>
    <w:rsid w:val="005404B3"/>
    <w:rsid w:val="00543997"/>
    <w:rsid w:val="00545D83"/>
    <w:rsid w:val="005474A6"/>
    <w:rsid w:val="00551EC1"/>
    <w:rsid w:val="00553124"/>
    <w:rsid w:val="0056134B"/>
    <w:rsid w:val="005619F0"/>
    <w:rsid w:val="00564583"/>
    <w:rsid w:val="0056612C"/>
    <w:rsid w:val="00573DFE"/>
    <w:rsid w:val="00577D45"/>
    <w:rsid w:val="00587C60"/>
    <w:rsid w:val="005926D7"/>
    <w:rsid w:val="00596703"/>
    <w:rsid w:val="00596A34"/>
    <w:rsid w:val="005A41A7"/>
    <w:rsid w:val="005A5D4D"/>
    <w:rsid w:val="005A6AFF"/>
    <w:rsid w:val="005B069B"/>
    <w:rsid w:val="005B1ECD"/>
    <w:rsid w:val="005B3DDD"/>
    <w:rsid w:val="005B4FC1"/>
    <w:rsid w:val="005B6CB6"/>
    <w:rsid w:val="005C0F8C"/>
    <w:rsid w:val="005C508C"/>
    <w:rsid w:val="005D30FB"/>
    <w:rsid w:val="005D3DAF"/>
    <w:rsid w:val="005E3CB7"/>
    <w:rsid w:val="005E5011"/>
    <w:rsid w:val="005F3827"/>
    <w:rsid w:val="005F64B5"/>
    <w:rsid w:val="005F73A1"/>
    <w:rsid w:val="00604B11"/>
    <w:rsid w:val="00604E7D"/>
    <w:rsid w:val="0060528D"/>
    <w:rsid w:val="00611589"/>
    <w:rsid w:val="0061230B"/>
    <w:rsid w:val="0062447C"/>
    <w:rsid w:val="00625616"/>
    <w:rsid w:val="00625F08"/>
    <w:rsid w:val="00637EB3"/>
    <w:rsid w:val="006426FE"/>
    <w:rsid w:val="006458B9"/>
    <w:rsid w:val="00651090"/>
    <w:rsid w:val="006534C4"/>
    <w:rsid w:val="0065594A"/>
    <w:rsid w:val="006702A6"/>
    <w:rsid w:val="006725F6"/>
    <w:rsid w:val="0067482B"/>
    <w:rsid w:val="00674F73"/>
    <w:rsid w:val="00683737"/>
    <w:rsid w:val="00683963"/>
    <w:rsid w:val="00693443"/>
    <w:rsid w:val="006A1E67"/>
    <w:rsid w:val="006A5F73"/>
    <w:rsid w:val="006B2840"/>
    <w:rsid w:val="006C0C49"/>
    <w:rsid w:val="006C1568"/>
    <w:rsid w:val="006C1E58"/>
    <w:rsid w:val="006C233F"/>
    <w:rsid w:val="006C3F63"/>
    <w:rsid w:val="006D0343"/>
    <w:rsid w:val="006D1A96"/>
    <w:rsid w:val="006D5B8A"/>
    <w:rsid w:val="006E0128"/>
    <w:rsid w:val="006E1CDF"/>
    <w:rsid w:val="006E1CF6"/>
    <w:rsid w:val="006E5F68"/>
    <w:rsid w:val="006E6234"/>
    <w:rsid w:val="006F02BF"/>
    <w:rsid w:val="006F140B"/>
    <w:rsid w:val="006F645E"/>
    <w:rsid w:val="0070003F"/>
    <w:rsid w:val="00701693"/>
    <w:rsid w:val="00703A8F"/>
    <w:rsid w:val="007141A7"/>
    <w:rsid w:val="0071446A"/>
    <w:rsid w:val="0071501A"/>
    <w:rsid w:val="007162D7"/>
    <w:rsid w:val="0072336F"/>
    <w:rsid w:val="00724B23"/>
    <w:rsid w:val="00724C18"/>
    <w:rsid w:val="00732A28"/>
    <w:rsid w:val="007366FA"/>
    <w:rsid w:val="00736AEA"/>
    <w:rsid w:val="00737ED9"/>
    <w:rsid w:val="00743964"/>
    <w:rsid w:val="00745877"/>
    <w:rsid w:val="00753B7A"/>
    <w:rsid w:val="00756B43"/>
    <w:rsid w:val="00757FFE"/>
    <w:rsid w:val="007639AE"/>
    <w:rsid w:val="007649F6"/>
    <w:rsid w:val="00764CFF"/>
    <w:rsid w:val="00770F92"/>
    <w:rsid w:val="00772D04"/>
    <w:rsid w:val="007739AE"/>
    <w:rsid w:val="00784386"/>
    <w:rsid w:val="0079088D"/>
    <w:rsid w:val="0079239B"/>
    <w:rsid w:val="007A100F"/>
    <w:rsid w:val="007A52A9"/>
    <w:rsid w:val="007B0C4F"/>
    <w:rsid w:val="007B14AD"/>
    <w:rsid w:val="007B2A3B"/>
    <w:rsid w:val="007C1562"/>
    <w:rsid w:val="007C57EB"/>
    <w:rsid w:val="007C66A8"/>
    <w:rsid w:val="007D3AD7"/>
    <w:rsid w:val="007D49DA"/>
    <w:rsid w:val="007E2CF2"/>
    <w:rsid w:val="007E5F25"/>
    <w:rsid w:val="007F3137"/>
    <w:rsid w:val="007F4C28"/>
    <w:rsid w:val="007F4F9C"/>
    <w:rsid w:val="00801960"/>
    <w:rsid w:val="0080294C"/>
    <w:rsid w:val="00811E1C"/>
    <w:rsid w:val="00817DB7"/>
    <w:rsid w:val="00820E8D"/>
    <w:rsid w:val="00822690"/>
    <w:rsid w:val="00823723"/>
    <w:rsid w:val="00825933"/>
    <w:rsid w:val="00827FFD"/>
    <w:rsid w:val="0083256E"/>
    <w:rsid w:val="00833FCA"/>
    <w:rsid w:val="00841B2F"/>
    <w:rsid w:val="00853DC1"/>
    <w:rsid w:val="00854347"/>
    <w:rsid w:val="008569AD"/>
    <w:rsid w:val="00857D30"/>
    <w:rsid w:val="00870A1A"/>
    <w:rsid w:val="00870C6A"/>
    <w:rsid w:val="008734C0"/>
    <w:rsid w:val="0087772F"/>
    <w:rsid w:val="00884E97"/>
    <w:rsid w:val="00885569"/>
    <w:rsid w:val="0088692B"/>
    <w:rsid w:val="00887515"/>
    <w:rsid w:val="0088776F"/>
    <w:rsid w:val="00890993"/>
    <w:rsid w:val="00893231"/>
    <w:rsid w:val="008A7DF0"/>
    <w:rsid w:val="008B0B44"/>
    <w:rsid w:val="008B4455"/>
    <w:rsid w:val="008B6784"/>
    <w:rsid w:val="008C2FBB"/>
    <w:rsid w:val="008C3BDC"/>
    <w:rsid w:val="008C6A86"/>
    <w:rsid w:val="008C71D5"/>
    <w:rsid w:val="008C79B7"/>
    <w:rsid w:val="008D06DC"/>
    <w:rsid w:val="008D48E7"/>
    <w:rsid w:val="008E3A35"/>
    <w:rsid w:val="008E4754"/>
    <w:rsid w:val="008E4D54"/>
    <w:rsid w:val="008F16F9"/>
    <w:rsid w:val="008F42D5"/>
    <w:rsid w:val="009067DE"/>
    <w:rsid w:val="00913814"/>
    <w:rsid w:val="00916227"/>
    <w:rsid w:val="00917BE2"/>
    <w:rsid w:val="00923BCA"/>
    <w:rsid w:val="00924EE4"/>
    <w:rsid w:val="0092524D"/>
    <w:rsid w:val="00926382"/>
    <w:rsid w:val="00926D6E"/>
    <w:rsid w:val="0094010E"/>
    <w:rsid w:val="00942AFB"/>
    <w:rsid w:val="00943EF0"/>
    <w:rsid w:val="00956DF4"/>
    <w:rsid w:val="00961E62"/>
    <w:rsid w:val="00963576"/>
    <w:rsid w:val="009661FB"/>
    <w:rsid w:val="00972A67"/>
    <w:rsid w:val="00972AD1"/>
    <w:rsid w:val="009807DD"/>
    <w:rsid w:val="00983F54"/>
    <w:rsid w:val="0098599C"/>
    <w:rsid w:val="00997967"/>
    <w:rsid w:val="009A28EA"/>
    <w:rsid w:val="009A5310"/>
    <w:rsid w:val="009A7B1D"/>
    <w:rsid w:val="009B67EA"/>
    <w:rsid w:val="009B76A7"/>
    <w:rsid w:val="009C48C9"/>
    <w:rsid w:val="009C799D"/>
    <w:rsid w:val="009D2434"/>
    <w:rsid w:val="009D353F"/>
    <w:rsid w:val="009D6474"/>
    <w:rsid w:val="009D7C8B"/>
    <w:rsid w:val="009E235D"/>
    <w:rsid w:val="009E62F9"/>
    <w:rsid w:val="009E73BD"/>
    <w:rsid w:val="009F1774"/>
    <w:rsid w:val="00A03F44"/>
    <w:rsid w:val="00A143CC"/>
    <w:rsid w:val="00A176EC"/>
    <w:rsid w:val="00A20535"/>
    <w:rsid w:val="00A20A8C"/>
    <w:rsid w:val="00A220AB"/>
    <w:rsid w:val="00A24153"/>
    <w:rsid w:val="00A31C92"/>
    <w:rsid w:val="00A3696E"/>
    <w:rsid w:val="00A36F67"/>
    <w:rsid w:val="00A37FCA"/>
    <w:rsid w:val="00A4683E"/>
    <w:rsid w:val="00A50249"/>
    <w:rsid w:val="00A53C1A"/>
    <w:rsid w:val="00A5601C"/>
    <w:rsid w:val="00A567BC"/>
    <w:rsid w:val="00A656B8"/>
    <w:rsid w:val="00A705DB"/>
    <w:rsid w:val="00A76866"/>
    <w:rsid w:val="00A76911"/>
    <w:rsid w:val="00A77857"/>
    <w:rsid w:val="00A80D0B"/>
    <w:rsid w:val="00A81971"/>
    <w:rsid w:val="00A83755"/>
    <w:rsid w:val="00A854C9"/>
    <w:rsid w:val="00A97A12"/>
    <w:rsid w:val="00A97EAD"/>
    <w:rsid w:val="00AA100B"/>
    <w:rsid w:val="00AA17DA"/>
    <w:rsid w:val="00AA60A5"/>
    <w:rsid w:val="00AB23F7"/>
    <w:rsid w:val="00AB64A2"/>
    <w:rsid w:val="00AB6A84"/>
    <w:rsid w:val="00AC09B7"/>
    <w:rsid w:val="00AC0DF9"/>
    <w:rsid w:val="00AC2243"/>
    <w:rsid w:val="00AC2FF9"/>
    <w:rsid w:val="00AC49EE"/>
    <w:rsid w:val="00AE1361"/>
    <w:rsid w:val="00AE34BA"/>
    <w:rsid w:val="00AE5532"/>
    <w:rsid w:val="00AF0264"/>
    <w:rsid w:val="00AF0C3F"/>
    <w:rsid w:val="00AF1790"/>
    <w:rsid w:val="00AF3BEB"/>
    <w:rsid w:val="00B01D01"/>
    <w:rsid w:val="00B13EE8"/>
    <w:rsid w:val="00B17D1E"/>
    <w:rsid w:val="00B20C6B"/>
    <w:rsid w:val="00B20C92"/>
    <w:rsid w:val="00B258D4"/>
    <w:rsid w:val="00B36007"/>
    <w:rsid w:val="00B46A3A"/>
    <w:rsid w:val="00B47E3B"/>
    <w:rsid w:val="00B552CF"/>
    <w:rsid w:val="00B56DFD"/>
    <w:rsid w:val="00B62972"/>
    <w:rsid w:val="00B7655A"/>
    <w:rsid w:val="00B814E0"/>
    <w:rsid w:val="00B81A52"/>
    <w:rsid w:val="00B85358"/>
    <w:rsid w:val="00B9054E"/>
    <w:rsid w:val="00B93B00"/>
    <w:rsid w:val="00B951AE"/>
    <w:rsid w:val="00B97FC5"/>
    <w:rsid w:val="00BA5824"/>
    <w:rsid w:val="00BA6804"/>
    <w:rsid w:val="00BB1A18"/>
    <w:rsid w:val="00BC0881"/>
    <w:rsid w:val="00BC282E"/>
    <w:rsid w:val="00BC5598"/>
    <w:rsid w:val="00BC5C83"/>
    <w:rsid w:val="00BD0D7A"/>
    <w:rsid w:val="00BD4E13"/>
    <w:rsid w:val="00BE338B"/>
    <w:rsid w:val="00BF0902"/>
    <w:rsid w:val="00BF7FAE"/>
    <w:rsid w:val="00C00FCC"/>
    <w:rsid w:val="00C04DE3"/>
    <w:rsid w:val="00C101D4"/>
    <w:rsid w:val="00C110CE"/>
    <w:rsid w:val="00C139E6"/>
    <w:rsid w:val="00C13FF2"/>
    <w:rsid w:val="00C1409F"/>
    <w:rsid w:val="00C16426"/>
    <w:rsid w:val="00C2508E"/>
    <w:rsid w:val="00C31AFB"/>
    <w:rsid w:val="00C359FF"/>
    <w:rsid w:val="00C37382"/>
    <w:rsid w:val="00C40FF1"/>
    <w:rsid w:val="00C42B50"/>
    <w:rsid w:val="00C44A37"/>
    <w:rsid w:val="00C44E25"/>
    <w:rsid w:val="00C451DD"/>
    <w:rsid w:val="00C50E91"/>
    <w:rsid w:val="00C5615D"/>
    <w:rsid w:val="00C56ED4"/>
    <w:rsid w:val="00C74BA9"/>
    <w:rsid w:val="00C8001B"/>
    <w:rsid w:val="00C80698"/>
    <w:rsid w:val="00C80F10"/>
    <w:rsid w:val="00C84127"/>
    <w:rsid w:val="00C94A3E"/>
    <w:rsid w:val="00C95A28"/>
    <w:rsid w:val="00CA1738"/>
    <w:rsid w:val="00CA5D00"/>
    <w:rsid w:val="00CB1188"/>
    <w:rsid w:val="00CC09FF"/>
    <w:rsid w:val="00CC2F9F"/>
    <w:rsid w:val="00CC5761"/>
    <w:rsid w:val="00CD0206"/>
    <w:rsid w:val="00CD393C"/>
    <w:rsid w:val="00CE08C3"/>
    <w:rsid w:val="00CE1F25"/>
    <w:rsid w:val="00CE3F22"/>
    <w:rsid w:val="00CE6262"/>
    <w:rsid w:val="00D03B33"/>
    <w:rsid w:val="00D049FD"/>
    <w:rsid w:val="00D04F2B"/>
    <w:rsid w:val="00D12831"/>
    <w:rsid w:val="00D21CE4"/>
    <w:rsid w:val="00D22B0F"/>
    <w:rsid w:val="00D25F6F"/>
    <w:rsid w:val="00D31654"/>
    <w:rsid w:val="00D32E36"/>
    <w:rsid w:val="00D36E38"/>
    <w:rsid w:val="00D37727"/>
    <w:rsid w:val="00D551A1"/>
    <w:rsid w:val="00D553B1"/>
    <w:rsid w:val="00D60434"/>
    <w:rsid w:val="00D63C97"/>
    <w:rsid w:val="00D6649B"/>
    <w:rsid w:val="00D723BD"/>
    <w:rsid w:val="00D73163"/>
    <w:rsid w:val="00D77222"/>
    <w:rsid w:val="00D81EF5"/>
    <w:rsid w:val="00D82E49"/>
    <w:rsid w:val="00D844EE"/>
    <w:rsid w:val="00D84E44"/>
    <w:rsid w:val="00D86194"/>
    <w:rsid w:val="00D87993"/>
    <w:rsid w:val="00D91765"/>
    <w:rsid w:val="00D95183"/>
    <w:rsid w:val="00DA0FB6"/>
    <w:rsid w:val="00DA100F"/>
    <w:rsid w:val="00DA28E3"/>
    <w:rsid w:val="00DA328A"/>
    <w:rsid w:val="00DA4D19"/>
    <w:rsid w:val="00DA50D7"/>
    <w:rsid w:val="00DA53FB"/>
    <w:rsid w:val="00DB1372"/>
    <w:rsid w:val="00DB5942"/>
    <w:rsid w:val="00DD2D3F"/>
    <w:rsid w:val="00DD5B8F"/>
    <w:rsid w:val="00DD5C32"/>
    <w:rsid w:val="00DE27D9"/>
    <w:rsid w:val="00DE3620"/>
    <w:rsid w:val="00DF22D8"/>
    <w:rsid w:val="00DF42D3"/>
    <w:rsid w:val="00DF49BD"/>
    <w:rsid w:val="00DF5241"/>
    <w:rsid w:val="00E016DC"/>
    <w:rsid w:val="00E027B4"/>
    <w:rsid w:val="00E06C36"/>
    <w:rsid w:val="00E124E0"/>
    <w:rsid w:val="00E166A9"/>
    <w:rsid w:val="00E20C0E"/>
    <w:rsid w:val="00E2198B"/>
    <w:rsid w:val="00E35657"/>
    <w:rsid w:val="00E42C86"/>
    <w:rsid w:val="00E43F44"/>
    <w:rsid w:val="00E50CE4"/>
    <w:rsid w:val="00E51E87"/>
    <w:rsid w:val="00E5359C"/>
    <w:rsid w:val="00E6361F"/>
    <w:rsid w:val="00E675C7"/>
    <w:rsid w:val="00E717D3"/>
    <w:rsid w:val="00E7314D"/>
    <w:rsid w:val="00E759C8"/>
    <w:rsid w:val="00E7610B"/>
    <w:rsid w:val="00E7736A"/>
    <w:rsid w:val="00EA0313"/>
    <w:rsid w:val="00EA0AA9"/>
    <w:rsid w:val="00EA1B92"/>
    <w:rsid w:val="00EA5387"/>
    <w:rsid w:val="00EA6B34"/>
    <w:rsid w:val="00EB09CC"/>
    <w:rsid w:val="00EB2597"/>
    <w:rsid w:val="00EB48D2"/>
    <w:rsid w:val="00EC3E4B"/>
    <w:rsid w:val="00EC72FE"/>
    <w:rsid w:val="00EC7FC4"/>
    <w:rsid w:val="00ED13FE"/>
    <w:rsid w:val="00EE17E4"/>
    <w:rsid w:val="00EE1A24"/>
    <w:rsid w:val="00EE4C8F"/>
    <w:rsid w:val="00EE631A"/>
    <w:rsid w:val="00EF04AB"/>
    <w:rsid w:val="00EF1F83"/>
    <w:rsid w:val="00EF3D41"/>
    <w:rsid w:val="00EF4D90"/>
    <w:rsid w:val="00EF71E0"/>
    <w:rsid w:val="00F01A1A"/>
    <w:rsid w:val="00F074EC"/>
    <w:rsid w:val="00F07C0D"/>
    <w:rsid w:val="00F12F60"/>
    <w:rsid w:val="00F23089"/>
    <w:rsid w:val="00F23717"/>
    <w:rsid w:val="00F24108"/>
    <w:rsid w:val="00F241C8"/>
    <w:rsid w:val="00F279EC"/>
    <w:rsid w:val="00F3258F"/>
    <w:rsid w:val="00F3331F"/>
    <w:rsid w:val="00F34AC7"/>
    <w:rsid w:val="00F445EE"/>
    <w:rsid w:val="00F47859"/>
    <w:rsid w:val="00F563A3"/>
    <w:rsid w:val="00F57E26"/>
    <w:rsid w:val="00F60570"/>
    <w:rsid w:val="00F60661"/>
    <w:rsid w:val="00F663E8"/>
    <w:rsid w:val="00F67538"/>
    <w:rsid w:val="00F73A3E"/>
    <w:rsid w:val="00F743A2"/>
    <w:rsid w:val="00F74FB0"/>
    <w:rsid w:val="00F766FA"/>
    <w:rsid w:val="00F803ED"/>
    <w:rsid w:val="00F83DC3"/>
    <w:rsid w:val="00F85D36"/>
    <w:rsid w:val="00F86E44"/>
    <w:rsid w:val="00F947B6"/>
    <w:rsid w:val="00F94A0F"/>
    <w:rsid w:val="00F963F9"/>
    <w:rsid w:val="00FA5AAE"/>
    <w:rsid w:val="00FB1651"/>
    <w:rsid w:val="00FB23C9"/>
    <w:rsid w:val="00FB523C"/>
    <w:rsid w:val="00FB619C"/>
    <w:rsid w:val="00FB66F9"/>
    <w:rsid w:val="00FC27A6"/>
    <w:rsid w:val="00FC63DC"/>
    <w:rsid w:val="00FC7436"/>
    <w:rsid w:val="00FD4A5A"/>
    <w:rsid w:val="00FD7F3D"/>
    <w:rsid w:val="00FE4298"/>
    <w:rsid w:val="00FF2C26"/>
    <w:rsid w:val="00FF7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1D5"/>
    <w:pPr>
      <w:spacing w:line="480" w:lineRule="auto"/>
    </w:pPr>
    <w:rPr>
      <w:sz w:val="24"/>
    </w:rPr>
  </w:style>
  <w:style w:type="paragraph" w:styleId="Heading1">
    <w:name w:val="heading 1"/>
    <w:basedOn w:val="Normal"/>
    <w:next w:val="Normal"/>
    <w:qFormat/>
    <w:rsid w:val="008C71D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8C71D5"/>
  </w:style>
  <w:style w:type="paragraph" w:styleId="Header">
    <w:name w:val="header"/>
    <w:basedOn w:val="Normal"/>
    <w:rsid w:val="008C71D5"/>
    <w:pPr>
      <w:tabs>
        <w:tab w:val="center" w:pos="4320"/>
        <w:tab w:val="right" w:pos="8640"/>
      </w:tabs>
    </w:pPr>
  </w:style>
  <w:style w:type="paragraph" w:styleId="Footer">
    <w:name w:val="footer"/>
    <w:basedOn w:val="Normal"/>
    <w:rsid w:val="008C71D5"/>
    <w:pPr>
      <w:tabs>
        <w:tab w:val="center" w:pos="4320"/>
        <w:tab w:val="right" w:pos="8640"/>
      </w:tabs>
    </w:pPr>
  </w:style>
  <w:style w:type="paragraph" w:styleId="Title">
    <w:name w:val="Title"/>
    <w:basedOn w:val="Normal"/>
    <w:qFormat/>
    <w:rsid w:val="008C71D5"/>
    <w:pPr>
      <w:jc w:val="center"/>
    </w:pPr>
    <w:rPr>
      <w:b/>
      <w:bCs/>
    </w:rPr>
  </w:style>
  <w:style w:type="paragraph" w:styleId="FootnoteText">
    <w:name w:val="footnote text"/>
    <w:basedOn w:val="Normal"/>
    <w:semiHidden/>
    <w:rsid w:val="008C71D5"/>
    <w:rPr>
      <w:sz w:val="20"/>
    </w:rPr>
  </w:style>
  <w:style w:type="character" w:styleId="FootnoteReference">
    <w:name w:val="footnote reference"/>
    <w:basedOn w:val="DefaultParagraphFont"/>
    <w:semiHidden/>
    <w:rsid w:val="008C71D5"/>
    <w:rPr>
      <w:vertAlign w:val="superscript"/>
    </w:rPr>
  </w:style>
  <w:style w:type="paragraph" w:styleId="BodyText">
    <w:name w:val="Body Text"/>
    <w:basedOn w:val="Normal"/>
    <w:link w:val="BodyTextChar"/>
    <w:rsid w:val="008C71D5"/>
    <w:pPr>
      <w:spacing w:line="240" w:lineRule="auto"/>
      <w:jc w:val="both"/>
    </w:pPr>
  </w:style>
  <w:style w:type="character" w:styleId="PageNumber">
    <w:name w:val="page number"/>
    <w:basedOn w:val="DefaultParagraphFont"/>
    <w:rsid w:val="008C71D5"/>
  </w:style>
  <w:style w:type="paragraph" w:styleId="EndnoteText">
    <w:name w:val="endnote text"/>
    <w:basedOn w:val="Normal"/>
    <w:link w:val="EndnoteTextChar"/>
    <w:semiHidden/>
    <w:rsid w:val="008C71D5"/>
    <w:rPr>
      <w:sz w:val="20"/>
    </w:rPr>
  </w:style>
  <w:style w:type="character" w:styleId="EndnoteReference">
    <w:name w:val="endnote reference"/>
    <w:basedOn w:val="DefaultParagraphFont"/>
    <w:semiHidden/>
    <w:rsid w:val="008C71D5"/>
    <w:rPr>
      <w:vertAlign w:val="superscript"/>
    </w:rPr>
  </w:style>
  <w:style w:type="paragraph" w:customStyle="1" w:styleId="ModelNrmlDouble">
    <w:name w:val="ModelNrmlDouble"/>
    <w:basedOn w:val="Normal"/>
    <w:rsid w:val="008C71D5"/>
    <w:pPr>
      <w:spacing w:after="360"/>
      <w:ind w:firstLine="720"/>
      <w:jc w:val="both"/>
    </w:pPr>
    <w:rPr>
      <w:sz w:val="22"/>
    </w:rPr>
  </w:style>
  <w:style w:type="paragraph" w:customStyle="1" w:styleId="ModelDoubleNoIndent">
    <w:name w:val="ModelDoubleNoIndent"/>
    <w:basedOn w:val="ModelNrmlDouble"/>
    <w:rsid w:val="008C71D5"/>
    <w:pPr>
      <w:ind w:firstLine="0"/>
    </w:pPr>
    <w:rPr>
      <w:u w:val="single"/>
    </w:rPr>
  </w:style>
  <w:style w:type="character" w:styleId="CommentReference">
    <w:name w:val="annotation reference"/>
    <w:basedOn w:val="DefaultParagraphFont"/>
    <w:uiPriority w:val="99"/>
    <w:semiHidden/>
    <w:rsid w:val="008C71D5"/>
    <w:rPr>
      <w:sz w:val="16"/>
      <w:szCs w:val="16"/>
    </w:rPr>
  </w:style>
  <w:style w:type="paragraph" w:styleId="CommentText">
    <w:name w:val="annotation text"/>
    <w:basedOn w:val="Normal"/>
    <w:link w:val="CommentTextChar"/>
    <w:uiPriority w:val="99"/>
    <w:semiHidden/>
    <w:rsid w:val="008C71D5"/>
    <w:rPr>
      <w:sz w:val="20"/>
    </w:rPr>
  </w:style>
  <w:style w:type="paragraph" w:styleId="CommentSubject">
    <w:name w:val="annotation subject"/>
    <w:basedOn w:val="CommentText"/>
    <w:next w:val="CommentText"/>
    <w:semiHidden/>
    <w:rsid w:val="008C71D5"/>
    <w:rPr>
      <w:b/>
      <w:bCs/>
    </w:rPr>
  </w:style>
  <w:style w:type="paragraph" w:styleId="BalloonText">
    <w:name w:val="Balloon Text"/>
    <w:basedOn w:val="Normal"/>
    <w:semiHidden/>
    <w:rsid w:val="008C71D5"/>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6D5B8A"/>
    <w:pPr>
      <w:spacing w:after="120"/>
    </w:pPr>
    <w:rPr>
      <w:sz w:val="16"/>
      <w:szCs w:val="16"/>
    </w:rPr>
  </w:style>
  <w:style w:type="paragraph" w:styleId="BodyText2">
    <w:name w:val="Body Text 2"/>
    <w:basedOn w:val="Normal"/>
    <w:rsid w:val="00417FBF"/>
    <w:pPr>
      <w:spacing w:after="120"/>
    </w:pPr>
  </w:style>
  <w:style w:type="paragraph" w:customStyle="1" w:styleId="Default">
    <w:name w:val="Default"/>
    <w:rsid w:val="00AB6A84"/>
    <w:pPr>
      <w:autoSpaceDE w:val="0"/>
      <w:autoSpaceDN w:val="0"/>
      <w:adjustRightInd w:val="0"/>
    </w:pPr>
    <w:rPr>
      <w:color w:val="000000"/>
      <w:sz w:val="24"/>
      <w:szCs w:val="24"/>
    </w:rPr>
  </w:style>
  <w:style w:type="paragraph" w:customStyle="1" w:styleId="ModelNrmlSingle">
    <w:name w:val="ModelNrmlSingle"/>
    <w:basedOn w:val="Normal"/>
    <w:rsid w:val="00240D73"/>
    <w:pPr>
      <w:spacing w:after="240" w:line="240" w:lineRule="auto"/>
      <w:ind w:firstLine="720"/>
      <w:jc w:val="both"/>
    </w:pPr>
    <w:rPr>
      <w:sz w:val="22"/>
    </w:rPr>
  </w:style>
  <w:style w:type="paragraph" w:customStyle="1" w:styleId="Style1">
    <w:name w:val="Style1"/>
    <w:basedOn w:val="Normal"/>
    <w:rsid w:val="004D5CDC"/>
    <w:pPr>
      <w:jc w:val="both"/>
    </w:pPr>
    <w:rPr>
      <w:bCs/>
      <w:sz w:val="22"/>
    </w:rPr>
  </w:style>
  <w:style w:type="paragraph" w:customStyle="1" w:styleId="Style2">
    <w:name w:val="Style2"/>
    <w:basedOn w:val="Normal"/>
    <w:rsid w:val="004D5CDC"/>
    <w:pPr>
      <w:jc w:val="both"/>
    </w:pPr>
    <w:rPr>
      <w:b/>
      <w:bCs/>
      <w:sz w:val="22"/>
    </w:rPr>
  </w:style>
  <w:style w:type="paragraph" w:customStyle="1" w:styleId="Style3">
    <w:name w:val="Style3"/>
    <w:basedOn w:val="Normal"/>
    <w:rsid w:val="004D5CDC"/>
    <w:pPr>
      <w:jc w:val="both"/>
    </w:pPr>
    <w:rPr>
      <w:bCs/>
      <w:sz w:val="22"/>
    </w:rPr>
  </w:style>
  <w:style w:type="paragraph" w:customStyle="1" w:styleId="Formletterhead">
    <w:name w:val="Form: letterhead"/>
    <w:basedOn w:val="Normal"/>
    <w:rsid w:val="00246EC6"/>
    <w:pPr>
      <w:tabs>
        <w:tab w:val="left" w:pos="5130"/>
        <w:tab w:val="left" w:pos="7290"/>
      </w:tabs>
      <w:spacing w:line="240" w:lineRule="auto"/>
      <w:ind w:left="180"/>
    </w:pPr>
    <w:rPr>
      <w:rFonts w:ascii="Arial" w:hAnsi="Arial"/>
      <w:sz w:val="28"/>
    </w:rPr>
  </w:style>
  <w:style w:type="paragraph" w:styleId="BodyTextIndent">
    <w:name w:val="Body Text Indent"/>
    <w:basedOn w:val="Normal"/>
    <w:rsid w:val="009D7C8B"/>
    <w:pPr>
      <w:spacing w:after="120"/>
      <w:ind w:left="360"/>
    </w:pPr>
  </w:style>
  <w:style w:type="paragraph" w:customStyle="1" w:styleId="REGULAR1">
    <w:name w:val="REGULAR 1"/>
    <w:rsid w:val="009D7C8B"/>
    <w:pPr>
      <w:suppressAutoHyphens/>
    </w:pPr>
    <w:rPr>
      <w:rFonts w:ascii="CG Times" w:hAnsi="CG Times"/>
      <w:sz w:val="24"/>
    </w:rPr>
  </w:style>
  <w:style w:type="paragraph" w:styleId="Revision">
    <w:name w:val="Revision"/>
    <w:hidden/>
    <w:uiPriority w:val="99"/>
    <w:semiHidden/>
    <w:rsid w:val="00972AD1"/>
    <w:rPr>
      <w:sz w:val="24"/>
    </w:rPr>
  </w:style>
  <w:style w:type="character" w:customStyle="1" w:styleId="BodyTextChar">
    <w:name w:val="Body Text Char"/>
    <w:basedOn w:val="DefaultParagraphFont"/>
    <w:link w:val="BodyText"/>
    <w:rsid w:val="00573DFE"/>
    <w:rPr>
      <w:sz w:val="24"/>
    </w:rPr>
  </w:style>
  <w:style w:type="character" w:customStyle="1" w:styleId="EndnoteTextChar">
    <w:name w:val="Endnote Text Char"/>
    <w:basedOn w:val="DefaultParagraphFont"/>
    <w:link w:val="EndnoteText"/>
    <w:semiHidden/>
    <w:rsid w:val="00573DFE"/>
  </w:style>
  <w:style w:type="paragraph" w:styleId="NoSpacing">
    <w:name w:val="No Spacing"/>
    <w:uiPriority w:val="1"/>
    <w:qFormat/>
    <w:rsid w:val="00090A68"/>
    <w:rPr>
      <w:sz w:val="24"/>
      <w:szCs w:val="24"/>
    </w:rPr>
  </w:style>
  <w:style w:type="character" w:customStyle="1" w:styleId="CommentTextChar">
    <w:name w:val="Comment Text Char"/>
    <w:basedOn w:val="DefaultParagraphFont"/>
    <w:link w:val="CommentText"/>
    <w:uiPriority w:val="99"/>
    <w:semiHidden/>
    <w:rsid w:val="00B7655A"/>
  </w:style>
  <w:style w:type="paragraph" w:styleId="ListParagraph">
    <w:name w:val="List Paragraph"/>
    <w:basedOn w:val="Normal"/>
    <w:uiPriority w:val="34"/>
    <w:qFormat/>
    <w:rsid w:val="00B7655A"/>
    <w:pPr>
      <w:ind w:left="720"/>
      <w:contextualSpacing/>
    </w:pPr>
  </w:style>
</w:styles>
</file>

<file path=word/webSettings.xml><?xml version="1.0" encoding="utf-8"?>
<w:webSettings xmlns:r="http://schemas.openxmlformats.org/officeDocument/2006/relationships" xmlns:w="http://schemas.openxmlformats.org/wordprocessingml/2006/main">
  <w:divs>
    <w:div w:id="21427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BEBC-DADB-4517-954D-EED37549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2834</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WB171540</cp:lastModifiedBy>
  <cp:revision>2</cp:revision>
  <cp:lastPrinted>2010-06-03T19:17:00Z</cp:lastPrinted>
  <dcterms:created xsi:type="dcterms:W3CDTF">2010-09-20T19:15:00Z</dcterms:created>
  <dcterms:modified xsi:type="dcterms:W3CDTF">2010-09-20T19:15:00Z</dcterms:modified>
</cp:coreProperties>
</file>