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D4" w:rsidRDefault="008627D4">
      <w:pPr>
        <w:jc w:val="center"/>
        <w:rPr>
          <w:b/>
          <w:bCs/>
          <w:lang w:val="fr-FR"/>
        </w:rPr>
      </w:pPr>
      <w:r>
        <w:rPr>
          <w:b/>
          <w:bCs/>
          <w:lang w:val="fr-FR"/>
        </w:rPr>
        <w:t>PROGRAM INFORMATION DOCUMENT (PID)</w:t>
      </w:r>
    </w:p>
    <w:p w:rsidR="008627D4" w:rsidRDefault="008627D4">
      <w:pPr>
        <w:jc w:val="center"/>
        <w:rPr>
          <w:b/>
          <w:bCs/>
        </w:rPr>
      </w:pPr>
      <w:r>
        <w:rPr>
          <w:b/>
          <w:bCs/>
        </w:rPr>
        <w:t>APPRAISAL STAGE</w:t>
      </w:r>
    </w:p>
    <w:p w:rsidR="008627D4" w:rsidRDefault="008627D4">
      <w:pPr>
        <w:ind w:right="720"/>
        <w:jc w:val="right"/>
      </w:pPr>
      <w:r>
        <w:t xml:space="preserve">Report No.:  </w:t>
      </w:r>
      <w:bookmarkStart w:id="0" w:name="ReportNo"/>
      <w:r w:rsidR="008C7AE5">
        <w:t>AB</w:t>
      </w:r>
      <w:bookmarkEnd w:id="0"/>
      <w:r w:rsidR="0031465D">
        <w:t>7499</w:t>
      </w:r>
      <w:bookmarkStart w:id="1" w:name="_GoBack"/>
      <w:bookmarkEnd w:id="1"/>
    </w:p>
    <w:tbl>
      <w:tblPr>
        <w:tblW w:w="873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0"/>
        <w:gridCol w:w="5040"/>
      </w:tblGrid>
      <w:tr w:rsidR="0005657F" w:rsidTr="00A31AFE">
        <w:tc>
          <w:tcPr>
            <w:tcW w:w="3690" w:type="dxa"/>
            <w:tcBorders>
              <w:top w:val="single" w:sz="4" w:space="0" w:color="auto"/>
              <w:left w:val="single" w:sz="4" w:space="0" w:color="auto"/>
              <w:bottom w:val="single" w:sz="4" w:space="0" w:color="auto"/>
              <w:right w:val="single" w:sz="4" w:space="0" w:color="auto"/>
            </w:tcBorders>
          </w:tcPr>
          <w:p w:rsidR="0005657F" w:rsidRDefault="0005657F">
            <w:pPr>
              <w:rPr>
                <w:b/>
                <w:bCs/>
              </w:rPr>
            </w:pPr>
            <w:r>
              <w:rPr>
                <w:b/>
                <w:bCs/>
              </w:rPr>
              <w:t>Operation Name</w:t>
            </w:r>
          </w:p>
        </w:tc>
        <w:tc>
          <w:tcPr>
            <w:tcW w:w="5040" w:type="dxa"/>
            <w:tcBorders>
              <w:top w:val="single" w:sz="4" w:space="0" w:color="auto"/>
              <w:left w:val="single" w:sz="4" w:space="0" w:color="auto"/>
              <w:bottom w:val="single" w:sz="4" w:space="0" w:color="auto"/>
              <w:right w:val="single" w:sz="4" w:space="0" w:color="auto"/>
            </w:tcBorders>
          </w:tcPr>
          <w:p w:rsidR="0005657F" w:rsidRPr="004A5DE6" w:rsidRDefault="0005657F" w:rsidP="009B1F84">
            <w:pPr>
              <w:rPr>
                <w:sz w:val="22"/>
                <w:szCs w:val="22"/>
              </w:rPr>
            </w:pPr>
            <w:r w:rsidRPr="004A5DE6">
              <w:rPr>
                <w:sz w:val="22"/>
                <w:szCs w:val="22"/>
              </w:rPr>
              <w:t>Second Economic Recovery Development Policy Loan (ERDPL2)</w:t>
            </w:r>
          </w:p>
        </w:tc>
      </w:tr>
      <w:tr w:rsidR="0005657F" w:rsidTr="00A31AFE">
        <w:tc>
          <w:tcPr>
            <w:tcW w:w="3690" w:type="dxa"/>
            <w:tcBorders>
              <w:top w:val="single" w:sz="4" w:space="0" w:color="auto"/>
              <w:left w:val="single" w:sz="4" w:space="0" w:color="auto"/>
              <w:bottom w:val="single" w:sz="4" w:space="0" w:color="auto"/>
              <w:right w:val="single" w:sz="4" w:space="0" w:color="auto"/>
            </w:tcBorders>
          </w:tcPr>
          <w:p w:rsidR="0005657F" w:rsidRDefault="0005657F">
            <w:pPr>
              <w:rPr>
                <w:b/>
                <w:bCs/>
              </w:rPr>
            </w:pPr>
            <w:r>
              <w:rPr>
                <w:b/>
                <w:bCs/>
              </w:rPr>
              <w:t>Region</w:t>
            </w:r>
          </w:p>
        </w:tc>
        <w:tc>
          <w:tcPr>
            <w:tcW w:w="5040" w:type="dxa"/>
            <w:tcBorders>
              <w:top w:val="single" w:sz="4" w:space="0" w:color="auto"/>
              <w:left w:val="single" w:sz="4" w:space="0" w:color="auto"/>
              <w:bottom w:val="single" w:sz="4" w:space="0" w:color="auto"/>
              <w:right w:val="single" w:sz="4" w:space="0" w:color="auto"/>
            </w:tcBorders>
          </w:tcPr>
          <w:p w:rsidR="0005657F" w:rsidRPr="004A5DE6" w:rsidRDefault="0005657F" w:rsidP="00DB1DBF">
            <w:pPr>
              <w:rPr>
                <w:sz w:val="22"/>
                <w:szCs w:val="22"/>
              </w:rPr>
            </w:pPr>
            <w:r w:rsidRPr="004A5DE6">
              <w:rPr>
                <w:sz w:val="22"/>
                <w:szCs w:val="22"/>
              </w:rPr>
              <w:t>EUROPE AND CENTRAL ASIA</w:t>
            </w:r>
          </w:p>
        </w:tc>
      </w:tr>
      <w:tr w:rsidR="0005657F" w:rsidTr="00A31AFE">
        <w:tc>
          <w:tcPr>
            <w:tcW w:w="3690" w:type="dxa"/>
            <w:tcBorders>
              <w:top w:val="single" w:sz="4" w:space="0" w:color="auto"/>
              <w:left w:val="single" w:sz="4" w:space="0" w:color="auto"/>
              <w:bottom w:val="single" w:sz="4" w:space="0" w:color="auto"/>
              <w:right w:val="single" w:sz="4" w:space="0" w:color="auto"/>
            </w:tcBorders>
          </w:tcPr>
          <w:p w:rsidR="0005657F" w:rsidRDefault="0005657F">
            <w:pPr>
              <w:rPr>
                <w:b/>
                <w:bCs/>
              </w:rPr>
            </w:pPr>
            <w:r>
              <w:rPr>
                <w:b/>
                <w:bCs/>
              </w:rPr>
              <w:t>Country</w:t>
            </w:r>
          </w:p>
        </w:tc>
        <w:tc>
          <w:tcPr>
            <w:tcW w:w="5040" w:type="dxa"/>
            <w:tcBorders>
              <w:top w:val="single" w:sz="4" w:space="0" w:color="auto"/>
              <w:left w:val="single" w:sz="4" w:space="0" w:color="auto"/>
              <w:bottom w:val="single" w:sz="4" w:space="0" w:color="auto"/>
              <w:right w:val="single" w:sz="4" w:space="0" w:color="auto"/>
            </w:tcBorders>
          </w:tcPr>
          <w:p w:rsidR="0005657F" w:rsidRPr="004A5DE6" w:rsidRDefault="0005657F" w:rsidP="00DB1DBF">
            <w:pPr>
              <w:rPr>
                <w:sz w:val="22"/>
                <w:szCs w:val="22"/>
              </w:rPr>
            </w:pPr>
            <w:r w:rsidRPr="004A5DE6">
              <w:rPr>
                <w:sz w:val="22"/>
                <w:szCs w:val="22"/>
              </w:rPr>
              <w:t>Croatia</w:t>
            </w:r>
          </w:p>
        </w:tc>
      </w:tr>
      <w:tr w:rsidR="0005657F" w:rsidTr="00A31AFE">
        <w:tc>
          <w:tcPr>
            <w:tcW w:w="3690" w:type="dxa"/>
            <w:tcBorders>
              <w:top w:val="single" w:sz="4" w:space="0" w:color="auto"/>
              <w:left w:val="single" w:sz="4" w:space="0" w:color="auto"/>
              <w:bottom w:val="single" w:sz="4" w:space="0" w:color="auto"/>
              <w:right w:val="single" w:sz="4" w:space="0" w:color="auto"/>
            </w:tcBorders>
          </w:tcPr>
          <w:p w:rsidR="0005657F" w:rsidRDefault="0005657F">
            <w:pPr>
              <w:rPr>
                <w:b/>
                <w:bCs/>
              </w:rPr>
            </w:pPr>
            <w:r>
              <w:rPr>
                <w:b/>
                <w:bCs/>
              </w:rPr>
              <w:t>Sector</w:t>
            </w:r>
          </w:p>
        </w:tc>
        <w:tc>
          <w:tcPr>
            <w:tcW w:w="5040" w:type="dxa"/>
            <w:tcBorders>
              <w:top w:val="single" w:sz="4" w:space="0" w:color="auto"/>
              <w:left w:val="single" w:sz="4" w:space="0" w:color="auto"/>
              <w:bottom w:val="single" w:sz="4" w:space="0" w:color="auto"/>
              <w:right w:val="single" w:sz="4" w:space="0" w:color="auto"/>
            </w:tcBorders>
          </w:tcPr>
          <w:p w:rsidR="0005657F" w:rsidRPr="004A5DE6" w:rsidRDefault="0005657F" w:rsidP="00DB1DBF">
            <w:pPr>
              <w:rPr>
                <w:sz w:val="22"/>
                <w:szCs w:val="22"/>
              </w:rPr>
            </w:pPr>
            <w:bookmarkStart w:id="2" w:name="SEC_SHORT_NAME"/>
            <w:r w:rsidRPr="004A5DE6">
              <w:rPr>
                <w:sz w:val="22"/>
                <w:szCs w:val="22"/>
              </w:rPr>
              <w:t>General public administration sector (60%); Compulsory pension and unemployment insurance (25%); Compulsory health finance (15%)</w:t>
            </w:r>
            <w:bookmarkEnd w:id="2"/>
          </w:p>
        </w:tc>
      </w:tr>
      <w:tr w:rsidR="0005657F" w:rsidTr="00A31AFE">
        <w:tc>
          <w:tcPr>
            <w:tcW w:w="3690" w:type="dxa"/>
            <w:tcBorders>
              <w:top w:val="single" w:sz="4" w:space="0" w:color="auto"/>
              <w:left w:val="single" w:sz="4" w:space="0" w:color="auto"/>
              <w:bottom w:val="single" w:sz="4" w:space="0" w:color="auto"/>
              <w:right w:val="single" w:sz="4" w:space="0" w:color="auto"/>
            </w:tcBorders>
          </w:tcPr>
          <w:p w:rsidR="0005657F" w:rsidRDefault="0005657F">
            <w:pPr>
              <w:rPr>
                <w:b/>
                <w:bCs/>
              </w:rPr>
            </w:pPr>
            <w:r>
              <w:rPr>
                <w:b/>
                <w:bCs/>
              </w:rPr>
              <w:t>Operation ID</w:t>
            </w:r>
          </w:p>
        </w:tc>
        <w:tc>
          <w:tcPr>
            <w:tcW w:w="5040" w:type="dxa"/>
            <w:tcBorders>
              <w:top w:val="single" w:sz="4" w:space="0" w:color="auto"/>
              <w:left w:val="single" w:sz="4" w:space="0" w:color="auto"/>
              <w:bottom w:val="single" w:sz="4" w:space="0" w:color="auto"/>
              <w:right w:val="single" w:sz="4" w:space="0" w:color="auto"/>
            </w:tcBorders>
          </w:tcPr>
          <w:p w:rsidR="0005657F" w:rsidRPr="004A5DE6" w:rsidRDefault="0005657F" w:rsidP="00DB1DBF">
            <w:pPr>
              <w:rPr>
                <w:sz w:val="22"/>
                <w:szCs w:val="22"/>
              </w:rPr>
            </w:pPr>
            <w:r w:rsidRPr="004A5DE6">
              <w:rPr>
                <w:sz w:val="22"/>
                <w:szCs w:val="22"/>
              </w:rPr>
              <w:t>P127665</w:t>
            </w:r>
          </w:p>
        </w:tc>
      </w:tr>
      <w:tr w:rsidR="0005657F" w:rsidTr="00A31AFE">
        <w:tc>
          <w:tcPr>
            <w:tcW w:w="3690" w:type="dxa"/>
            <w:tcBorders>
              <w:top w:val="single" w:sz="4" w:space="0" w:color="auto"/>
              <w:left w:val="single" w:sz="4" w:space="0" w:color="auto"/>
              <w:bottom w:val="single" w:sz="4" w:space="0" w:color="auto"/>
              <w:right w:val="single" w:sz="4" w:space="0" w:color="auto"/>
            </w:tcBorders>
          </w:tcPr>
          <w:p w:rsidR="0005657F" w:rsidRDefault="0005657F">
            <w:pPr>
              <w:rPr>
                <w:b/>
                <w:bCs/>
              </w:rPr>
            </w:pPr>
            <w:r>
              <w:rPr>
                <w:b/>
                <w:bCs/>
              </w:rPr>
              <w:t>Lending Instrument</w:t>
            </w:r>
          </w:p>
        </w:tc>
        <w:tc>
          <w:tcPr>
            <w:tcW w:w="5040" w:type="dxa"/>
            <w:tcBorders>
              <w:top w:val="single" w:sz="4" w:space="0" w:color="auto"/>
              <w:left w:val="single" w:sz="4" w:space="0" w:color="auto"/>
              <w:bottom w:val="single" w:sz="4" w:space="0" w:color="auto"/>
              <w:right w:val="single" w:sz="4" w:space="0" w:color="auto"/>
            </w:tcBorders>
          </w:tcPr>
          <w:p w:rsidR="0005657F" w:rsidRPr="004A5DE6" w:rsidRDefault="0005657F" w:rsidP="00DB1DBF">
            <w:pPr>
              <w:rPr>
                <w:sz w:val="22"/>
                <w:szCs w:val="22"/>
              </w:rPr>
            </w:pPr>
            <w:r w:rsidRPr="004A5DE6">
              <w:rPr>
                <w:sz w:val="22"/>
                <w:szCs w:val="22"/>
              </w:rPr>
              <w:t>Development Policy Lending</w:t>
            </w:r>
          </w:p>
        </w:tc>
      </w:tr>
      <w:tr w:rsidR="0005657F" w:rsidTr="00A31AFE">
        <w:tc>
          <w:tcPr>
            <w:tcW w:w="3690" w:type="dxa"/>
            <w:tcBorders>
              <w:top w:val="single" w:sz="4" w:space="0" w:color="auto"/>
              <w:left w:val="single" w:sz="4" w:space="0" w:color="auto"/>
              <w:bottom w:val="single" w:sz="4" w:space="0" w:color="auto"/>
              <w:right w:val="single" w:sz="4" w:space="0" w:color="auto"/>
            </w:tcBorders>
          </w:tcPr>
          <w:p w:rsidR="0005657F" w:rsidRDefault="0005657F">
            <w:pPr>
              <w:rPr>
                <w:b/>
                <w:bCs/>
              </w:rPr>
            </w:pPr>
            <w:r>
              <w:rPr>
                <w:b/>
                <w:bCs/>
              </w:rPr>
              <w:t>Borrower(s)</w:t>
            </w:r>
          </w:p>
        </w:tc>
        <w:tc>
          <w:tcPr>
            <w:tcW w:w="5040" w:type="dxa"/>
            <w:tcBorders>
              <w:top w:val="single" w:sz="4" w:space="0" w:color="auto"/>
              <w:left w:val="single" w:sz="4" w:space="0" w:color="auto"/>
              <w:bottom w:val="single" w:sz="4" w:space="0" w:color="auto"/>
              <w:right w:val="single" w:sz="4" w:space="0" w:color="auto"/>
            </w:tcBorders>
          </w:tcPr>
          <w:p w:rsidR="0005657F" w:rsidRPr="004A5DE6" w:rsidRDefault="0005657F" w:rsidP="00DB1DBF">
            <w:pPr>
              <w:rPr>
                <w:sz w:val="22"/>
                <w:szCs w:val="22"/>
              </w:rPr>
            </w:pPr>
            <w:r w:rsidRPr="004A5DE6">
              <w:rPr>
                <w:sz w:val="22"/>
                <w:szCs w:val="22"/>
              </w:rPr>
              <w:t>The Republic of Croatia</w:t>
            </w:r>
          </w:p>
        </w:tc>
        <w:bookmarkStart w:id="3" w:name="BORROWERNAME"/>
        <w:bookmarkEnd w:id="3"/>
      </w:tr>
      <w:tr w:rsidR="0005657F" w:rsidTr="00A31AFE">
        <w:trPr>
          <w:trHeight w:val="140"/>
        </w:trPr>
        <w:tc>
          <w:tcPr>
            <w:tcW w:w="3690" w:type="dxa"/>
            <w:tcBorders>
              <w:top w:val="single" w:sz="4" w:space="0" w:color="auto"/>
              <w:left w:val="single" w:sz="4" w:space="0" w:color="auto"/>
              <w:bottom w:val="nil"/>
              <w:right w:val="single" w:sz="4" w:space="0" w:color="auto"/>
            </w:tcBorders>
          </w:tcPr>
          <w:p w:rsidR="0005657F" w:rsidRDefault="0005657F">
            <w:pPr>
              <w:rPr>
                <w:b/>
                <w:bCs/>
              </w:rPr>
            </w:pPr>
            <w:r>
              <w:rPr>
                <w:b/>
                <w:bCs/>
              </w:rPr>
              <w:t>Implementing Agency</w:t>
            </w:r>
          </w:p>
        </w:tc>
        <w:tc>
          <w:tcPr>
            <w:tcW w:w="5040" w:type="dxa"/>
            <w:tcBorders>
              <w:top w:val="single" w:sz="4" w:space="0" w:color="auto"/>
              <w:left w:val="single" w:sz="4" w:space="0" w:color="auto"/>
              <w:bottom w:val="nil"/>
              <w:right w:val="single" w:sz="4" w:space="0" w:color="auto"/>
            </w:tcBorders>
          </w:tcPr>
          <w:p w:rsidR="0005657F" w:rsidRPr="004A5DE6" w:rsidRDefault="0005657F" w:rsidP="00DB1DBF">
            <w:pPr>
              <w:rPr>
                <w:sz w:val="22"/>
                <w:szCs w:val="22"/>
              </w:rPr>
            </w:pPr>
            <w:r w:rsidRPr="004A5DE6">
              <w:rPr>
                <w:sz w:val="22"/>
                <w:szCs w:val="22"/>
              </w:rPr>
              <w:t>Ministry of Finance of the Republic of Croatia</w:t>
            </w:r>
          </w:p>
          <w:p w:rsidR="0005657F" w:rsidRPr="004A5DE6" w:rsidRDefault="0005657F" w:rsidP="00DB1DBF">
            <w:pPr>
              <w:rPr>
                <w:sz w:val="22"/>
                <w:szCs w:val="22"/>
              </w:rPr>
            </w:pPr>
            <w:proofErr w:type="spellStart"/>
            <w:r w:rsidRPr="004A5DE6">
              <w:rPr>
                <w:sz w:val="22"/>
                <w:szCs w:val="22"/>
              </w:rPr>
              <w:t>Katanciceva</w:t>
            </w:r>
            <w:proofErr w:type="spellEnd"/>
            <w:r w:rsidRPr="004A5DE6">
              <w:rPr>
                <w:sz w:val="22"/>
                <w:szCs w:val="22"/>
              </w:rPr>
              <w:t xml:space="preserve"> 5, 10000 Zagreb</w:t>
            </w:r>
            <w:r w:rsidR="008C7AE5">
              <w:rPr>
                <w:sz w:val="22"/>
                <w:szCs w:val="22"/>
              </w:rPr>
              <w:t>, Croatia</w:t>
            </w:r>
          </w:p>
        </w:tc>
        <w:bookmarkStart w:id="4" w:name="ImplementingAgency"/>
        <w:bookmarkEnd w:id="4"/>
      </w:tr>
      <w:tr w:rsidR="0005657F" w:rsidTr="00A31AFE">
        <w:tc>
          <w:tcPr>
            <w:tcW w:w="3690" w:type="dxa"/>
            <w:tcBorders>
              <w:top w:val="single" w:sz="4" w:space="0" w:color="auto"/>
              <w:left w:val="single" w:sz="4" w:space="0" w:color="auto"/>
              <w:bottom w:val="single" w:sz="4" w:space="0" w:color="auto"/>
              <w:right w:val="single" w:sz="4" w:space="0" w:color="auto"/>
            </w:tcBorders>
          </w:tcPr>
          <w:p w:rsidR="0005657F" w:rsidRDefault="0005657F">
            <w:pPr>
              <w:rPr>
                <w:b/>
                <w:bCs/>
              </w:rPr>
            </w:pPr>
            <w:r>
              <w:rPr>
                <w:b/>
                <w:bCs/>
              </w:rPr>
              <w:t>Date PID Prepared</w:t>
            </w:r>
          </w:p>
        </w:tc>
        <w:tc>
          <w:tcPr>
            <w:tcW w:w="5040" w:type="dxa"/>
            <w:tcBorders>
              <w:top w:val="single" w:sz="4" w:space="0" w:color="auto"/>
              <w:left w:val="single" w:sz="4" w:space="0" w:color="auto"/>
              <w:bottom w:val="single" w:sz="4" w:space="0" w:color="auto"/>
              <w:right w:val="single" w:sz="4" w:space="0" w:color="auto"/>
            </w:tcBorders>
          </w:tcPr>
          <w:p w:rsidR="0005657F" w:rsidRPr="004A5DE6" w:rsidRDefault="006F4FF9" w:rsidP="006F4FF9">
            <w:pPr>
              <w:rPr>
                <w:sz w:val="22"/>
                <w:szCs w:val="22"/>
              </w:rPr>
            </w:pPr>
            <w:r>
              <w:rPr>
                <w:sz w:val="22"/>
                <w:szCs w:val="22"/>
              </w:rPr>
              <w:t>Febru</w:t>
            </w:r>
            <w:r w:rsidR="008C7AE5">
              <w:rPr>
                <w:sz w:val="22"/>
                <w:szCs w:val="22"/>
              </w:rPr>
              <w:t xml:space="preserve">ary </w:t>
            </w:r>
            <w:r>
              <w:rPr>
                <w:sz w:val="22"/>
                <w:szCs w:val="22"/>
              </w:rPr>
              <w:t>3</w:t>
            </w:r>
            <w:r w:rsidR="008C7AE5">
              <w:rPr>
                <w:sz w:val="22"/>
                <w:szCs w:val="22"/>
              </w:rPr>
              <w:t>, 2014</w:t>
            </w:r>
          </w:p>
        </w:tc>
      </w:tr>
      <w:tr w:rsidR="0005657F" w:rsidTr="00A31AFE">
        <w:tc>
          <w:tcPr>
            <w:tcW w:w="3690" w:type="dxa"/>
            <w:tcBorders>
              <w:top w:val="single" w:sz="4" w:space="0" w:color="auto"/>
              <w:left w:val="single" w:sz="4" w:space="0" w:color="auto"/>
              <w:bottom w:val="single" w:sz="4" w:space="0" w:color="auto"/>
              <w:right w:val="single" w:sz="4" w:space="0" w:color="auto"/>
            </w:tcBorders>
          </w:tcPr>
          <w:p w:rsidR="0005657F" w:rsidRDefault="0005657F">
            <w:pPr>
              <w:rPr>
                <w:b/>
                <w:bCs/>
              </w:rPr>
            </w:pPr>
            <w:r>
              <w:rPr>
                <w:b/>
                <w:bCs/>
              </w:rPr>
              <w:t>Date of Appraisal Authorization</w:t>
            </w:r>
          </w:p>
        </w:tc>
        <w:tc>
          <w:tcPr>
            <w:tcW w:w="5040" w:type="dxa"/>
            <w:tcBorders>
              <w:top w:val="single" w:sz="4" w:space="0" w:color="auto"/>
              <w:left w:val="single" w:sz="4" w:space="0" w:color="auto"/>
              <w:bottom w:val="single" w:sz="4" w:space="0" w:color="auto"/>
              <w:right w:val="single" w:sz="4" w:space="0" w:color="auto"/>
            </w:tcBorders>
          </w:tcPr>
          <w:p w:rsidR="0005657F" w:rsidRPr="004A5DE6" w:rsidRDefault="006F4FF9" w:rsidP="00F658AF">
            <w:pPr>
              <w:rPr>
                <w:sz w:val="22"/>
                <w:szCs w:val="22"/>
              </w:rPr>
            </w:pPr>
            <w:r>
              <w:rPr>
                <w:sz w:val="22"/>
                <w:szCs w:val="22"/>
              </w:rPr>
              <w:t xml:space="preserve">March </w:t>
            </w:r>
            <w:r w:rsidR="009B1F84">
              <w:rPr>
                <w:sz w:val="22"/>
                <w:szCs w:val="22"/>
              </w:rPr>
              <w:t>1</w:t>
            </w:r>
            <w:r w:rsidR="00F658AF">
              <w:rPr>
                <w:sz w:val="22"/>
                <w:szCs w:val="22"/>
              </w:rPr>
              <w:t>9</w:t>
            </w:r>
            <w:r w:rsidR="008C7AE5">
              <w:rPr>
                <w:sz w:val="22"/>
                <w:szCs w:val="22"/>
              </w:rPr>
              <w:t>, 2014</w:t>
            </w:r>
          </w:p>
        </w:tc>
        <w:bookmarkStart w:id="5" w:name="APPRAISALDATE"/>
        <w:bookmarkEnd w:id="5"/>
      </w:tr>
      <w:tr w:rsidR="0005657F" w:rsidTr="00A31AFE">
        <w:tc>
          <w:tcPr>
            <w:tcW w:w="3690" w:type="dxa"/>
            <w:tcBorders>
              <w:top w:val="single" w:sz="4" w:space="0" w:color="auto"/>
              <w:left w:val="single" w:sz="4" w:space="0" w:color="auto"/>
              <w:bottom w:val="single" w:sz="4" w:space="0" w:color="auto"/>
              <w:right w:val="single" w:sz="4" w:space="0" w:color="auto"/>
            </w:tcBorders>
          </w:tcPr>
          <w:p w:rsidR="0005657F" w:rsidRDefault="0005657F">
            <w:pPr>
              <w:rPr>
                <w:b/>
                <w:bCs/>
              </w:rPr>
            </w:pPr>
            <w:r>
              <w:rPr>
                <w:b/>
                <w:bCs/>
              </w:rPr>
              <w:t>Date of Board Approval</w:t>
            </w:r>
          </w:p>
        </w:tc>
        <w:tc>
          <w:tcPr>
            <w:tcW w:w="5040" w:type="dxa"/>
            <w:tcBorders>
              <w:top w:val="single" w:sz="4" w:space="0" w:color="auto"/>
              <w:left w:val="single" w:sz="4" w:space="0" w:color="auto"/>
              <w:bottom w:val="single" w:sz="4" w:space="0" w:color="auto"/>
              <w:right w:val="single" w:sz="4" w:space="0" w:color="auto"/>
            </w:tcBorders>
          </w:tcPr>
          <w:p w:rsidR="0005657F" w:rsidRPr="004A5DE6" w:rsidRDefault="008C7AE5" w:rsidP="006F4FF9">
            <w:pPr>
              <w:rPr>
                <w:sz w:val="22"/>
                <w:szCs w:val="22"/>
              </w:rPr>
            </w:pPr>
            <w:r w:rsidRPr="008C7AE5">
              <w:rPr>
                <w:sz w:val="22"/>
                <w:szCs w:val="22"/>
              </w:rPr>
              <w:t xml:space="preserve">April </w:t>
            </w:r>
            <w:r w:rsidR="006F4FF9">
              <w:rPr>
                <w:sz w:val="22"/>
                <w:szCs w:val="22"/>
              </w:rPr>
              <w:t>29</w:t>
            </w:r>
            <w:r w:rsidRPr="008C7AE5">
              <w:rPr>
                <w:sz w:val="22"/>
                <w:szCs w:val="22"/>
              </w:rPr>
              <w:t>, 2014</w:t>
            </w:r>
          </w:p>
        </w:tc>
      </w:tr>
    </w:tbl>
    <w:p w:rsidR="008627D4" w:rsidRDefault="008627D4"/>
    <w:p w:rsidR="00F35238" w:rsidRPr="00F91A3C" w:rsidRDefault="007B57AD" w:rsidP="00CA3845">
      <w:pPr>
        <w:numPr>
          <w:ilvl w:val="0"/>
          <w:numId w:val="10"/>
        </w:numPr>
        <w:rPr>
          <w:b/>
          <w:sz w:val="22"/>
          <w:szCs w:val="22"/>
        </w:rPr>
      </w:pPr>
      <w:bookmarkStart w:id="6" w:name="CountrySectorBackground"/>
      <w:r>
        <w:tab/>
      </w:r>
      <w:r w:rsidR="00F35238" w:rsidRPr="00F91A3C">
        <w:rPr>
          <w:b/>
          <w:sz w:val="22"/>
          <w:szCs w:val="22"/>
        </w:rPr>
        <w:t>Key development issues and rationale for Bank involvement</w:t>
      </w:r>
      <w:bookmarkStart w:id="7" w:name="KeyDevelopmentIssues"/>
    </w:p>
    <w:p w:rsidR="006F4FF9" w:rsidRPr="0076565F" w:rsidRDefault="006F4FF9" w:rsidP="0005657F">
      <w:pPr>
        <w:spacing w:after="120"/>
        <w:jc w:val="both"/>
        <w:rPr>
          <w:sz w:val="22"/>
          <w:szCs w:val="22"/>
        </w:rPr>
      </w:pPr>
      <w:r w:rsidRPr="0076565F">
        <w:rPr>
          <w:sz w:val="22"/>
          <w:szCs w:val="22"/>
        </w:rPr>
        <w:t>The impact of the global financial crisis and long-delayed structural reforms has resulted in five years of recession in Croatia, wherein GDP has contracted by 12 percent. Unemployment has nearly doubled, and public debt has increased to 6</w:t>
      </w:r>
      <w:r w:rsidR="00621687">
        <w:rPr>
          <w:sz w:val="22"/>
          <w:szCs w:val="22"/>
        </w:rPr>
        <w:t>4</w:t>
      </w:r>
      <w:r w:rsidRPr="0076565F">
        <w:rPr>
          <w:sz w:val="22"/>
          <w:szCs w:val="22"/>
        </w:rPr>
        <w:t xml:space="preserve"> percent of GDP. Further, consumption poverty has increased by almost five percentage points to 18 percent and the profile of the poor now includes more economically active, better educated and younger people than before the crisis. Government policy of protecting social benefits and old-age pensions has only partially mitigated the impact on the bottom forty percent. With high external debt and significant balance sheet exposure to exchange rate movements, Croatia’s sovereign credit rating has been downgraded to non-investment grade</w:t>
      </w:r>
      <w:r w:rsidR="008605CE">
        <w:rPr>
          <w:sz w:val="22"/>
          <w:szCs w:val="22"/>
        </w:rPr>
        <w:t xml:space="preserve"> in 2013</w:t>
      </w:r>
      <w:r w:rsidRPr="0076565F">
        <w:rPr>
          <w:sz w:val="22"/>
          <w:szCs w:val="22"/>
        </w:rPr>
        <w:t>.</w:t>
      </w:r>
      <w:r w:rsidR="0076565F" w:rsidRPr="0076565F">
        <w:rPr>
          <w:sz w:val="22"/>
          <w:szCs w:val="22"/>
        </w:rPr>
        <w:t xml:space="preserve"> </w:t>
      </w:r>
    </w:p>
    <w:p w:rsidR="0076565F" w:rsidRPr="0076565F" w:rsidRDefault="0076565F" w:rsidP="0005657F">
      <w:pPr>
        <w:spacing w:after="120"/>
        <w:jc w:val="both"/>
        <w:rPr>
          <w:sz w:val="22"/>
          <w:szCs w:val="22"/>
        </w:rPr>
      </w:pPr>
      <w:r>
        <w:rPr>
          <w:sz w:val="22"/>
          <w:szCs w:val="22"/>
        </w:rPr>
        <w:t xml:space="preserve">In 2013, the </w:t>
      </w:r>
      <w:r w:rsidRPr="0076565F">
        <w:rPr>
          <w:sz w:val="22"/>
          <w:szCs w:val="22"/>
        </w:rPr>
        <w:t>Government</w:t>
      </w:r>
      <w:r>
        <w:rPr>
          <w:sz w:val="22"/>
          <w:szCs w:val="22"/>
        </w:rPr>
        <w:t xml:space="preserve"> submitted to the EU the Economic Program that </w:t>
      </w:r>
      <w:r w:rsidRPr="0076565F">
        <w:rPr>
          <w:sz w:val="22"/>
          <w:szCs w:val="22"/>
        </w:rPr>
        <w:t>elaborate</w:t>
      </w:r>
      <w:r>
        <w:rPr>
          <w:sz w:val="22"/>
          <w:szCs w:val="22"/>
        </w:rPr>
        <w:t>s</w:t>
      </w:r>
      <w:r w:rsidRPr="0076565F">
        <w:rPr>
          <w:sz w:val="22"/>
          <w:szCs w:val="22"/>
        </w:rPr>
        <w:t xml:space="preserve"> a medium-term plan to address long-term structural issues such as pension, social welfare and health sector reform, public administration and local government restructuring, increasing labor market flexibility and fostering entrepreneurship and private investment. The economic situation has overshadowed Croatia’s accession to the European Union (EU), on July 1, 2013. </w:t>
      </w:r>
      <w:r w:rsidR="00E973C4">
        <w:rPr>
          <w:sz w:val="22"/>
          <w:szCs w:val="22"/>
        </w:rPr>
        <w:t>Further</w:t>
      </w:r>
      <w:r w:rsidR="00E973C4" w:rsidRPr="0076565F">
        <w:rPr>
          <w:sz w:val="22"/>
          <w:szCs w:val="22"/>
        </w:rPr>
        <w:t xml:space="preserve"> </w:t>
      </w:r>
      <w:r w:rsidRPr="0076565F">
        <w:rPr>
          <w:sz w:val="22"/>
          <w:szCs w:val="22"/>
        </w:rPr>
        <w:t>fiscal consolidation is required under the EU’s Excessive Deficit Procedure (EDP), launched in January 2014, to help restore macro sustainability.</w:t>
      </w:r>
    </w:p>
    <w:p w:rsidR="00F35238" w:rsidRPr="00F91A3C" w:rsidRDefault="0005657F" w:rsidP="0005657F">
      <w:pPr>
        <w:spacing w:after="120"/>
        <w:jc w:val="both"/>
        <w:rPr>
          <w:sz w:val="22"/>
          <w:szCs w:val="22"/>
        </w:rPr>
      </w:pPr>
      <w:r w:rsidRPr="0005657F">
        <w:rPr>
          <w:sz w:val="22"/>
          <w:szCs w:val="22"/>
        </w:rPr>
        <w:t>The Bank Group’s Country Partnership Strategy for FY</w:t>
      </w:r>
      <w:r w:rsidR="009A6580">
        <w:rPr>
          <w:sz w:val="22"/>
          <w:szCs w:val="22"/>
        </w:rPr>
        <w:t>14</w:t>
      </w:r>
      <w:r w:rsidRPr="0005657F">
        <w:rPr>
          <w:sz w:val="22"/>
          <w:szCs w:val="22"/>
        </w:rPr>
        <w:t>-FY1</w:t>
      </w:r>
      <w:r w:rsidR="009A6580">
        <w:rPr>
          <w:sz w:val="22"/>
          <w:szCs w:val="22"/>
        </w:rPr>
        <w:t>7</w:t>
      </w:r>
      <w:r w:rsidRPr="0005657F">
        <w:rPr>
          <w:sz w:val="22"/>
          <w:szCs w:val="22"/>
        </w:rPr>
        <w:t xml:space="preserve"> was </w:t>
      </w:r>
      <w:r w:rsidR="009A6580">
        <w:rPr>
          <w:sz w:val="22"/>
          <w:szCs w:val="22"/>
        </w:rPr>
        <w:t>discussed by t</w:t>
      </w:r>
      <w:r w:rsidRPr="0005657F">
        <w:rPr>
          <w:sz w:val="22"/>
          <w:szCs w:val="22"/>
        </w:rPr>
        <w:t xml:space="preserve">he Board in </w:t>
      </w:r>
      <w:r w:rsidR="009A6580">
        <w:rPr>
          <w:sz w:val="22"/>
          <w:szCs w:val="22"/>
        </w:rPr>
        <w:t xml:space="preserve">June </w:t>
      </w:r>
      <w:r w:rsidRPr="0005657F">
        <w:rPr>
          <w:sz w:val="22"/>
          <w:szCs w:val="22"/>
        </w:rPr>
        <w:t>201</w:t>
      </w:r>
      <w:r w:rsidR="009A6580">
        <w:rPr>
          <w:sz w:val="22"/>
          <w:szCs w:val="22"/>
        </w:rPr>
        <w:t>3.</w:t>
      </w:r>
      <w:r w:rsidRPr="0005657F">
        <w:rPr>
          <w:sz w:val="22"/>
          <w:szCs w:val="22"/>
        </w:rPr>
        <w:t xml:space="preserve"> </w:t>
      </w:r>
      <w:r w:rsidR="009A6580">
        <w:rPr>
          <w:sz w:val="22"/>
          <w:szCs w:val="22"/>
        </w:rPr>
        <w:t>It highlights</w:t>
      </w:r>
      <w:r w:rsidR="009A6580" w:rsidRPr="009A6580">
        <w:rPr>
          <w:sz w:val="22"/>
          <w:szCs w:val="22"/>
        </w:rPr>
        <w:t xml:space="preserve"> fiscal consolidation </w:t>
      </w:r>
      <w:r w:rsidR="009A6580">
        <w:rPr>
          <w:sz w:val="22"/>
          <w:szCs w:val="22"/>
        </w:rPr>
        <w:t>as</w:t>
      </w:r>
      <w:r w:rsidR="009A6580" w:rsidRPr="009A6580">
        <w:rPr>
          <w:sz w:val="22"/>
          <w:szCs w:val="22"/>
        </w:rPr>
        <w:t xml:space="preserve"> </w:t>
      </w:r>
      <w:r w:rsidR="00E973C4">
        <w:rPr>
          <w:sz w:val="22"/>
          <w:szCs w:val="22"/>
        </w:rPr>
        <w:t xml:space="preserve">one of </w:t>
      </w:r>
      <w:r w:rsidR="009A6580" w:rsidRPr="009A6580">
        <w:rPr>
          <w:sz w:val="22"/>
          <w:szCs w:val="22"/>
        </w:rPr>
        <w:t xml:space="preserve">Croatia’s main economic policy challenges, and states that this process has to be supported by structural reforms to help secure sustainability in social programs and increase competitiveness. The outcomes expected under the </w:t>
      </w:r>
      <w:r w:rsidR="00730F4A">
        <w:rPr>
          <w:sz w:val="22"/>
          <w:szCs w:val="22"/>
        </w:rPr>
        <w:t>ER</w:t>
      </w:r>
      <w:r w:rsidR="009A6580" w:rsidRPr="009A6580">
        <w:rPr>
          <w:sz w:val="22"/>
          <w:szCs w:val="22"/>
        </w:rPr>
        <w:t>DPL</w:t>
      </w:r>
      <w:r w:rsidR="00730F4A">
        <w:rPr>
          <w:sz w:val="22"/>
          <w:szCs w:val="22"/>
        </w:rPr>
        <w:t>2</w:t>
      </w:r>
      <w:r w:rsidR="009A6580" w:rsidRPr="009A6580">
        <w:rPr>
          <w:sz w:val="22"/>
          <w:szCs w:val="22"/>
        </w:rPr>
        <w:t xml:space="preserve"> are aligned with those envisaged by the CPS</w:t>
      </w:r>
      <w:r w:rsidR="00F35238" w:rsidRPr="00F91A3C">
        <w:rPr>
          <w:sz w:val="22"/>
          <w:szCs w:val="22"/>
        </w:rPr>
        <w:t>.</w:t>
      </w:r>
    </w:p>
    <w:bookmarkEnd w:id="7"/>
    <w:p w:rsidR="00F35238" w:rsidRPr="00F91A3C" w:rsidRDefault="00F35238" w:rsidP="00CA3845">
      <w:pPr>
        <w:numPr>
          <w:ilvl w:val="0"/>
          <w:numId w:val="10"/>
        </w:numPr>
        <w:rPr>
          <w:b/>
          <w:sz w:val="22"/>
          <w:szCs w:val="22"/>
        </w:rPr>
      </w:pPr>
      <w:r>
        <w:rPr>
          <w:b/>
          <w:sz w:val="22"/>
          <w:szCs w:val="22"/>
        </w:rPr>
        <w:t>Proposed objective</w:t>
      </w:r>
      <w:r w:rsidRPr="00F91A3C">
        <w:rPr>
          <w:b/>
          <w:sz w:val="22"/>
          <w:szCs w:val="22"/>
        </w:rPr>
        <w:t>s</w:t>
      </w:r>
      <w:bookmarkStart w:id="8" w:name="ProjectDevelopmentObjectives"/>
    </w:p>
    <w:p w:rsidR="00F35238" w:rsidRPr="00F91A3C" w:rsidRDefault="0005657F" w:rsidP="00F35238">
      <w:pPr>
        <w:jc w:val="both"/>
        <w:rPr>
          <w:sz w:val="22"/>
          <w:szCs w:val="22"/>
        </w:rPr>
      </w:pPr>
      <w:r w:rsidRPr="0005657F">
        <w:rPr>
          <w:sz w:val="22"/>
          <w:szCs w:val="22"/>
        </w:rPr>
        <w:t xml:space="preserve">The </w:t>
      </w:r>
      <w:r w:rsidR="009B1F84">
        <w:rPr>
          <w:sz w:val="22"/>
          <w:szCs w:val="22"/>
        </w:rPr>
        <w:t>ERDPL</w:t>
      </w:r>
      <w:r w:rsidR="00F658AF">
        <w:rPr>
          <w:sz w:val="22"/>
          <w:szCs w:val="22"/>
        </w:rPr>
        <w:t>2</w:t>
      </w:r>
      <w:r w:rsidRPr="0005657F">
        <w:rPr>
          <w:sz w:val="22"/>
          <w:szCs w:val="22"/>
        </w:rPr>
        <w:t xml:space="preserve"> supports the Government's efforts to accelerate sustainable economic recovery through: (</w:t>
      </w:r>
      <w:proofErr w:type="spellStart"/>
      <w:r w:rsidRPr="0005657F">
        <w:rPr>
          <w:sz w:val="22"/>
          <w:szCs w:val="22"/>
        </w:rPr>
        <w:t>i</w:t>
      </w:r>
      <w:proofErr w:type="spellEnd"/>
      <w:r w:rsidRPr="0005657F">
        <w:rPr>
          <w:sz w:val="22"/>
          <w:szCs w:val="22"/>
        </w:rPr>
        <w:t xml:space="preserve">) enhanced fiscal sustainability through expenditure-based consolidation; and (ii) </w:t>
      </w:r>
      <w:r w:rsidR="00042EC2">
        <w:rPr>
          <w:sz w:val="22"/>
          <w:szCs w:val="22"/>
        </w:rPr>
        <w:t>strengthened investment climate</w:t>
      </w:r>
      <w:r w:rsidRPr="0005657F">
        <w:rPr>
          <w:sz w:val="22"/>
          <w:szCs w:val="22"/>
        </w:rPr>
        <w:t xml:space="preserve">. The ERDPL2 is the single-tranche </w:t>
      </w:r>
      <w:r w:rsidR="00730F4A">
        <w:rPr>
          <w:sz w:val="22"/>
          <w:szCs w:val="22"/>
        </w:rPr>
        <w:t xml:space="preserve">stand-alone </w:t>
      </w:r>
      <w:r w:rsidRPr="0005657F">
        <w:rPr>
          <w:sz w:val="22"/>
          <w:szCs w:val="22"/>
        </w:rPr>
        <w:t>loan</w:t>
      </w:r>
      <w:r w:rsidR="00F35238" w:rsidRPr="00F91A3C">
        <w:rPr>
          <w:sz w:val="22"/>
          <w:szCs w:val="22"/>
        </w:rPr>
        <w:t>.</w:t>
      </w:r>
    </w:p>
    <w:p w:rsidR="00F35238" w:rsidRPr="00F91A3C" w:rsidRDefault="00F35238" w:rsidP="00F35238">
      <w:pPr>
        <w:rPr>
          <w:sz w:val="22"/>
          <w:szCs w:val="22"/>
        </w:rPr>
      </w:pPr>
    </w:p>
    <w:bookmarkEnd w:id="8"/>
    <w:p w:rsidR="00F35238" w:rsidRPr="00F91A3C" w:rsidRDefault="00F35238" w:rsidP="00CA3845">
      <w:pPr>
        <w:numPr>
          <w:ilvl w:val="0"/>
          <w:numId w:val="10"/>
        </w:numPr>
        <w:rPr>
          <w:b/>
          <w:sz w:val="22"/>
          <w:szCs w:val="22"/>
        </w:rPr>
      </w:pPr>
      <w:r w:rsidRPr="00F91A3C">
        <w:rPr>
          <w:b/>
          <w:sz w:val="22"/>
          <w:szCs w:val="22"/>
        </w:rPr>
        <w:t>Preliminary description</w:t>
      </w:r>
      <w:bookmarkStart w:id="9" w:name="ProjectDescription"/>
    </w:p>
    <w:p w:rsidR="0005657F" w:rsidRPr="0005657F" w:rsidRDefault="0005657F" w:rsidP="0005657F">
      <w:pPr>
        <w:spacing w:after="120"/>
        <w:jc w:val="both"/>
        <w:rPr>
          <w:sz w:val="22"/>
          <w:szCs w:val="22"/>
        </w:rPr>
      </w:pPr>
      <w:r w:rsidRPr="0005657F">
        <w:rPr>
          <w:sz w:val="22"/>
          <w:szCs w:val="22"/>
        </w:rPr>
        <w:t xml:space="preserve">The Croatian Government is aspiring to join the European Union as a stable market economy, whereby improved convergence prospects call for </w:t>
      </w:r>
      <w:r w:rsidR="0076565F">
        <w:rPr>
          <w:sz w:val="22"/>
          <w:szCs w:val="22"/>
        </w:rPr>
        <w:t>restoring</w:t>
      </w:r>
      <w:r w:rsidRPr="0005657F">
        <w:rPr>
          <w:sz w:val="22"/>
          <w:szCs w:val="22"/>
        </w:rPr>
        <w:t xml:space="preserve"> macroeconomic stability, reducing external vulnerability and undertaking intensive structural reforms across social and public sectors. The ERDPL2 </w:t>
      </w:r>
      <w:r w:rsidRPr="0005657F">
        <w:rPr>
          <w:sz w:val="22"/>
          <w:szCs w:val="22"/>
        </w:rPr>
        <w:lastRenderedPageBreak/>
        <w:t>supports policy actions from the Government’s</w:t>
      </w:r>
      <w:r w:rsidR="00BF1A50">
        <w:rPr>
          <w:sz w:val="22"/>
          <w:szCs w:val="22"/>
        </w:rPr>
        <w:t xml:space="preserve"> 2013 </w:t>
      </w:r>
      <w:r w:rsidR="009A6580">
        <w:rPr>
          <w:sz w:val="22"/>
          <w:szCs w:val="22"/>
        </w:rPr>
        <w:t>Economic Program</w:t>
      </w:r>
      <w:r w:rsidR="00BF1A50">
        <w:rPr>
          <w:sz w:val="22"/>
          <w:szCs w:val="22"/>
        </w:rPr>
        <w:t>,</w:t>
      </w:r>
      <w:r w:rsidR="009A6580">
        <w:rPr>
          <w:sz w:val="22"/>
          <w:szCs w:val="22"/>
        </w:rPr>
        <w:t xml:space="preserve"> </w:t>
      </w:r>
      <w:r w:rsidRPr="0005657F">
        <w:rPr>
          <w:sz w:val="22"/>
          <w:szCs w:val="22"/>
        </w:rPr>
        <w:t xml:space="preserve">which focuses largely on medium- to longer-term measures that aim to: </w:t>
      </w:r>
    </w:p>
    <w:p w:rsidR="0005657F" w:rsidRPr="0005657F" w:rsidRDefault="0005657F" w:rsidP="0005657F">
      <w:pPr>
        <w:spacing w:after="120"/>
        <w:ind w:left="360"/>
        <w:jc w:val="both"/>
        <w:rPr>
          <w:sz w:val="22"/>
          <w:szCs w:val="22"/>
        </w:rPr>
      </w:pPr>
      <w:r w:rsidRPr="0005657F">
        <w:rPr>
          <w:sz w:val="22"/>
          <w:szCs w:val="22"/>
        </w:rPr>
        <w:t>(</w:t>
      </w:r>
      <w:proofErr w:type="spellStart"/>
      <w:r w:rsidRPr="0005657F">
        <w:rPr>
          <w:sz w:val="22"/>
          <w:szCs w:val="22"/>
        </w:rPr>
        <w:t>i</w:t>
      </w:r>
      <w:proofErr w:type="spellEnd"/>
      <w:r w:rsidRPr="0005657F">
        <w:rPr>
          <w:sz w:val="22"/>
          <w:szCs w:val="22"/>
        </w:rPr>
        <w:t>)</w:t>
      </w:r>
      <w:r w:rsidRPr="0005657F">
        <w:rPr>
          <w:sz w:val="22"/>
          <w:szCs w:val="22"/>
        </w:rPr>
        <w:tab/>
      </w:r>
      <w:r>
        <w:rPr>
          <w:sz w:val="22"/>
          <w:szCs w:val="22"/>
        </w:rPr>
        <w:t>E</w:t>
      </w:r>
      <w:r w:rsidRPr="0005657F">
        <w:rPr>
          <w:sz w:val="22"/>
          <w:szCs w:val="22"/>
        </w:rPr>
        <w:t>nhance fiscal sustainability through expenditure-based consolidation in public administration</w:t>
      </w:r>
      <w:r w:rsidR="009A6580">
        <w:rPr>
          <w:sz w:val="22"/>
          <w:szCs w:val="22"/>
        </w:rPr>
        <w:t xml:space="preserve"> and</w:t>
      </w:r>
      <w:r w:rsidRPr="0005657F">
        <w:rPr>
          <w:sz w:val="22"/>
          <w:szCs w:val="22"/>
        </w:rPr>
        <w:t xml:space="preserve"> social sectors</w:t>
      </w:r>
      <w:r w:rsidR="009A6580">
        <w:rPr>
          <w:sz w:val="22"/>
          <w:szCs w:val="22"/>
        </w:rPr>
        <w:t xml:space="preserve">, as well as through </w:t>
      </w:r>
      <w:r w:rsidR="00BF1A50">
        <w:rPr>
          <w:sz w:val="22"/>
          <w:szCs w:val="22"/>
        </w:rPr>
        <w:t xml:space="preserve">strengthening the </w:t>
      </w:r>
      <w:r w:rsidR="009A6580">
        <w:rPr>
          <w:sz w:val="22"/>
          <w:szCs w:val="22"/>
        </w:rPr>
        <w:t>fiscal responsibility framework</w:t>
      </w:r>
      <w:r w:rsidRPr="0005657F">
        <w:rPr>
          <w:sz w:val="22"/>
          <w:szCs w:val="22"/>
        </w:rPr>
        <w:t xml:space="preserve">; and </w:t>
      </w:r>
    </w:p>
    <w:p w:rsidR="00F35238" w:rsidRPr="00F91A3C" w:rsidRDefault="0005657F" w:rsidP="0005657F">
      <w:pPr>
        <w:spacing w:after="120"/>
        <w:ind w:left="360"/>
        <w:jc w:val="both"/>
        <w:rPr>
          <w:sz w:val="22"/>
          <w:szCs w:val="22"/>
        </w:rPr>
      </w:pPr>
      <w:r>
        <w:rPr>
          <w:sz w:val="22"/>
          <w:szCs w:val="22"/>
        </w:rPr>
        <w:t>(ii)</w:t>
      </w:r>
      <w:r>
        <w:rPr>
          <w:sz w:val="22"/>
          <w:szCs w:val="22"/>
        </w:rPr>
        <w:tab/>
      </w:r>
      <w:r w:rsidR="00042EC2">
        <w:rPr>
          <w:sz w:val="22"/>
          <w:szCs w:val="22"/>
        </w:rPr>
        <w:t>Strengthen investment climate</w:t>
      </w:r>
      <w:r w:rsidRPr="0005657F">
        <w:rPr>
          <w:sz w:val="22"/>
          <w:szCs w:val="22"/>
        </w:rPr>
        <w:t xml:space="preserve"> through labor market, privatization and </w:t>
      </w:r>
      <w:r w:rsidR="00042EC2">
        <w:rPr>
          <w:sz w:val="22"/>
          <w:szCs w:val="22"/>
        </w:rPr>
        <w:t>business environment</w:t>
      </w:r>
      <w:r w:rsidRPr="0005657F">
        <w:rPr>
          <w:sz w:val="22"/>
          <w:szCs w:val="22"/>
        </w:rPr>
        <w:t xml:space="preserve"> reforms.</w:t>
      </w:r>
      <w:r w:rsidR="00F35238" w:rsidRPr="00F91A3C">
        <w:rPr>
          <w:sz w:val="22"/>
          <w:szCs w:val="22"/>
        </w:rPr>
        <w:t xml:space="preserve"> </w:t>
      </w:r>
    </w:p>
    <w:bookmarkEnd w:id="9"/>
    <w:p w:rsidR="00F35238" w:rsidRPr="00F91A3C" w:rsidRDefault="001378FC" w:rsidP="00F35238">
      <w:pPr>
        <w:numPr>
          <w:ilvl w:val="0"/>
          <w:numId w:val="10"/>
        </w:numPr>
        <w:rPr>
          <w:b/>
          <w:sz w:val="22"/>
          <w:szCs w:val="22"/>
        </w:rPr>
      </w:pPr>
      <w:r>
        <w:rPr>
          <w:b/>
          <w:sz w:val="22"/>
          <w:szCs w:val="22"/>
        </w:rPr>
        <w:t xml:space="preserve">Poverty and Social Impacts and </w:t>
      </w:r>
      <w:r w:rsidR="00F35238" w:rsidRPr="00F91A3C">
        <w:rPr>
          <w:b/>
          <w:sz w:val="22"/>
          <w:szCs w:val="22"/>
        </w:rPr>
        <w:t>Environment Aspects</w:t>
      </w:r>
    </w:p>
    <w:p w:rsidR="0005657F" w:rsidRPr="0005657F" w:rsidRDefault="00042EC2" w:rsidP="00A31AFE">
      <w:pPr>
        <w:spacing w:after="120"/>
        <w:jc w:val="both"/>
        <w:rPr>
          <w:sz w:val="22"/>
          <w:szCs w:val="22"/>
        </w:rPr>
      </w:pPr>
      <w:r w:rsidRPr="00042EC2">
        <w:rPr>
          <w:sz w:val="22"/>
          <w:szCs w:val="22"/>
        </w:rPr>
        <w:t>5.</w:t>
      </w:r>
      <w:r w:rsidRPr="00042EC2">
        <w:rPr>
          <w:sz w:val="22"/>
          <w:szCs w:val="22"/>
        </w:rPr>
        <w:tab/>
        <w:t>The impact of measures supported by the ERDPL2 on the poor and the bottom 40 percent is neutral or positive</w:t>
      </w:r>
      <w:r w:rsidR="004F55CE">
        <w:rPr>
          <w:sz w:val="22"/>
          <w:szCs w:val="22"/>
        </w:rPr>
        <w:t xml:space="preserve">, </w:t>
      </w:r>
      <w:r w:rsidR="004F55CE" w:rsidRPr="004F55CE">
        <w:rPr>
          <w:sz w:val="22"/>
          <w:szCs w:val="22"/>
        </w:rPr>
        <w:t>although the ongoing recession and fiscal consolidation continue to affect these groups</w:t>
      </w:r>
      <w:r w:rsidRPr="00042EC2">
        <w:rPr>
          <w:sz w:val="22"/>
          <w:szCs w:val="22"/>
        </w:rPr>
        <w:t xml:space="preserve">. They are mostly addressing existing overly generous privileges or </w:t>
      </w:r>
      <w:proofErr w:type="spellStart"/>
      <w:r w:rsidRPr="00042EC2">
        <w:rPr>
          <w:sz w:val="22"/>
          <w:szCs w:val="22"/>
        </w:rPr>
        <w:t>mis</w:t>
      </w:r>
      <w:proofErr w:type="spellEnd"/>
      <w:r w:rsidRPr="00042EC2">
        <w:rPr>
          <w:sz w:val="22"/>
          <w:szCs w:val="22"/>
        </w:rPr>
        <w:t xml:space="preserve">-targeting of benefits, and thus their adverse impacts are confined to upper income quintiles. For example, through social welfare and pension reforms, the ERDPL2 supports the improved targeting and coverage of social benefits, reduced privileged pensions as well as strengthened pension replacement rates due to longer labor market participation. </w:t>
      </w:r>
      <w:r w:rsidR="00357A7F" w:rsidRPr="0005657F">
        <w:rPr>
          <w:sz w:val="22"/>
          <w:szCs w:val="22"/>
        </w:rPr>
        <w:t>Both pension and the social welfare reform</w:t>
      </w:r>
      <w:r w:rsidR="00357A7F">
        <w:rPr>
          <w:sz w:val="22"/>
          <w:szCs w:val="22"/>
        </w:rPr>
        <w:t>s</w:t>
      </w:r>
      <w:r w:rsidR="00357A7F" w:rsidRPr="0005657F">
        <w:rPr>
          <w:sz w:val="22"/>
          <w:szCs w:val="22"/>
        </w:rPr>
        <w:t xml:space="preserve"> aim to improve the prospects for </w:t>
      </w:r>
      <w:r w:rsidR="00357A7F">
        <w:rPr>
          <w:sz w:val="22"/>
          <w:szCs w:val="22"/>
        </w:rPr>
        <w:t xml:space="preserve">the </w:t>
      </w:r>
      <w:r w:rsidR="00357A7F" w:rsidRPr="0005657F">
        <w:rPr>
          <w:sz w:val="22"/>
          <w:szCs w:val="22"/>
        </w:rPr>
        <w:t xml:space="preserve">eradication of extreme poverty by protecting the relative value of the poverty benefit and by incentivizing people </w:t>
      </w:r>
      <w:r w:rsidR="00357A7F">
        <w:rPr>
          <w:sz w:val="22"/>
          <w:szCs w:val="22"/>
        </w:rPr>
        <w:t xml:space="preserve">(in particular women) </w:t>
      </w:r>
      <w:r w:rsidR="00357A7F" w:rsidRPr="0005657F">
        <w:rPr>
          <w:sz w:val="22"/>
          <w:szCs w:val="22"/>
        </w:rPr>
        <w:t>to stay longer at the labor market and thus generate higher benefits at the time of retirement.</w:t>
      </w:r>
      <w:r w:rsidR="00357A7F">
        <w:rPr>
          <w:sz w:val="22"/>
          <w:szCs w:val="22"/>
        </w:rPr>
        <w:t xml:space="preserve"> </w:t>
      </w:r>
      <w:r w:rsidRPr="00042EC2">
        <w:rPr>
          <w:sz w:val="22"/>
          <w:szCs w:val="22"/>
        </w:rPr>
        <w:t>Increased hiring flexibility and improved business climate support investment and job creation for shared prosperity</w:t>
      </w:r>
      <w:r>
        <w:rPr>
          <w:sz w:val="22"/>
          <w:szCs w:val="22"/>
        </w:rPr>
        <w:t xml:space="preserve">. </w:t>
      </w:r>
    </w:p>
    <w:p w:rsidR="00F35238" w:rsidRPr="00F91A3C" w:rsidRDefault="0076565F" w:rsidP="0076565F">
      <w:pPr>
        <w:spacing w:after="120"/>
        <w:jc w:val="both"/>
        <w:rPr>
          <w:sz w:val="22"/>
          <w:szCs w:val="22"/>
        </w:rPr>
      </w:pPr>
      <w:r w:rsidRPr="0076565F">
        <w:rPr>
          <w:sz w:val="22"/>
          <w:szCs w:val="22"/>
        </w:rPr>
        <w:t>The proposed support to the budget and policy reforms has been screened against OP 8.60 and shows that the proposed policy reforms are not likely to cause significant effects on the country’s environment, forests, and other natural resources.</w:t>
      </w:r>
    </w:p>
    <w:p w:rsidR="00F35238" w:rsidRPr="00F91A3C" w:rsidRDefault="00F35238" w:rsidP="00F35238">
      <w:pPr>
        <w:numPr>
          <w:ilvl w:val="0"/>
          <w:numId w:val="10"/>
        </w:numPr>
        <w:rPr>
          <w:b/>
          <w:sz w:val="22"/>
          <w:szCs w:val="22"/>
        </w:rPr>
      </w:pPr>
      <w:r w:rsidRPr="00F91A3C">
        <w:rPr>
          <w:b/>
          <w:sz w:val="22"/>
          <w:szCs w:val="22"/>
        </w:rPr>
        <w:t>Tentative financing</w:t>
      </w:r>
    </w:p>
    <w:tbl>
      <w:tblPr>
        <w:tblW w:w="0" w:type="auto"/>
        <w:tblLook w:val="0000" w:firstRow="0" w:lastRow="0" w:firstColumn="0" w:lastColumn="0" w:noHBand="0" w:noVBand="0"/>
      </w:tblPr>
      <w:tblGrid>
        <w:gridCol w:w="7488"/>
        <w:gridCol w:w="1368"/>
      </w:tblGrid>
      <w:tr w:rsidR="00F35238" w:rsidRPr="00F91A3C" w:rsidTr="009E3393">
        <w:tc>
          <w:tcPr>
            <w:tcW w:w="7488" w:type="dxa"/>
          </w:tcPr>
          <w:p w:rsidR="00F35238" w:rsidRPr="00F91A3C" w:rsidRDefault="00F35238" w:rsidP="009E3393">
            <w:pPr>
              <w:rPr>
                <w:sz w:val="22"/>
                <w:szCs w:val="22"/>
              </w:rPr>
            </w:pPr>
            <w:r w:rsidRPr="00F91A3C">
              <w:rPr>
                <w:sz w:val="22"/>
                <w:szCs w:val="22"/>
              </w:rPr>
              <w:t>Source:</w:t>
            </w:r>
            <w:bookmarkStart w:id="10" w:name="FINANCINGTAB_PID"/>
            <w:bookmarkEnd w:id="10"/>
          </w:p>
        </w:tc>
        <w:tc>
          <w:tcPr>
            <w:tcW w:w="1368" w:type="dxa"/>
          </w:tcPr>
          <w:p w:rsidR="00F35238" w:rsidRPr="00F91A3C" w:rsidRDefault="00F35238" w:rsidP="009E3393">
            <w:pPr>
              <w:rPr>
                <w:sz w:val="22"/>
                <w:szCs w:val="22"/>
              </w:rPr>
            </w:pPr>
            <w:r w:rsidRPr="00F91A3C">
              <w:rPr>
                <w:sz w:val="22"/>
                <w:szCs w:val="22"/>
              </w:rPr>
              <w:t>(</w:t>
            </w:r>
            <w:r w:rsidR="0005657F" w:rsidRPr="004A5DE6">
              <w:rPr>
                <w:sz w:val="22"/>
                <w:szCs w:val="22"/>
              </w:rPr>
              <w:t>€</w:t>
            </w:r>
            <w:r w:rsidRPr="00F91A3C">
              <w:rPr>
                <w:sz w:val="22"/>
                <w:szCs w:val="22"/>
              </w:rPr>
              <w:t>m.)</w:t>
            </w:r>
          </w:p>
        </w:tc>
      </w:tr>
      <w:tr w:rsidR="00F35238" w:rsidRPr="00F91A3C" w:rsidTr="009E3393">
        <w:tc>
          <w:tcPr>
            <w:tcW w:w="7488" w:type="dxa"/>
          </w:tcPr>
          <w:p w:rsidR="00F35238" w:rsidRPr="00F91A3C" w:rsidRDefault="00F35238" w:rsidP="009E3393">
            <w:pPr>
              <w:rPr>
                <w:sz w:val="22"/>
                <w:szCs w:val="22"/>
              </w:rPr>
            </w:pPr>
            <w:r w:rsidRPr="00F91A3C">
              <w:rPr>
                <w:sz w:val="22"/>
                <w:szCs w:val="22"/>
              </w:rPr>
              <w:t>Borrower</w:t>
            </w:r>
          </w:p>
        </w:tc>
        <w:tc>
          <w:tcPr>
            <w:tcW w:w="1368" w:type="dxa"/>
          </w:tcPr>
          <w:p w:rsidR="00F35238" w:rsidRPr="00F91A3C" w:rsidRDefault="00F35238" w:rsidP="009E3393">
            <w:pPr>
              <w:rPr>
                <w:sz w:val="22"/>
                <w:szCs w:val="22"/>
              </w:rPr>
            </w:pPr>
            <w:r w:rsidRPr="00F91A3C">
              <w:rPr>
                <w:sz w:val="22"/>
                <w:szCs w:val="22"/>
              </w:rPr>
              <w:t>0</w:t>
            </w:r>
          </w:p>
        </w:tc>
      </w:tr>
      <w:tr w:rsidR="00F35238" w:rsidRPr="00F91A3C" w:rsidTr="009E3393">
        <w:tc>
          <w:tcPr>
            <w:tcW w:w="7488" w:type="dxa"/>
          </w:tcPr>
          <w:p w:rsidR="00F35238" w:rsidRPr="00F91A3C" w:rsidRDefault="00F35238" w:rsidP="009E3393">
            <w:pPr>
              <w:rPr>
                <w:sz w:val="22"/>
                <w:szCs w:val="22"/>
              </w:rPr>
            </w:pPr>
            <w:r w:rsidRPr="00F91A3C">
              <w:rPr>
                <w:sz w:val="22"/>
                <w:szCs w:val="22"/>
              </w:rPr>
              <w:t>International Bank for Reconstruction and Development</w:t>
            </w:r>
          </w:p>
        </w:tc>
        <w:tc>
          <w:tcPr>
            <w:tcW w:w="1368" w:type="dxa"/>
          </w:tcPr>
          <w:p w:rsidR="00F35238" w:rsidRPr="000858B7" w:rsidRDefault="0005657F" w:rsidP="0005657F">
            <w:pPr>
              <w:rPr>
                <w:sz w:val="22"/>
                <w:szCs w:val="22"/>
              </w:rPr>
            </w:pPr>
            <w:r>
              <w:rPr>
                <w:sz w:val="22"/>
                <w:szCs w:val="22"/>
              </w:rPr>
              <w:t>150</w:t>
            </w:r>
          </w:p>
        </w:tc>
      </w:tr>
      <w:tr w:rsidR="00F35238" w:rsidRPr="00F91A3C" w:rsidTr="009E3393">
        <w:tc>
          <w:tcPr>
            <w:tcW w:w="7488" w:type="dxa"/>
          </w:tcPr>
          <w:p w:rsidR="00F35238" w:rsidRPr="00F91A3C" w:rsidRDefault="00F35238" w:rsidP="00A31AFE">
            <w:pPr>
              <w:spacing w:after="120"/>
              <w:rPr>
                <w:sz w:val="22"/>
                <w:szCs w:val="22"/>
              </w:rPr>
            </w:pPr>
            <w:r w:rsidRPr="00F91A3C">
              <w:rPr>
                <w:sz w:val="22"/>
                <w:szCs w:val="22"/>
              </w:rPr>
              <w:tab/>
              <w:t>Total</w:t>
            </w:r>
          </w:p>
        </w:tc>
        <w:tc>
          <w:tcPr>
            <w:tcW w:w="1368" w:type="dxa"/>
          </w:tcPr>
          <w:p w:rsidR="00F35238" w:rsidRPr="000858B7" w:rsidRDefault="0005657F" w:rsidP="009E3393">
            <w:pPr>
              <w:rPr>
                <w:sz w:val="22"/>
                <w:szCs w:val="22"/>
              </w:rPr>
            </w:pPr>
            <w:r>
              <w:rPr>
                <w:sz w:val="22"/>
                <w:szCs w:val="22"/>
              </w:rPr>
              <w:t>150</w:t>
            </w:r>
          </w:p>
        </w:tc>
      </w:tr>
    </w:tbl>
    <w:p w:rsidR="00F35238" w:rsidRDefault="00F35238" w:rsidP="00F35238">
      <w:pPr>
        <w:numPr>
          <w:ilvl w:val="0"/>
          <w:numId w:val="10"/>
        </w:numPr>
        <w:rPr>
          <w:b/>
          <w:sz w:val="22"/>
          <w:szCs w:val="22"/>
        </w:rPr>
      </w:pPr>
      <w:r w:rsidRPr="00F91A3C">
        <w:rPr>
          <w:b/>
          <w:sz w:val="22"/>
          <w:szCs w:val="22"/>
        </w:rPr>
        <w:t>Contact point</w:t>
      </w:r>
    </w:p>
    <w:tbl>
      <w:tblPr>
        <w:tblW w:w="0" w:type="auto"/>
        <w:tblLook w:val="0000" w:firstRow="0" w:lastRow="0" w:firstColumn="0" w:lastColumn="0" w:noHBand="0" w:noVBand="0"/>
      </w:tblPr>
      <w:tblGrid>
        <w:gridCol w:w="4248"/>
        <w:gridCol w:w="5328"/>
      </w:tblGrid>
      <w:tr w:rsidR="0005657F" w:rsidRPr="002D7B75" w:rsidTr="00DB1DBF">
        <w:tc>
          <w:tcPr>
            <w:tcW w:w="4248" w:type="dxa"/>
          </w:tcPr>
          <w:p w:rsidR="0005657F" w:rsidRPr="00697D43" w:rsidRDefault="0005657F" w:rsidP="00042EC2">
            <w:r w:rsidRPr="00042EC2">
              <w:rPr>
                <w:b/>
                <w:sz w:val="22"/>
                <w:szCs w:val="22"/>
              </w:rPr>
              <w:t xml:space="preserve">World Bank </w:t>
            </w:r>
          </w:p>
        </w:tc>
        <w:tc>
          <w:tcPr>
            <w:tcW w:w="5328" w:type="dxa"/>
          </w:tcPr>
          <w:p w:rsidR="0005657F" w:rsidRPr="002D7B75" w:rsidRDefault="0005657F" w:rsidP="00DB1DBF">
            <w:pPr>
              <w:rPr>
                <w:b/>
              </w:rPr>
            </w:pPr>
            <w:r w:rsidRPr="002D7B75">
              <w:rPr>
                <w:b/>
                <w:sz w:val="22"/>
                <w:szCs w:val="22"/>
              </w:rPr>
              <w:t>Borrower</w:t>
            </w:r>
          </w:p>
        </w:tc>
      </w:tr>
      <w:tr w:rsidR="0005657F" w:rsidRPr="002D7B75" w:rsidTr="00DB1DBF">
        <w:tc>
          <w:tcPr>
            <w:tcW w:w="4248" w:type="dxa"/>
          </w:tcPr>
          <w:p w:rsidR="0005657F" w:rsidRPr="00697D43" w:rsidRDefault="0005657F" w:rsidP="00DB1DBF">
            <w:r w:rsidRPr="00697D43">
              <w:rPr>
                <w:sz w:val="22"/>
                <w:szCs w:val="22"/>
              </w:rPr>
              <w:t xml:space="preserve">Contact: </w:t>
            </w:r>
            <w:proofErr w:type="spellStart"/>
            <w:r w:rsidRPr="00697D43">
              <w:rPr>
                <w:sz w:val="22"/>
                <w:szCs w:val="22"/>
              </w:rPr>
              <w:t>Sanja</w:t>
            </w:r>
            <w:proofErr w:type="spellEnd"/>
            <w:r w:rsidRPr="00697D43">
              <w:rPr>
                <w:sz w:val="22"/>
                <w:szCs w:val="22"/>
              </w:rPr>
              <w:t xml:space="preserve"> </w:t>
            </w:r>
            <w:proofErr w:type="spellStart"/>
            <w:r w:rsidRPr="00697D43">
              <w:rPr>
                <w:sz w:val="22"/>
                <w:szCs w:val="22"/>
              </w:rPr>
              <w:t>Madzarevic-Sujster</w:t>
            </w:r>
            <w:proofErr w:type="spellEnd"/>
            <w:r w:rsidRPr="00697D43">
              <w:rPr>
                <w:sz w:val="22"/>
                <w:szCs w:val="22"/>
              </w:rPr>
              <w:tab/>
            </w:r>
          </w:p>
        </w:tc>
        <w:tc>
          <w:tcPr>
            <w:tcW w:w="5328" w:type="dxa"/>
          </w:tcPr>
          <w:p w:rsidR="0005657F" w:rsidRPr="002D7B75" w:rsidRDefault="0005657F" w:rsidP="00DB1DBF">
            <w:r w:rsidRPr="002D7B75">
              <w:rPr>
                <w:sz w:val="22"/>
                <w:szCs w:val="22"/>
              </w:rPr>
              <w:t xml:space="preserve">Contact: Mr. </w:t>
            </w:r>
            <w:proofErr w:type="spellStart"/>
            <w:r w:rsidRPr="002D7B75">
              <w:rPr>
                <w:sz w:val="22"/>
                <w:szCs w:val="22"/>
              </w:rPr>
              <w:t>Maroje</w:t>
            </w:r>
            <w:proofErr w:type="spellEnd"/>
            <w:r w:rsidRPr="002D7B75">
              <w:rPr>
                <w:sz w:val="22"/>
                <w:szCs w:val="22"/>
              </w:rPr>
              <w:t xml:space="preserve"> Lang</w:t>
            </w:r>
            <w:r w:rsidRPr="002D7B75">
              <w:rPr>
                <w:sz w:val="22"/>
                <w:szCs w:val="22"/>
              </w:rPr>
              <w:tab/>
            </w:r>
          </w:p>
        </w:tc>
      </w:tr>
      <w:tr w:rsidR="0005657F" w:rsidRPr="002D7B75" w:rsidTr="00DB1DBF">
        <w:trPr>
          <w:trHeight w:val="270"/>
        </w:trPr>
        <w:tc>
          <w:tcPr>
            <w:tcW w:w="4248" w:type="dxa"/>
          </w:tcPr>
          <w:p w:rsidR="0005657F" w:rsidRPr="00697D43" w:rsidRDefault="0005657F" w:rsidP="00DB1DBF">
            <w:r w:rsidRPr="00697D43">
              <w:rPr>
                <w:sz w:val="22"/>
                <w:szCs w:val="22"/>
              </w:rPr>
              <w:t>Title: Senior Country Economist</w:t>
            </w:r>
            <w:r w:rsidRPr="00697D43">
              <w:rPr>
                <w:sz w:val="22"/>
                <w:szCs w:val="22"/>
              </w:rPr>
              <w:tab/>
            </w:r>
            <w:r w:rsidRPr="00697D43">
              <w:rPr>
                <w:sz w:val="22"/>
                <w:szCs w:val="22"/>
              </w:rPr>
              <w:tab/>
            </w:r>
          </w:p>
        </w:tc>
        <w:tc>
          <w:tcPr>
            <w:tcW w:w="5328" w:type="dxa"/>
          </w:tcPr>
          <w:p w:rsidR="0005657F" w:rsidRPr="002D7B75" w:rsidRDefault="0005657F" w:rsidP="00DB1DBF">
            <w:r w:rsidRPr="002D7B75">
              <w:rPr>
                <w:sz w:val="22"/>
                <w:szCs w:val="22"/>
              </w:rPr>
              <w:t>Title: Assistant Minister of Finance</w:t>
            </w:r>
            <w:r w:rsidRPr="002D7B75">
              <w:rPr>
                <w:sz w:val="22"/>
                <w:szCs w:val="22"/>
              </w:rPr>
              <w:tab/>
            </w:r>
            <w:r w:rsidRPr="002D7B75">
              <w:rPr>
                <w:sz w:val="22"/>
                <w:szCs w:val="22"/>
              </w:rPr>
              <w:tab/>
            </w:r>
          </w:p>
        </w:tc>
      </w:tr>
      <w:tr w:rsidR="0005657F" w:rsidRPr="002D7B75" w:rsidTr="00DB1DBF">
        <w:trPr>
          <w:trHeight w:val="270"/>
        </w:trPr>
        <w:tc>
          <w:tcPr>
            <w:tcW w:w="4248" w:type="dxa"/>
          </w:tcPr>
          <w:p w:rsidR="0005657F" w:rsidRPr="00697D43" w:rsidRDefault="0005657F" w:rsidP="00DB1DBF">
            <w:r w:rsidRPr="00697D43">
              <w:rPr>
                <w:sz w:val="22"/>
                <w:szCs w:val="22"/>
              </w:rPr>
              <w:t>Tel: 5240+7260</w:t>
            </w:r>
            <w:r w:rsidRPr="00697D43">
              <w:rPr>
                <w:sz w:val="22"/>
                <w:szCs w:val="22"/>
              </w:rPr>
              <w:tab/>
            </w:r>
            <w:r w:rsidRPr="00697D43">
              <w:rPr>
                <w:sz w:val="22"/>
                <w:szCs w:val="22"/>
              </w:rPr>
              <w:tab/>
            </w:r>
            <w:r w:rsidRPr="00697D43">
              <w:rPr>
                <w:sz w:val="22"/>
                <w:szCs w:val="22"/>
              </w:rPr>
              <w:tab/>
            </w:r>
          </w:p>
        </w:tc>
        <w:tc>
          <w:tcPr>
            <w:tcW w:w="5328" w:type="dxa"/>
          </w:tcPr>
          <w:p w:rsidR="0005657F" w:rsidRPr="002D7B75" w:rsidRDefault="0005657F" w:rsidP="00DB1DBF">
            <w:r w:rsidRPr="002D7B75">
              <w:rPr>
                <w:sz w:val="22"/>
                <w:szCs w:val="22"/>
              </w:rPr>
              <w:t>Tel: +385-1-4591 258</w:t>
            </w:r>
            <w:r w:rsidRPr="002D7B75">
              <w:rPr>
                <w:sz w:val="22"/>
                <w:szCs w:val="22"/>
              </w:rPr>
              <w:tab/>
            </w:r>
            <w:r w:rsidRPr="002D7B75">
              <w:rPr>
                <w:sz w:val="22"/>
                <w:szCs w:val="22"/>
              </w:rPr>
              <w:tab/>
            </w:r>
            <w:r w:rsidRPr="002D7B75">
              <w:rPr>
                <w:sz w:val="22"/>
                <w:szCs w:val="22"/>
              </w:rPr>
              <w:tab/>
            </w:r>
          </w:p>
        </w:tc>
      </w:tr>
      <w:tr w:rsidR="0005657F" w:rsidTr="00DB1DBF">
        <w:trPr>
          <w:trHeight w:val="270"/>
        </w:trPr>
        <w:tc>
          <w:tcPr>
            <w:tcW w:w="4248" w:type="dxa"/>
          </w:tcPr>
          <w:p w:rsidR="0005657F" w:rsidRPr="00697D43" w:rsidRDefault="0005657F" w:rsidP="00DB1DBF">
            <w:r w:rsidRPr="00697D43">
              <w:rPr>
                <w:sz w:val="22"/>
                <w:szCs w:val="22"/>
              </w:rPr>
              <w:t>Email:</w:t>
            </w:r>
            <w:r w:rsidRPr="00697D43">
              <w:rPr>
                <w:sz w:val="22"/>
                <w:szCs w:val="22"/>
              </w:rPr>
              <w:tab/>
            </w:r>
            <w:hyperlink r:id="rId8" w:history="1">
              <w:r w:rsidRPr="00697D43">
                <w:rPr>
                  <w:rStyle w:val="Hyperlink"/>
                  <w:sz w:val="22"/>
                  <w:szCs w:val="22"/>
                </w:rPr>
                <w:t>smadzarevic@worldbank.org</w:t>
              </w:r>
            </w:hyperlink>
          </w:p>
        </w:tc>
        <w:tc>
          <w:tcPr>
            <w:tcW w:w="5328" w:type="dxa"/>
          </w:tcPr>
          <w:p w:rsidR="0005657F" w:rsidRDefault="0005657F" w:rsidP="00DB1DBF">
            <w:r w:rsidRPr="002D7B75">
              <w:rPr>
                <w:sz w:val="22"/>
                <w:szCs w:val="22"/>
              </w:rPr>
              <w:t>Email:</w:t>
            </w:r>
            <w:r w:rsidRPr="002D7B75">
              <w:rPr>
                <w:sz w:val="22"/>
                <w:szCs w:val="22"/>
              </w:rPr>
              <w:tab/>
              <w:t>maroje.lang@mfin.hr</w:t>
            </w:r>
          </w:p>
        </w:tc>
      </w:tr>
      <w:tr w:rsidR="0005657F" w:rsidRPr="002D7B75" w:rsidTr="00DB1DBF">
        <w:tc>
          <w:tcPr>
            <w:tcW w:w="4248" w:type="dxa"/>
          </w:tcPr>
          <w:p w:rsidR="0005657F" w:rsidRDefault="0005657F" w:rsidP="00A31AFE">
            <w:pPr>
              <w:spacing w:after="120"/>
            </w:pPr>
            <w:r w:rsidRPr="00697D43">
              <w:rPr>
                <w:sz w:val="22"/>
                <w:szCs w:val="22"/>
              </w:rPr>
              <w:t>Location: Zagreb, Croatia (IBRD)</w:t>
            </w:r>
          </w:p>
        </w:tc>
        <w:tc>
          <w:tcPr>
            <w:tcW w:w="5328" w:type="dxa"/>
          </w:tcPr>
          <w:p w:rsidR="0005657F" w:rsidRPr="002D7B75" w:rsidRDefault="0005657F" w:rsidP="00DB1DBF">
            <w:pPr>
              <w:rPr>
                <w:b/>
              </w:rPr>
            </w:pPr>
          </w:p>
        </w:tc>
      </w:tr>
    </w:tbl>
    <w:p w:rsidR="008627D4" w:rsidRPr="001378FC" w:rsidRDefault="001378FC" w:rsidP="001378FC">
      <w:pPr>
        <w:numPr>
          <w:ilvl w:val="0"/>
          <w:numId w:val="10"/>
        </w:numPr>
        <w:rPr>
          <w:b/>
          <w:sz w:val="22"/>
          <w:szCs w:val="22"/>
        </w:rPr>
      </w:pPr>
      <w:r w:rsidRPr="001378FC">
        <w:rPr>
          <w:b/>
          <w:sz w:val="22"/>
          <w:szCs w:val="22"/>
        </w:rPr>
        <w:t>For more information contact:</w:t>
      </w:r>
    </w:p>
    <w:bookmarkEnd w:id="6"/>
    <w:p w:rsidR="000858B7" w:rsidRPr="000858B7" w:rsidRDefault="000858B7" w:rsidP="000858B7">
      <w:pPr>
        <w:rPr>
          <w:sz w:val="22"/>
          <w:szCs w:val="22"/>
        </w:rPr>
      </w:pPr>
      <w:r w:rsidRPr="000858B7">
        <w:rPr>
          <w:sz w:val="22"/>
          <w:szCs w:val="22"/>
        </w:rPr>
        <w:t xml:space="preserve">The </w:t>
      </w:r>
      <w:proofErr w:type="spellStart"/>
      <w:r w:rsidRPr="000858B7">
        <w:rPr>
          <w:sz w:val="22"/>
          <w:szCs w:val="22"/>
        </w:rPr>
        <w:t>InfoShop</w:t>
      </w:r>
      <w:proofErr w:type="spellEnd"/>
    </w:p>
    <w:p w:rsidR="000858B7" w:rsidRPr="000858B7" w:rsidRDefault="000858B7" w:rsidP="000858B7">
      <w:pPr>
        <w:rPr>
          <w:sz w:val="22"/>
          <w:szCs w:val="22"/>
        </w:rPr>
      </w:pPr>
      <w:r w:rsidRPr="000858B7">
        <w:rPr>
          <w:sz w:val="22"/>
          <w:szCs w:val="22"/>
        </w:rPr>
        <w:t>The World Bank</w:t>
      </w:r>
    </w:p>
    <w:p w:rsidR="000858B7" w:rsidRPr="000858B7" w:rsidRDefault="000858B7" w:rsidP="000858B7">
      <w:pPr>
        <w:rPr>
          <w:sz w:val="22"/>
          <w:szCs w:val="22"/>
        </w:rPr>
      </w:pPr>
      <w:r w:rsidRPr="000858B7">
        <w:rPr>
          <w:sz w:val="22"/>
          <w:szCs w:val="22"/>
        </w:rPr>
        <w:t>1818 H Street, NW</w:t>
      </w:r>
    </w:p>
    <w:p w:rsidR="000858B7" w:rsidRPr="000858B7" w:rsidRDefault="000858B7" w:rsidP="000858B7">
      <w:pPr>
        <w:rPr>
          <w:sz w:val="22"/>
          <w:szCs w:val="22"/>
        </w:rPr>
      </w:pPr>
      <w:r w:rsidRPr="000858B7">
        <w:rPr>
          <w:sz w:val="22"/>
          <w:szCs w:val="22"/>
        </w:rPr>
        <w:t>Washington, D.C. 20433</w:t>
      </w:r>
    </w:p>
    <w:p w:rsidR="000858B7" w:rsidRPr="000858B7" w:rsidRDefault="000858B7" w:rsidP="000858B7">
      <w:pPr>
        <w:rPr>
          <w:sz w:val="22"/>
          <w:szCs w:val="22"/>
        </w:rPr>
      </w:pPr>
      <w:r w:rsidRPr="000858B7">
        <w:rPr>
          <w:sz w:val="22"/>
          <w:szCs w:val="22"/>
        </w:rPr>
        <w:t>Telephone:  (202) 458-4500</w:t>
      </w:r>
    </w:p>
    <w:p w:rsidR="000858B7" w:rsidRPr="000858B7" w:rsidRDefault="000858B7" w:rsidP="000858B7">
      <w:pPr>
        <w:rPr>
          <w:sz w:val="22"/>
          <w:szCs w:val="22"/>
        </w:rPr>
      </w:pPr>
      <w:r w:rsidRPr="000858B7">
        <w:rPr>
          <w:sz w:val="22"/>
          <w:szCs w:val="22"/>
        </w:rPr>
        <w:t>Fax:  (202) 522-1500</w:t>
      </w:r>
    </w:p>
    <w:p w:rsidR="000858B7" w:rsidRPr="000858B7" w:rsidRDefault="000858B7" w:rsidP="000858B7">
      <w:pPr>
        <w:rPr>
          <w:sz w:val="22"/>
          <w:szCs w:val="22"/>
        </w:rPr>
      </w:pPr>
      <w:r w:rsidRPr="000858B7">
        <w:rPr>
          <w:sz w:val="22"/>
          <w:szCs w:val="22"/>
        </w:rPr>
        <w:t>Email: pic@worldbank.org</w:t>
      </w:r>
    </w:p>
    <w:p w:rsidR="001378FC" w:rsidRPr="000858B7" w:rsidRDefault="000858B7" w:rsidP="000858B7">
      <w:pPr>
        <w:rPr>
          <w:sz w:val="22"/>
          <w:szCs w:val="22"/>
        </w:rPr>
      </w:pPr>
      <w:r w:rsidRPr="000858B7">
        <w:rPr>
          <w:sz w:val="22"/>
          <w:szCs w:val="22"/>
        </w:rPr>
        <w:t>Web: http://www.worldbank.org/infoshop</w:t>
      </w:r>
    </w:p>
    <w:sectPr w:rsidR="001378FC" w:rsidRPr="000858B7" w:rsidSect="001C15BC">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7A" w:rsidRDefault="00CF257A" w:rsidP="006F4FF9">
      <w:r>
        <w:separator/>
      </w:r>
    </w:p>
  </w:endnote>
  <w:endnote w:type="continuationSeparator" w:id="0">
    <w:p w:rsidR="00CF257A" w:rsidRDefault="00CF257A" w:rsidP="006F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7A" w:rsidRDefault="00CF257A" w:rsidP="006F4FF9">
      <w:r>
        <w:separator/>
      </w:r>
    </w:p>
  </w:footnote>
  <w:footnote w:type="continuationSeparator" w:id="0">
    <w:p w:rsidR="00CF257A" w:rsidRDefault="00CF257A" w:rsidP="006F4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40"/>
    <w:multiLevelType w:val="hybridMultilevel"/>
    <w:tmpl w:val="0B9468F0"/>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9E13557"/>
    <w:multiLevelType w:val="hybridMultilevel"/>
    <w:tmpl w:val="B50AAF94"/>
    <w:lvl w:ilvl="0" w:tplc="96664A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C5416"/>
    <w:multiLevelType w:val="hybridMultilevel"/>
    <w:tmpl w:val="11E85B56"/>
    <w:lvl w:ilvl="0" w:tplc="2AE89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51678"/>
    <w:multiLevelType w:val="hybridMultilevel"/>
    <w:tmpl w:val="4D4EFF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D1EC3"/>
    <w:multiLevelType w:val="hybridMultilevel"/>
    <w:tmpl w:val="9D38E54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8A5484"/>
    <w:multiLevelType w:val="hybridMultilevel"/>
    <w:tmpl w:val="2ED621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56FA8"/>
    <w:multiLevelType w:val="hybridMultilevel"/>
    <w:tmpl w:val="B6F45794"/>
    <w:lvl w:ilvl="0" w:tplc="30DA9A92">
      <w:start w:val="1"/>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7314D1"/>
    <w:multiLevelType w:val="hybridMultilevel"/>
    <w:tmpl w:val="A39660A8"/>
    <w:lvl w:ilvl="0" w:tplc="74AC854E">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D328F6"/>
    <w:multiLevelType w:val="hybridMultilevel"/>
    <w:tmpl w:val="3F145B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E09D6"/>
    <w:multiLevelType w:val="hybridMultilevel"/>
    <w:tmpl w:val="F57C2C14"/>
    <w:lvl w:ilvl="0" w:tplc="C52A8F5A">
      <w:start w:val="1"/>
      <w:numFmt w:val="decimal"/>
      <w:lvlText w:val="%1."/>
      <w:lvlJc w:val="left"/>
      <w:pPr>
        <w:tabs>
          <w:tab w:val="num" w:pos="360"/>
        </w:tabs>
        <w:ind w:left="36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D6383F"/>
    <w:multiLevelType w:val="hybridMultilevel"/>
    <w:tmpl w:val="09E86072"/>
    <w:lvl w:ilvl="0" w:tplc="E94A5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0"/>
  </w:num>
  <w:num w:numId="4">
    <w:abstractNumId w:val="2"/>
  </w:num>
  <w:num w:numId="5">
    <w:abstractNumId w:val="7"/>
  </w:num>
  <w:num w:numId="6">
    <w:abstractNumId w:val="0"/>
  </w:num>
  <w:num w:numId="7">
    <w:abstractNumId w:val="5"/>
  </w:num>
  <w:num w:numId="8">
    <w:abstractNumId w:val="3"/>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11"/>
    <w:rsid w:val="00002C60"/>
    <w:rsid w:val="00042EC2"/>
    <w:rsid w:val="0005657F"/>
    <w:rsid w:val="000716E1"/>
    <w:rsid w:val="000858B7"/>
    <w:rsid w:val="0012194F"/>
    <w:rsid w:val="001378FC"/>
    <w:rsid w:val="00146881"/>
    <w:rsid w:val="00162924"/>
    <w:rsid w:val="001C15BC"/>
    <w:rsid w:val="00226B3D"/>
    <w:rsid w:val="0031465D"/>
    <w:rsid w:val="00357A7F"/>
    <w:rsid w:val="003C5331"/>
    <w:rsid w:val="004143F8"/>
    <w:rsid w:val="004E4B9F"/>
    <w:rsid w:val="004F55CE"/>
    <w:rsid w:val="0053493C"/>
    <w:rsid w:val="005E5ABD"/>
    <w:rsid w:val="005F520B"/>
    <w:rsid w:val="00621687"/>
    <w:rsid w:val="006C1492"/>
    <w:rsid w:val="006F4FF9"/>
    <w:rsid w:val="00730F4A"/>
    <w:rsid w:val="0076565F"/>
    <w:rsid w:val="007B57AD"/>
    <w:rsid w:val="007D13DC"/>
    <w:rsid w:val="0083631C"/>
    <w:rsid w:val="008605CE"/>
    <w:rsid w:val="008627D4"/>
    <w:rsid w:val="008C7AE5"/>
    <w:rsid w:val="00955231"/>
    <w:rsid w:val="00956013"/>
    <w:rsid w:val="00987C01"/>
    <w:rsid w:val="009A6580"/>
    <w:rsid w:val="009B1F84"/>
    <w:rsid w:val="009E3393"/>
    <w:rsid w:val="00A02A3B"/>
    <w:rsid w:val="00A064AF"/>
    <w:rsid w:val="00A31AFE"/>
    <w:rsid w:val="00AA5E59"/>
    <w:rsid w:val="00B902AC"/>
    <w:rsid w:val="00BF1A50"/>
    <w:rsid w:val="00C77008"/>
    <w:rsid w:val="00C8771D"/>
    <w:rsid w:val="00CA3845"/>
    <w:rsid w:val="00CF257A"/>
    <w:rsid w:val="00D1399C"/>
    <w:rsid w:val="00D93211"/>
    <w:rsid w:val="00DA0182"/>
    <w:rsid w:val="00DB1DBF"/>
    <w:rsid w:val="00E4703C"/>
    <w:rsid w:val="00E47EC1"/>
    <w:rsid w:val="00E973C4"/>
    <w:rsid w:val="00EC2A83"/>
    <w:rsid w:val="00ED2AD1"/>
    <w:rsid w:val="00EF0087"/>
    <w:rsid w:val="00F35238"/>
    <w:rsid w:val="00F658AF"/>
    <w:rsid w:val="00F7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pPr>
      <w:spacing w:after="240"/>
    </w:pPr>
    <w:rPr>
      <w:szCs w:val="20"/>
    </w:rPr>
  </w:style>
  <w:style w:type="character" w:styleId="Hyperlink">
    <w:name w:val="Hyperlink"/>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basedOn w:val="Normal"/>
    <w:link w:val="ListParagraphChar"/>
    <w:uiPriority w:val="34"/>
    <w:qFormat/>
    <w:rsid w:val="0005657F"/>
    <w:pPr>
      <w:ind w:left="720"/>
      <w:contextualSpacing/>
    </w:pPr>
  </w:style>
  <w:style w:type="character" w:customStyle="1" w:styleId="ListParagraphChar">
    <w:name w:val="List Paragraph Char"/>
    <w:link w:val="ListParagraph"/>
    <w:uiPriority w:val="34"/>
    <w:locked/>
    <w:rsid w:val="0005657F"/>
    <w:rPr>
      <w:sz w:val="24"/>
      <w:szCs w:val="24"/>
    </w:rPr>
  </w:style>
  <w:style w:type="paragraph" w:styleId="FootnoteText">
    <w:name w:val="footnote text"/>
    <w:aliases w:val="fn,Footnote Text Char Char Char Char Char Char,single space,footnote text,FOOTNOTES,WB-Fußnotentext,Footnote,Fußnote,ADB,Footnote Text qer,Footnote text,single space Char Char,pod carou,Footnote Text WBR,WBR,ft,Footno,AD"/>
    <w:basedOn w:val="Normal"/>
    <w:link w:val="FootnoteTextChar1"/>
    <w:uiPriority w:val="99"/>
    <w:rsid w:val="006F4FF9"/>
    <w:rPr>
      <w:sz w:val="20"/>
      <w:szCs w:val="20"/>
    </w:rPr>
  </w:style>
  <w:style w:type="character" w:customStyle="1" w:styleId="FootnoteTextChar">
    <w:name w:val="Footnote Text Char"/>
    <w:basedOn w:val="DefaultParagraphFont"/>
    <w:rsid w:val="006F4FF9"/>
  </w:style>
  <w:style w:type="character" w:customStyle="1" w:styleId="FootnoteTextChar1">
    <w:name w:val="Footnote Text Char1"/>
    <w:aliases w:val="fn Char,Footnote Text Char Char Char Char Char Char Char,single space Char,footnote text Char,FOOTNOTES Char,WB-Fußnotentext Char,Footnote Char,Fußnote Char,ADB Char,Footnote Text qer Char,Footnote text Char,pod carou Char,WBR Char"/>
    <w:link w:val="FootnoteText"/>
    <w:uiPriority w:val="99"/>
    <w:rsid w:val="006F4FF9"/>
  </w:style>
  <w:style w:type="character" w:styleId="FootnoteReference">
    <w:name w:val="footnote reference"/>
    <w:aliases w:val="ftref,Знак сноски-FN,16 Point,Superscript 6 Point,Footnote Reference Superscript,Footnote symbol,Footnote Reference Number,Footnote Reference_LVL6,Footnote Reference_LVL61,Footnote Reference_LVL62,Footnote Reference_LVL63,fr"/>
    <w:uiPriority w:val="99"/>
    <w:rsid w:val="006F4F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
      <w:jc w:val="both"/>
    </w:p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ankNormal">
    <w:name w:val="BankNormal"/>
    <w:basedOn w:val="Normal"/>
    <w:pPr>
      <w:spacing w:after="240"/>
    </w:pPr>
    <w:rPr>
      <w:szCs w:val="20"/>
    </w:rPr>
  </w:style>
  <w:style w:type="character" w:styleId="Hyperlink">
    <w:name w:val="Hyperlink"/>
    <w:rPr>
      <w:color w:val="0000FF"/>
      <w:u w:val="single"/>
    </w:rPr>
  </w:style>
  <w:style w:type="paragraph" w:styleId="BalloonText">
    <w:name w:val="Balloon Text"/>
    <w:basedOn w:val="Normal"/>
    <w:semiHidden/>
    <w:rsid w:val="00956013"/>
    <w:rPr>
      <w:rFonts w:ascii="Tahoma" w:hAnsi="Tahoma" w:cs="Tahoma"/>
      <w:sz w:val="16"/>
      <w:szCs w:val="16"/>
    </w:rPr>
  </w:style>
  <w:style w:type="paragraph" w:styleId="ListParagraph">
    <w:name w:val="List Paragraph"/>
    <w:basedOn w:val="Normal"/>
    <w:link w:val="ListParagraphChar"/>
    <w:uiPriority w:val="34"/>
    <w:qFormat/>
    <w:rsid w:val="0005657F"/>
    <w:pPr>
      <w:ind w:left="720"/>
      <w:contextualSpacing/>
    </w:pPr>
  </w:style>
  <w:style w:type="character" w:customStyle="1" w:styleId="ListParagraphChar">
    <w:name w:val="List Paragraph Char"/>
    <w:link w:val="ListParagraph"/>
    <w:uiPriority w:val="34"/>
    <w:locked/>
    <w:rsid w:val="0005657F"/>
    <w:rPr>
      <w:sz w:val="24"/>
      <w:szCs w:val="24"/>
    </w:rPr>
  </w:style>
  <w:style w:type="paragraph" w:styleId="FootnoteText">
    <w:name w:val="footnote text"/>
    <w:aliases w:val="fn,Footnote Text Char Char Char Char Char Char,single space,footnote text,FOOTNOTES,WB-Fußnotentext,Footnote,Fußnote,ADB,Footnote Text qer,Footnote text,single space Char Char,pod carou,Footnote Text WBR,WBR,ft,Footno,AD"/>
    <w:basedOn w:val="Normal"/>
    <w:link w:val="FootnoteTextChar1"/>
    <w:uiPriority w:val="99"/>
    <w:rsid w:val="006F4FF9"/>
    <w:rPr>
      <w:sz w:val="20"/>
      <w:szCs w:val="20"/>
    </w:rPr>
  </w:style>
  <w:style w:type="character" w:customStyle="1" w:styleId="FootnoteTextChar">
    <w:name w:val="Footnote Text Char"/>
    <w:basedOn w:val="DefaultParagraphFont"/>
    <w:rsid w:val="006F4FF9"/>
  </w:style>
  <w:style w:type="character" w:customStyle="1" w:styleId="FootnoteTextChar1">
    <w:name w:val="Footnote Text Char1"/>
    <w:aliases w:val="fn Char,Footnote Text Char Char Char Char Char Char Char,single space Char,footnote text Char,FOOTNOTES Char,WB-Fußnotentext Char,Footnote Char,Fußnote Char,ADB Char,Footnote Text qer Char,Footnote text Char,pod carou Char,WBR Char"/>
    <w:link w:val="FootnoteText"/>
    <w:uiPriority w:val="99"/>
    <w:rsid w:val="006F4FF9"/>
  </w:style>
  <w:style w:type="character" w:styleId="FootnoteReference">
    <w:name w:val="footnote reference"/>
    <w:aliases w:val="ftref,Знак сноски-FN,16 Point,Superscript 6 Point,Footnote Reference Superscript,Footnote symbol,Footnote Reference Number,Footnote Reference_LVL6,Footnote Reference_LVL61,Footnote Reference_LVL62,Footnote Reference_LVL63,fr"/>
    <w:uiPriority w:val="99"/>
    <w:rsid w:val="006F4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dzarevic@worldban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776</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Program Information Document</vt:lpstr>
    </vt:vector>
  </TitlesOfParts>
  <Company>World Bank Group</Company>
  <LinksUpToDate>false</LinksUpToDate>
  <CharactersWithSpaces>5615</CharactersWithSpaces>
  <SharedDoc>false</SharedDoc>
  <HLinks>
    <vt:vector size="6" baseType="variant">
      <vt:variant>
        <vt:i4>917565</vt:i4>
      </vt:variant>
      <vt:variant>
        <vt:i4>0</vt:i4>
      </vt:variant>
      <vt:variant>
        <vt:i4>0</vt:i4>
      </vt:variant>
      <vt:variant>
        <vt:i4>5</vt:i4>
      </vt:variant>
      <vt:variant>
        <vt:lpwstr>mailto:smadzarevic@worldbank.org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Information Document</dc:title>
  <dc:creator>World Bank User</dc:creator>
  <cp:lastModifiedBy>Dubravka Jerman</cp:lastModifiedBy>
  <cp:revision>5</cp:revision>
  <cp:lastPrinted>2011-02-23T16:54:00Z</cp:lastPrinted>
  <dcterms:created xsi:type="dcterms:W3CDTF">2014-03-21T15:21:00Z</dcterms:created>
  <dcterms:modified xsi:type="dcterms:W3CDTF">2014-03-24T17:04:00Z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o">
    <vt:lpwstr>AB6248</vt:lpwstr>
  </property>
  <property fmtid="{D5CDD505-2E9C-101B-9397-08002B2CF9AE}" pid="3" name="TEAMLEADER">
    <vt:lpwstr>Sanja Madzarevic-Sujster</vt:lpwstr>
  </property>
</Properties>
</file>