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theme/theme1.xml" ContentType="application/vnd.openxmlformats-officedocument.them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style2.xml" ContentType="application/vnd.ms-office.chartstyle+xml"/>
  <Override PartName="/word/charts/chart2.xml" ContentType="application/vnd.openxmlformats-officedocument.drawingml.chart+xml"/>
  <Override PartName="/word/charts/colors2.xml" ContentType="application/vnd.ms-office.chartcolorstyle+xml"/>
  <Override PartName="/word/theme/themeOverride2.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3799" w14:textId="587BED60" w:rsidR="00107461" w:rsidRDefault="004E49E8" w:rsidP="00DE6DBD">
      <w:pPr>
        <w:spacing w:line="240" w:lineRule="auto"/>
        <w:jc w:val="center"/>
        <w:rPr>
          <w:rFonts w:ascii="Garamond" w:hAnsi="Garamond"/>
          <w:b/>
          <w:smallCaps/>
          <w:color w:val="C00000"/>
          <w:sz w:val="28"/>
        </w:rPr>
      </w:pPr>
      <w:bookmarkStart w:id="0" w:name="_Hlk513105899"/>
      <w:bookmarkEnd w:id="0"/>
      <w:r w:rsidRPr="00437E24">
        <w:rPr>
          <w:rFonts w:ascii="Garamond" w:hAnsi="Garamond"/>
          <w:b/>
          <w:smallCaps/>
          <w:color w:val="C00000"/>
          <w:sz w:val="28"/>
        </w:rPr>
        <w:t>Raising the Bar</w:t>
      </w:r>
      <w:r w:rsidR="006863A5" w:rsidRPr="00437E24">
        <w:rPr>
          <w:rFonts w:ascii="Garamond" w:hAnsi="Garamond"/>
          <w:b/>
          <w:smallCaps/>
          <w:color w:val="C00000"/>
          <w:sz w:val="28"/>
        </w:rPr>
        <w:t xml:space="preserve"> for Productive Cities in Latin America &amp; the Caribbean</w:t>
      </w:r>
      <w:r w:rsidR="00437E24">
        <w:rPr>
          <w:rStyle w:val="FootnoteReference"/>
          <w:rFonts w:ascii="Garamond" w:hAnsi="Garamond"/>
          <w:b/>
          <w:smallCaps/>
          <w:color w:val="C00000"/>
          <w:sz w:val="28"/>
        </w:rPr>
        <w:footnoteReference w:id="1"/>
      </w:r>
    </w:p>
    <w:p w14:paraId="4AB5C2B8" w14:textId="3EC27BE9" w:rsidR="004E49E8" w:rsidRDefault="007F74C0" w:rsidP="00DE6DBD">
      <w:pPr>
        <w:spacing w:line="240" w:lineRule="auto"/>
        <w:jc w:val="center"/>
        <w:rPr>
          <w:rFonts w:ascii="Garamond" w:hAnsi="Garamond"/>
          <w:b/>
          <w:smallCaps/>
          <w:sz w:val="28"/>
          <w:u w:val="single"/>
        </w:rPr>
      </w:pPr>
      <w:r>
        <w:rPr>
          <w:rFonts w:ascii="Garamond" w:hAnsi="Garamond"/>
          <w:b/>
          <w:smallCaps/>
          <w:sz w:val="28"/>
          <w:u w:val="single"/>
        </w:rPr>
        <w:t>B</w:t>
      </w:r>
      <w:r w:rsidR="00195328">
        <w:rPr>
          <w:rFonts w:ascii="Garamond" w:hAnsi="Garamond"/>
          <w:b/>
          <w:smallCaps/>
          <w:sz w:val="28"/>
          <w:u w:val="single"/>
        </w:rPr>
        <w:t>razil</w:t>
      </w:r>
    </w:p>
    <w:p w14:paraId="1539642E" w14:textId="77777777" w:rsidR="007F0D44" w:rsidRPr="00DA25B6" w:rsidRDefault="007F0D44" w:rsidP="007F0D44">
      <w:pPr>
        <w:spacing w:line="240" w:lineRule="auto"/>
        <w:jc w:val="both"/>
        <w:rPr>
          <w:rFonts w:ascii="Garamond" w:hAnsi="Garamond" w:cstheme="minorHAnsi"/>
          <w:szCs w:val="24"/>
        </w:rPr>
      </w:pPr>
      <w:r w:rsidRPr="00DA25B6">
        <w:rPr>
          <w:rFonts w:ascii="Garamond" w:hAnsi="Garamond" w:cstheme="minorHAnsi"/>
          <w:szCs w:val="24"/>
        </w:rPr>
        <w:t>Cities are engines of productivity and economic growth. Today, they occupy 2 percent of total land, but are home to more than 50 percent of the global population</w:t>
      </w:r>
      <w:r w:rsidRPr="00DA25B6">
        <w:rPr>
          <w:rFonts w:ascii="Garamond" w:hAnsi="Garamond" w:cstheme="minorHAnsi"/>
          <w:szCs w:val="24"/>
          <w:vertAlign w:val="superscript"/>
        </w:rPr>
        <w:footnoteReference w:id="2"/>
      </w:r>
      <w:r w:rsidRPr="00DA25B6">
        <w:rPr>
          <w:rFonts w:ascii="Garamond" w:hAnsi="Garamond" w:cstheme="minorHAnsi"/>
          <w:szCs w:val="24"/>
        </w:rPr>
        <w:t xml:space="preserve"> and are responsible for close to 70 percent of total GDP. By allowing the proximity of people and firms, they facilitate production, innovation and trade. For instance, the concentration of individuals can facilitate knowledge-sharing while firms located in a city benefit from accessing large local markets. Cities have historically accompanied the productive transformation of economies. They are, the main engine for agglomeration economies. But proximity also gives rise to negative externalities or congestion effects. Without additional investments in infrastructure or innovations in urban management and policy, the city can become congested, roads and other public infrastructure more crowded, and crime more prevalent. All cities are subject to the opposing forces of agglomeration and congestion, but their net outcomes can be influenced by policy choices, determining their productivity. Understanding how cities are fostering these agglomeration economies, and counteracting congestion effects, is thus key to inform policy-makers on the best policies to promote long term growth.</w:t>
      </w:r>
    </w:p>
    <w:p w14:paraId="52F9118C" w14:textId="77777777" w:rsidR="00277C35" w:rsidRDefault="007550FE" w:rsidP="007550FE">
      <w:pPr>
        <w:spacing w:line="240" w:lineRule="auto"/>
        <w:jc w:val="both"/>
        <w:rPr>
          <w:rFonts w:ascii="Garamond" w:hAnsi="Garamond"/>
          <w:szCs w:val="24"/>
        </w:rPr>
      </w:pPr>
      <w:r w:rsidRPr="00D0440A">
        <w:rPr>
          <w:rFonts w:ascii="Garamond" w:hAnsi="Garamond"/>
        </w:rPr>
        <w:t>Brazil is South America’s most populous country</w:t>
      </w:r>
      <w:r>
        <w:rPr>
          <w:rFonts w:ascii="Garamond" w:hAnsi="Garamond"/>
        </w:rPr>
        <w:t xml:space="preserve"> and largest economy</w:t>
      </w:r>
      <w:r w:rsidRPr="00D0440A">
        <w:rPr>
          <w:rFonts w:ascii="Garamond" w:hAnsi="Garamond"/>
        </w:rPr>
        <w:t xml:space="preserve">. </w:t>
      </w:r>
      <w:r>
        <w:rPr>
          <w:rFonts w:ascii="Garamond" w:hAnsi="Garamond"/>
        </w:rPr>
        <w:t xml:space="preserve">Many cities are among the most </w:t>
      </w:r>
      <w:r w:rsidRPr="009021F0">
        <w:rPr>
          <w:rFonts w:ascii="Garamond" w:hAnsi="Garamond"/>
        </w:rPr>
        <w:t>productive</w:t>
      </w:r>
      <w:r>
        <w:rPr>
          <w:rFonts w:ascii="Garamond" w:hAnsi="Garamond"/>
        </w:rPr>
        <w:t xml:space="preserve"> in the region. In fact, half of the top ten most </w:t>
      </w:r>
      <w:r w:rsidRPr="00DA25B6">
        <w:rPr>
          <w:rFonts w:ascii="Garamond" w:hAnsi="Garamond"/>
          <w:i/>
        </w:rPr>
        <w:t>productive</w:t>
      </w:r>
      <w:r>
        <w:rPr>
          <w:rFonts w:ascii="Garamond" w:hAnsi="Garamond"/>
        </w:rPr>
        <w:t xml:space="preserve"> cities</w:t>
      </w:r>
      <w:r w:rsidR="00277C35">
        <w:rPr>
          <w:rFonts w:ascii="Garamond" w:hAnsi="Garamond"/>
        </w:rPr>
        <w:t xml:space="preserve"> of Latin America and the Caribbean (LAC)</w:t>
      </w:r>
      <w:r>
        <w:rPr>
          <w:rFonts w:ascii="Garamond" w:hAnsi="Garamond"/>
        </w:rPr>
        <w:t xml:space="preserve"> are in Brazil. </w:t>
      </w:r>
      <w:r w:rsidR="00277C35">
        <w:rPr>
          <w:rFonts w:ascii="Garamond" w:hAnsi="Garamond"/>
        </w:rPr>
        <w:t>As in other LAC countries</w:t>
      </w:r>
      <w:r w:rsidR="00277C35">
        <w:rPr>
          <w:rFonts w:ascii="Garamond" w:hAnsi="Garamond"/>
          <w:szCs w:val="24"/>
        </w:rPr>
        <w:t xml:space="preserve"> productivity is on par with the world average. Yet, while in fact, cities in LAC are in general more productive than those in many other regions, they lag the world productivity “frontier”, as measured by North American and Western European cities. Considerable scope thus exists to raise the bar for productive cities in the region, and the contribution that urban areas in the region make to national GDP per capita. </w:t>
      </w:r>
    </w:p>
    <w:p w14:paraId="13007007" w14:textId="4DBD490F" w:rsidR="00277C35" w:rsidRPr="00277C35" w:rsidRDefault="00277C35" w:rsidP="00277C35">
      <w:pPr>
        <w:spacing w:line="240" w:lineRule="auto"/>
        <w:jc w:val="both"/>
        <w:rPr>
          <w:rFonts w:ascii="Garamond" w:hAnsi="Garamond"/>
        </w:rPr>
      </w:pPr>
      <w:r>
        <w:rPr>
          <w:rFonts w:ascii="Garamond" w:hAnsi="Garamond"/>
          <w:szCs w:val="24"/>
        </w:rPr>
        <w:t>T</w:t>
      </w:r>
      <w:r w:rsidR="007550FE">
        <w:rPr>
          <w:rFonts w:ascii="Garamond" w:hAnsi="Garamond"/>
        </w:rPr>
        <w:t>here is evidence of positive a</w:t>
      </w:r>
      <w:r w:rsidR="007550FE" w:rsidRPr="008B1848">
        <w:rPr>
          <w:rFonts w:ascii="Garamond" w:hAnsi="Garamond"/>
        </w:rPr>
        <w:t>gglomeration econ</w:t>
      </w:r>
      <w:r w:rsidR="007550FE">
        <w:rPr>
          <w:rFonts w:ascii="Garamond" w:hAnsi="Garamond"/>
        </w:rPr>
        <w:t xml:space="preserve">omies </w:t>
      </w:r>
      <w:r w:rsidR="007550FE" w:rsidRPr="008B1848">
        <w:rPr>
          <w:rFonts w:ascii="Garamond" w:hAnsi="Garamond"/>
        </w:rPr>
        <w:t>in Brazilian citie</w:t>
      </w:r>
      <w:r>
        <w:rPr>
          <w:rFonts w:ascii="Garamond" w:hAnsi="Garamond"/>
        </w:rPr>
        <w:t>s, and yet t</w:t>
      </w:r>
      <w:r w:rsidR="007550FE" w:rsidRPr="008B1848">
        <w:rPr>
          <w:rFonts w:ascii="Garamond" w:hAnsi="Garamond"/>
        </w:rPr>
        <w:t>he country has large regional inequaliti</w:t>
      </w:r>
      <w:r w:rsidR="007550FE">
        <w:rPr>
          <w:rFonts w:ascii="Garamond" w:hAnsi="Garamond"/>
        </w:rPr>
        <w:t>es: incomes for the average individual in the Midwest and Southeast regions (the richest regions) are almost twice as high as in the Northeast (the poorest region). C</w:t>
      </w:r>
      <w:r w:rsidR="007550FE" w:rsidRPr="008B1848">
        <w:rPr>
          <w:rFonts w:ascii="Garamond" w:hAnsi="Garamond"/>
        </w:rPr>
        <w:t>ities in Brazil could be</w:t>
      </w:r>
      <w:r w:rsidR="007550FE">
        <w:rPr>
          <w:rFonts w:ascii="Garamond" w:hAnsi="Garamond"/>
        </w:rPr>
        <w:t xml:space="preserve"> even</w:t>
      </w:r>
      <w:r w:rsidR="007550FE" w:rsidRPr="008B1848">
        <w:rPr>
          <w:rFonts w:ascii="Garamond" w:hAnsi="Garamond"/>
        </w:rPr>
        <w:t xml:space="preserve"> more productive if they tackled</w:t>
      </w:r>
      <w:r w:rsidR="007550FE">
        <w:rPr>
          <w:rFonts w:ascii="Garamond" w:hAnsi="Garamond"/>
        </w:rPr>
        <w:t xml:space="preserve"> the negative externalities of density such as</w:t>
      </w:r>
      <w:r w:rsidR="007550FE" w:rsidRPr="008B1848">
        <w:rPr>
          <w:rFonts w:ascii="Garamond" w:hAnsi="Garamond"/>
        </w:rPr>
        <w:t xml:space="preserve"> congestion, </w:t>
      </w:r>
      <w:r w:rsidR="007550FE">
        <w:rPr>
          <w:rFonts w:ascii="Garamond" w:hAnsi="Garamond"/>
        </w:rPr>
        <w:t xml:space="preserve">slums, </w:t>
      </w:r>
      <w:r w:rsidR="007550FE" w:rsidRPr="008B1848">
        <w:rPr>
          <w:rFonts w:ascii="Garamond" w:hAnsi="Garamond"/>
        </w:rPr>
        <w:t>crime and inequalities</w:t>
      </w:r>
      <w:r w:rsidR="007550FE">
        <w:rPr>
          <w:rFonts w:ascii="Garamond" w:hAnsi="Garamond"/>
        </w:rPr>
        <w:t>, and invested in institutions and infrastructure</w:t>
      </w:r>
      <w:r w:rsidR="007550FE" w:rsidRPr="008B1848">
        <w:rPr>
          <w:rFonts w:ascii="Garamond" w:hAnsi="Garamond"/>
        </w:rPr>
        <w:t>.</w:t>
      </w:r>
      <w:r>
        <w:rPr>
          <w:rFonts w:ascii="Garamond" w:hAnsi="Garamond"/>
        </w:rPr>
        <w:t xml:space="preserve"> </w:t>
      </w:r>
      <w:r w:rsidR="007550FE" w:rsidRPr="008B1848">
        <w:rPr>
          <w:rFonts w:ascii="Garamond" w:hAnsi="Garamond"/>
        </w:rPr>
        <w:t xml:space="preserve">Understanding the patterns of urbanization and the drivers of cities productivity in </w:t>
      </w:r>
      <w:r w:rsidR="007550FE">
        <w:rPr>
          <w:rFonts w:ascii="Garamond" w:hAnsi="Garamond"/>
        </w:rPr>
        <w:t>Brazil</w:t>
      </w:r>
      <w:r w:rsidR="007550FE" w:rsidRPr="008B1848">
        <w:rPr>
          <w:rFonts w:ascii="Garamond" w:hAnsi="Garamond"/>
        </w:rPr>
        <w:t xml:space="preserve"> is key to</w:t>
      </w:r>
      <w:r w:rsidR="007550FE">
        <w:rPr>
          <w:rFonts w:ascii="Garamond" w:hAnsi="Garamond"/>
        </w:rPr>
        <w:t xml:space="preserve"> push the country to its productivity frontier</w:t>
      </w:r>
      <w:r w:rsidR="007550FE" w:rsidRPr="008B1848">
        <w:rPr>
          <w:rFonts w:ascii="Garamond" w:hAnsi="Garamond"/>
        </w:rPr>
        <w:t>.</w:t>
      </w:r>
      <w:r w:rsidR="007550FE" w:rsidRPr="007550FE">
        <w:rPr>
          <w:rFonts w:ascii="Garamond" w:hAnsi="Garamond"/>
        </w:rPr>
        <w:t xml:space="preserve"> </w:t>
      </w:r>
      <w:r w:rsidRPr="00277C35">
        <w:rPr>
          <w:rFonts w:ascii="Garamond" w:hAnsi="Garamond"/>
        </w:rPr>
        <w:t>Indeed, although LAC cities benefit from strong positive agglomeration effects, they may lack the “enabling environment” needed to fully leverage the wider benefits of agglomeration and mitigate congestion costs. For instance, urban infrastructure management and urban planning may not be adequate to curb the congestion of roads, basic urban services, and land and housing markets associated with the high urban density in most LAC countries. Included in this is inadequate coordination across local governments within fragmented metropolitan areas. Second, a lack of integration among cities within countries is associated with underinvestment in national transport networks, opening wide productivity gaps across cities and undermining the aggregate contribution of cities to national productivity.</w:t>
      </w:r>
    </w:p>
    <w:p w14:paraId="4D7698EE" w14:textId="51E2F0CC" w:rsidR="00DC4845" w:rsidRDefault="007550FE" w:rsidP="00DE6DBD">
      <w:pPr>
        <w:spacing w:line="240" w:lineRule="auto"/>
        <w:jc w:val="both"/>
        <w:rPr>
          <w:rFonts w:ascii="Garamond" w:hAnsi="Garamond"/>
        </w:rPr>
      </w:pPr>
      <w:bookmarkStart w:id="1" w:name="_Hlk512611280"/>
      <w:r w:rsidRPr="00B66CF3">
        <w:rPr>
          <w:rFonts w:ascii="Garamond" w:hAnsi="Garamond"/>
        </w:rPr>
        <w:lastRenderedPageBreak/>
        <w:t xml:space="preserve">This country-note puts forward the specific features of urbanization in </w:t>
      </w:r>
      <w:r>
        <w:rPr>
          <w:rFonts w:ascii="Garamond" w:hAnsi="Garamond"/>
        </w:rPr>
        <w:t>Brazil</w:t>
      </w:r>
      <w:r w:rsidRPr="00B66CF3">
        <w:rPr>
          <w:rFonts w:ascii="Garamond" w:hAnsi="Garamond"/>
        </w:rPr>
        <w:t xml:space="preserve"> and the characteristic</w:t>
      </w:r>
      <w:r w:rsidR="003C47B9">
        <w:rPr>
          <w:rFonts w:ascii="Garamond" w:hAnsi="Garamond"/>
        </w:rPr>
        <w:t>s</w:t>
      </w:r>
      <w:r w:rsidRPr="00B66CF3">
        <w:rPr>
          <w:rFonts w:ascii="Garamond" w:hAnsi="Garamond"/>
        </w:rPr>
        <w:t xml:space="preserve"> of 3 critical proximate determinants of its cities’ productivity – skills, access</w:t>
      </w:r>
      <w:r>
        <w:rPr>
          <w:rFonts w:ascii="Garamond" w:hAnsi="Garamond"/>
        </w:rPr>
        <w:t>,</w:t>
      </w:r>
      <w:r w:rsidRPr="00B66CF3">
        <w:rPr>
          <w:rFonts w:ascii="Garamond" w:hAnsi="Garamond"/>
        </w:rPr>
        <w:t xml:space="preserve"> and form</w:t>
      </w:r>
      <w:r>
        <w:rPr>
          <w:rFonts w:ascii="Garamond" w:hAnsi="Garamond"/>
        </w:rPr>
        <w:t xml:space="preserve"> – summarizing the findings presented in the recently released flagship report </w:t>
      </w:r>
      <w:r w:rsidRPr="00D91A65">
        <w:rPr>
          <w:rFonts w:ascii="Garamond" w:hAnsi="Garamond"/>
          <w:i/>
        </w:rPr>
        <w:t>Raising the Bar for Productive Cities in Latin America and the Caribbean</w:t>
      </w:r>
      <w:r w:rsidDel="00D91A65">
        <w:rPr>
          <w:rFonts w:ascii="Garamond" w:hAnsi="Garamond"/>
        </w:rPr>
        <w:t xml:space="preserve"> </w:t>
      </w:r>
      <w:r>
        <w:rPr>
          <w:rFonts w:ascii="Garamond" w:hAnsi="Garamond"/>
        </w:rPr>
        <w:t>(Ferreyra and Roberts, eds., 2018), and highlighting the country-specific dynamics</w:t>
      </w:r>
      <w:r w:rsidRPr="00B66CF3">
        <w:rPr>
          <w:rFonts w:ascii="Garamond" w:hAnsi="Garamond"/>
        </w:rPr>
        <w:t>.</w:t>
      </w:r>
      <w:r>
        <w:rPr>
          <w:rFonts w:ascii="Garamond" w:hAnsi="Garamond"/>
        </w:rPr>
        <w:t xml:space="preserve"> Policy implications are discussed in the last section.</w:t>
      </w:r>
    </w:p>
    <w:tbl>
      <w:tblPr>
        <w:tblStyle w:val="TableGrid"/>
        <w:tblW w:w="9445" w:type="dxa"/>
        <w:tblLook w:val="04A0" w:firstRow="1" w:lastRow="0" w:firstColumn="1" w:lastColumn="0" w:noHBand="0" w:noVBand="1"/>
      </w:tblPr>
      <w:tblGrid>
        <w:gridCol w:w="9445"/>
      </w:tblGrid>
      <w:tr w:rsidR="00222AB2" w14:paraId="33BF2337" w14:textId="77777777" w:rsidTr="00B252F3">
        <w:tc>
          <w:tcPr>
            <w:tcW w:w="9445" w:type="dxa"/>
          </w:tcPr>
          <w:bookmarkEnd w:id="1"/>
          <w:p w14:paraId="41188C3C" w14:textId="57FE115F" w:rsidR="00222AB2" w:rsidRDefault="00222AB2" w:rsidP="00DE6DBD">
            <w:pPr>
              <w:jc w:val="both"/>
              <w:rPr>
                <w:rFonts w:ascii="Garamond" w:hAnsi="Garamond"/>
                <w:b/>
                <w:smallCaps/>
                <w:color w:val="C00000"/>
                <w:sz w:val="24"/>
              </w:rPr>
            </w:pPr>
            <w:r>
              <w:rPr>
                <w:rFonts w:ascii="Garamond" w:hAnsi="Garamond"/>
                <w:b/>
                <w:smallCaps/>
                <w:color w:val="C00000"/>
                <w:sz w:val="24"/>
              </w:rPr>
              <w:t xml:space="preserve">Box 1. </w:t>
            </w:r>
            <w:r w:rsidR="00D40583">
              <w:rPr>
                <w:rFonts w:ascii="Garamond" w:hAnsi="Garamond"/>
                <w:b/>
                <w:smallCaps/>
                <w:color w:val="C00000"/>
                <w:sz w:val="24"/>
              </w:rPr>
              <w:t xml:space="preserve">Key </w:t>
            </w:r>
            <w:r>
              <w:rPr>
                <w:rFonts w:ascii="Garamond" w:hAnsi="Garamond"/>
                <w:b/>
                <w:smallCaps/>
                <w:color w:val="C00000"/>
                <w:sz w:val="24"/>
              </w:rPr>
              <w:t>Definitions</w:t>
            </w:r>
          </w:p>
          <w:p w14:paraId="65C8A34D" w14:textId="77777777" w:rsidR="00222AB2" w:rsidRDefault="00222AB2" w:rsidP="00DE6DBD">
            <w:pPr>
              <w:jc w:val="both"/>
              <w:rPr>
                <w:rFonts w:ascii="Garamond" w:hAnsi="Garamond"/>
              </w:rPr>
            </w:pPr>
          </w:p>
          <w:p w14:paraId="2936B446" w14:textId="19C8DC4E" w:rsidR="002F157D" w:rsidRPr="002F157D" w:rsidRDefault="002F157D" w:rsidP="00DE6DBD">
            <w:pPr>
              <w:pStyle w:val="Default"/>
              <w:jc w:val="both"/>
              <w:rPr>
                <w:rFonts w:ascii="Garamond" w:hAnsi="Garamond"/>
                <w:sz w:val="22"/>
                <w:szCs w:val="22"/>
              </w:rPr>
            </w:pPr>
            <w:r w:rsidRPr="002F157D">
              <w:rPr>
                <w:rFonts w:ascii="Garamond" w:hAnsi="Garamond"/>
                <w:sz w:val="22"/>
                <w:szCs w:val="22"/>
              </w:rPr>
              <w:t>The World Bank Flagship Report 2018 (</w:t>
            </w:r>
            <w:r w:rsidR="00BC520A" w:rsidRPr="002F157D">
              <w:rPr>
                <w:rFonts w:ascii="Garamond" w:hAnsi="Garamond"/>
                <w:sz w:val="22"/>
                <w:szCs w:val="22"/>
              </w:rPr>
              <w:t>Ferre</w:t>
            </w:r>
            <w:r w:rsidR="00BC520A">
              <w:rPr>
                <w:rFonts w:ascii="Garamond" w:hAnsi="Garamond"/>
                <w:sz w:val="22"/>
                <w:szCs w:val="22"/>
              </w:rPr>
              <w:t>y</w:t>
            </w:r>
            <w:r w:rsidR="00BC520A" w:rsidRPr="002F157D">
              <w:rPr>
                <w:rFonts w:ascii="Garamond" w:hAnsi="Garamond"/>
                <w:sz w:val="22"/>
                <w:szCs w:val="22"/>
              </w:rPr>
              <w:t>ra</w:t>
            </w:r>
            <w:r w:rsidR="00BC520A">
              <w:rPr>
                <w:rFonts w:ascii="Garamond" w:hAnsi="Garamond"/>
                <w:sz w:val="22"/>
                <w:szCs w:val="22"/>
              </w:rPr>
              <w:t xml:space="preserve"> </w:t>
            </w:r>
            <w:r w:rsidR="007A1878">
              <w:rPr>
                <w:rFonts w:ascii="Garamond" w:hAnsi="Garamond"/>
                <w:sz w:val="22"/>
                <w:szCs w:val="22"/>
              </w:rPr>
              <w:t>and Roberts, eds.,</w:t>
            </w:r>
            <w:r w:rsidRPr="002F157D">
              <w:rPr>
                <w:rFonts w:ascii="Garamond" w:hAnsi="Garamond"/>
                <w:sz w:val="22"/>
                <w:szCs w:val="22"/>
              </w:rPr>
              <w:t xml:space="preserve"> 2018), </w:t>
            </w:r>
            <w:r w:rsidRPr="002F157D">
              <w:rPr>
                <w:rFonts w:ascii="Garamond" w:hAnsi="Garamond"/>
                <w:i/>
                <w:sz w:val="22"/>
                <w:szCs w:val="22"/>
              </w:rPr>
              <w:t>Raising the Bar for Productive Cities in Latin America and the Caribbean</w:t>
            </w:r>
            <w:r w:rsidRPr="002F157D">
              <w:rPr>
                <w:rFonts w:ascii="Garamond" w:hAnsi="Garamond"/>
                <w:sz w:val="22"/>
                <w:szCs w:val="22"/>
              </w:rPr>
              <w:t>, looks at the drivers of productivity in LAC cities along three lines: form, skills, and access.</w:t>
            </w:r>
          </w:p>
          <w:p w14:paraId="32AEAC0F" w14:textId="77777777" w:rsidR="002F157D" w:rsidRPr="002F157D" w:rsidRDefault="002F157D" w:rsidP="00DE6DBD">
            <w:pPr>
              <w:pStyle w:val="Default"/>
              <w:jc w:val="both"/>
              <w:rPr>
                <w:rFonts w:ascii="Garamond" w:hAnsi="Garamond"/>
                <w:sz w:val="22"/>
                <w:szCs w:val="22"/>
              </w:rPr>
            </w:pPr>
          </w:p>
          <w:p w14:paraId="026E6973" w14:textId="6D0FEFBC" w:rsidR="002F157D" w:rsidRPr="002F157D" w:rsidRDefault="002F157D" w:rsidP="00DE6DBD">
            <w:pPr>
              <w:pStyle w:val="Default"/>
              <w:jc w:val="both"/>
              <w:rPr>
                <w:rFonts w:ascii="Garamond" w:hAnsi="Garamond"/>
                <w:sz w:val="22"/>
                <w:szCs w:val="22"/>
              </w:rPr>
            </w:pPr>
            <w:r w:rsidRPr="002F157D">
              <w:rPr>
                <w:rFonts w:ascii="Garamond" w:hAnsi="Garamond"/>
                <w:b/>
                <w:sz w:val="22"/>
                <w:szCs w:val="22"/>
              </w:rPr>
              <w:t>Form</w:t>
            </w:r>
            <w:r w:rsidRPr="002F157D">
              <w:rPr>
                <w:rFonts w:ascii="Garamond" w:hAnsi="Garamond"/>
                <w:sz w:val="22"/>
                <w:szCs w:val="22"/>
              </w:rPr>
              <w:t xml:space="preserve"> refers to the size and configuration of a city. A city’s size (usually measured by population or density) influences the likelihood of interactions among individuals and firms. These interactions can stimulate a wide array of positive, productivity-enhancing, agglomeration effects. However, they can also generate negative congestion effects, such as increased crime. A city’s configuration, meanwhile, encompasses several dimensions. The first dimension is whether a city is, in fact, a broader metropolitan area or multicity agglomeration (MCA). In such an agglomeration, the boundaries between one administratively defined “city” and another blur to such an extent that it becomes difficult to tell where one ends and the other begins. The second dimension is geometric shape. For instance, in a perfectly circular city, the average distance between two locations is lower than in an elongated city of the same area. All else being equal, therefore, interactions take place more easily in a circular city. The third dimension of form is internal structure, which depends on a city’s road network among other things. Mobility is easier in cities with well-planned road networks that follow a regular pattern, such as a grid, than in cities with more haphazard networks. Finally, the fourth dimension is land use. For example, building restrictions may favor sprawl, which in turn can increase journey to work, as well as other travel times. Similarly, overly stringent zoning requirements may create unnecessary distance between the places where people live, and the places where they work.  </w:t>
            </w:r>
          </w:p>
          <w:p w14:paraId="60D006EA" w14:textId="77777777" w:rsidR="002F157D" w:rsidRPr="002F157D" w:rsidRDefault="002F157D" w:rsidP="00DE6DBD">
            <w:pPr>
              <w:pStyle w:val="Default"/>
              <w:jc w:val="both"/>
              <w:rPr>
                <w:rFonts w:ascii="Garamond" w:hAnsi="Garamond"/>
                <w:sz w:val="22"/>
                <w:szCs w:val="22"/>
              </w:rPr>
            </w:pPr>
          </w:p>
          <w:p w14:paraId="27A62A4F" w14:textId="77777777" w:rsidR="002F157D" w:rsidRPr="002F157D" w:rsidRDefault="002F157D" w:rsidP="00DE6DBD">
            <w:pPr>
              <w:pStyle w:val="Default"/>
              <w:jc w:val="both"/>
              <w:rPr>
                <w:rFonts w:ascii="Garamond" w:hAnsi="Garamond"/>
                <w:sz w:val="22"/>
                <w:szCs w:val="22"/>
              </w:rPr>
            </w:pPr>
            <w:r w:rsidRPr="002F157D">
              <w:rPr>
                <w:rFonts w:ascii="Garamond" w:hAnsi="Garamond"/>
                <w:b/>
                <w:sz w:val="22"/>
                <w:szCs w:val="22"/>
              </w:rPr>
              <w:t>Skill</w:t>
            </w:r>
            <w:r w:rsidRPr="002F157D">
              <w:rPr>
                <w:rFonts w:ascii="Garamond" w:hAnsi="Garamond"/>
                <w:sz w:val="22"/>
                <w:szCs w:val="22"/>
              </w:rPr>
              <w:t xml:space="preserve"> refers to a city’s aggregate stock of human capital, or aggregate skill. When individuals choose where to live in a country, they compare locations based on such attributes as wages and job opportunities, housing values, natural amenities, manmade amenities -including, for example, cultural attractions- and the demographic composition of the population. Given their preferences and personal characteristics (such as age, education, and place of birth), they thus sort into different cities. A city that attracts more skilled individuals could be more productive simply because its residents are on average more productive—yet this is not the meaning of “skill” as it relates to city productivity.  Instead, skill refers here to the productivity contribution of skilled individuals above and beyond their own productivities. This contribution arises because a person’s human capital benefits not only her, but others in the city as well. </w:t>
            </w:r>
          </w:p>
          <w:p w14:paraId="2CB1E760" w14:textId="77777777" w:rsidR="002F157D" w:rsidRPr="002F157D" w:rsidRDefault="002F157D" w:rsidP="00DE6DBD">
            <w:pPr>
              <w:pStyle w:val="Default"/>
              <w:jc w:val="both"/>
              <w:rPr>
                <w:rFonts w:ascii="Garamond" w:hAnsi="Garamond"/>
                <w:sz w:val="22"/>
                <w:szCs w:val="22"/>
              </w:rPr>
            </w:pPr>
          </w:p>
          <w:p w14:paraId="40061D13" w14:textId="77777777" w:rsidR="002F157D" w:rsidRPr="002F157D" w:rsidRDefault="002F157D" w:rsidP="00DE6DBD">
            <w:pPr>
              <w:pStyle w:val="Default"/>
              <w:jc w:val="both"/>
              <w:rPr>
                <w:rFonts w:ascii="Garamond" w:hAnsi="Garamond"/>
                <w:sz w:val="22"/>
                <w:szCs w:val="22"/>
              </w:rPr>
            </w:pPr>
            <w:r w:rsidRPr="002F157D">
              <w:rPr>
                <w:rFonts w:ascii="Garamond" w:hAnsi="Garamond"/>
                <w:b/>
                <w:sz w:val="22"/>
                <w:szCs w:val="22"/>
              </w:rPr>
              <w:t xml:space="preserve">Access </w:t>
            </w:r>
            <w:r w:rsidRPr="002F157D">
              <w:rPr>
                <w:rFonts w:ascii="Garamond" w:hAnsi="Garamond"/>
                <w:sz w:val="22"/>
                <w:szCs w:val="22"/>
              </w:rPr>
              <w:t>refers to a city’s connectedness to other cities through the transportation network. When a city is well connected to others, transporting people or goods to and from other cities is not costly. In such a city, firms have access to markets that extend beyond that of the city itself. By promoting trade with other cites both domestically and internationally, this allows firms in a city to expand, become more specialized, and benefit from economies of scale. And when firms and workers become freer to move between cities, they flock to more productive cities. In a system of well-connected cities, the dispersion of productivity across cities is minimized, and cities maximize their overall contribution to national productivity.</w:t>
            </w:r>
          </w:p>
          <w:p w14:paraId="45963B84" w14:textId="77777777" w:rsidR="002F157D" w:rsidRPr="002F157D" w:rsidRDefault="002F157D" w:rsidP="00DE6DBD">
            <w:pPr>
              <w:pStyle w:val="Default"/>
              <w:jc w:val="both"/>
              <w:rPr>
                <w:rFonts w:ascii="Garamond" w:hAnsi="Garamond"/>
                <w:sz w:val="22"/>
                <w:szCs w:val="22"/>
              </w:rPr>
            </w:pPr>
          </w:p>
          <w:p w14:paraId="4772C8F4" w14:textId="77777777" w:rsidR="002F157D" w:rsidRPr="005B76FE" w:rsidRDefault="002F157D" w:rsidP="00DE6DBD">
            <w:pPr>
              <w:jc w:val="both"/>
              <w:rPr>
                <w:rFonts w:ascii="Garamond" w:hAnsi="Garamond"/>
                <w:b/>
              </w:rPr>
            </w:pPr>
            <w:r>
              <w:rPr>
                <w:rFonts w:ascii="Garamond" w:hAnsi="Garamond"/>
                <w:b/>
              </w:rPr>
              <w:t>Definitions of p</w:t>
            </w:r>
            <w:r w:rsidRPr="005B76FE">
              <w:rPr>
                <w:rFonts w:ascii="Garamond" w:hAnsi="Garamond"/>
                <w:b/>
              </w:rPr>
              <w:t>roductivity:</w:t>
            </w:r>
          </w:p>
          <w:p w14:paraId="1994049F" w14:textId="77777777" w:rsidR="002F157D" w:rsidRPr="005D1C5A" w:rsidRDefault="002F157D" w:rsidP="00DE6DBD">
            <w:pPr>
              <w:jc w:val="both"/>
              <w:rPr>
                <w:rFonts w:ascii="Garamond" w:hAnsi="Garamond"/>
              </w:rPr>
            </w:pPr>
          </w:p>
          <w:p w14:paraId="5E820247" w14:textId="77777777" w:rsidR="002F157D" w:rsidRPr="005D1C5A" w:rsidRDefault="002F157D" w:rsidP="00DE6DBD">
            <w:pPr>
              <w:pStyle w:val="ListParagraph"/>
              <w:numPr>
                <w:ilvl w:val="0"/>
                <w:numId w:val="3"/>
              </w:numPr>
              <w:jc w:val="both"/>
              <w:rPr>
                <w:rFonts w:ascii="Garamond" w:hAnsi="Garamond"/>
              </w:rPr>
            </w:pPr>
            <w:r w:rsidRPr="005D1C5A">
              <w:rPr>
                <w:rFonts w:ascii="Garamond" w:hAnsi="Garamond"/>
                <w:b/>
              </w:rPr>
              <w:lastRenderedPageBreak/>
              <w:t>Per capita gross domestic product (GDP) at the national level</w:t>
            </w:r>
            <w:r w:rsidRPr="005D1C5A">
              <w:rPr>
                <w:rFonts w:ascii="Garamond" w:hAnsi="Garamond"/>
              </w:rPr>
              <w:t xml:space="preserve"> </w:t>
            </w:r>
            <w:r w:rsidRPr="005D1C5A">
              <w:rPr>
                <w:rFonts w:ascii="Garamond" w:hAnsi="Garamond"/>
                <w:b/>
              </w:rPr>
              <w:t>proxies average labor productivity</w:t>
            </w:r>
            <w:r w:rsidRPr="005D1C5A">
              <w:rPr>
                <w:rFonts w:ascii="Garamond" w:hAnsi="Garamond"/>
              </w:rPr>
              <w:t xml:space="preserve"> at the national level and is relevant to the aggregate contribution of urbanization and cities to national productivity. </w:t>
            </w:r>
          </w:p>
          <w:p w14:paraId="3C9E58AD" w14:textId="77777777" w:rsidR="002F157D" w:rsidRDefault="002F157D" w:rsidP="00DE6DBD">
            <w:pPr>
              <w:jc w:val="both"/>
              <w:rPr>
                <w:rFonts w:ascii="Garamond" w:hAnsi="Garamond"/>
              </w:rPr>
            </w:pPr>
          </w:p>
          <w:p w14:paraId="21BCBA7E" w14:textId="77777777" w:rsidR="002F157D" w:rsidRPr="005D1C5A" w:rsidRDefault="002F157D" w:rsidP="00DE6DBD">
            <w:pPr>
              <w:pStyle w:val="ListParagraph"/>
              <w:numPr>
                <w:ilvl w:val="0"/>
                <w:numId w:val="3"/>
              </w:numPr>
              <w:jc w:val="both"/>
              <w:rPr>
                <w:rFonts w:ascii="Garamond" w:hAnsi="Garamond"/>
              </w:rPr>
            </w:pPr>
            <w:r w:rsidRPr="005D1C5A">
              <w:rPr>
                <w:rFonts w:ascii="Garamond" w:hAnsi="Garamond"/>
                <w:b/>
              </w:rPr>
              <w:t>Nighttime lights (NTL) at the city level measures output at the city level.</w:t>
            </w:r>
            <w:r w:rsidRPr="005D1C5A">
              <w:rPr>
                <w:rFonts w:ascii="Garamond" w:hAnsi="Garamond"/>
              </w:rPr>
              <w:t xml:space="preserve"> Since city-level GDP is typically not available, researchers have used the intensity of an area’s nighttime lights as a proxy for its level of economic activity.  NTL net of (log) population at the city level measures average labor productivity at the city level. </w:t>
            </w:r>
          </w:p>
          <w:p w14:paraId="604B3EDA" w14:textId="77777777" w:rsidR="002F157D" w:rsidRDefault="002F157D" w:rsidP="00DE6DBD">
            <w:pPr>
              <w:jc w:val="both"/>
              <w:rPr>
                <w:rFonts w:ascii="Garamond" w:hAnsi="Garamond"/>
              </w:rPr>
            </w:pPr>
          </w:p>
          <w:p w14:paraId="41B70B2F" w14:textId="77777777" w:rsidR="002F157D" w:rsidRPr="005D1C5A" w:rsidRDefault="002F157D" w:rsidP="00DE6DBD">
            <w:pPr>
              <w:pStyle w:val="ListParagraph"/>
              <w:numPr>
                <w:ilvl w:val="0"/>
                <w:numId w:val="3"/>
              </w:numPr>
              <w:jc w:val="both"/>
              <w:rPr>
                <w:rFonts w:ascii="Garamond" w:hAnsi="Garamond"/>
              </w:rPr>
            </w:pPr>
            <w:r w:rsidRPr="005D1C5A">
              <w:rPr>
                <w:rFonts w:ascii="Garamond" w:hAnsi="Garamond"/>
                <w:b/>
              </w:rPr>
              <w:t>Average nominal wages at the city level</w:t>
            </w:r>
            <w:r w:rsidRPr="005D1C5A">
              <w:rPr>
                <w:rFonts w:ascii="Garamond" w:hAnsi="Garamond"/>
              </w:rPr>
              <w:t xml:space="preserve"> is a commonly used measure of a worker’s productivity in the urban economics literature, especially in literature that estimates the strength of agglomeration economies. All other things equal, a city that pays a higher average nominal wage can be considered to have a higher average level of labor productivity.  </w:t>
            </w:r>
          </w:p>
          <w:p w14:paraId="2634E9AF" w14:textId="77777777" w:rsidR="002F157D" w:rsidRDefault="002F157D" w:rsidP="00DE6DBD">
            <w:pPr>
              <w:jc w:val="both"/>
              <w:rPr>
                <w:rFonts w:ascii="Garamond" w:hAnsi="Garamond"/>
              </w:rPr>
            </w:pPr>
          </w:p>
          <w:p w14:paraId="56F5AFB8" w14:textId="77777777" w:rsidR="002F157D" w:rsidRDefault="002F157D" w:rsidP="00DE6DBD">
            <w:pPr>
              <w:pStyle w:val="ListParagraph"/>
              <w:numPr>
                <w:ilvl w:val="0"/>
                <w:numId w:val="3"/>
              </w:numPr>
              <w:jc w:val="both"/>
              <w:rPr>
                <w:rFonts w:ascii="Garamond" w:hAnsi="Garamond"/>
              </w:rPr>
            </w:pPr>
            <w:r w:rsidRPr="005D1C5A">
              <w:rPr>
                <w:rFonts w:ascii="Garamond" w:hAnsi="Garamond"/>
                <w:b/>
              </w:rPr>
              <w:t>Average nominal wages net of individual worker characteristics at the city level</w:t>
            </w:r>
            <w:r w:rsidRPr="005D1C5A">
              <w:rPr>
                <w:rFonts w:ascii="Garamond" w:hAnsi="Garamond"/>
              </w:rPr>
              <w:t xml:space="preserve"> measures a city’s labor productivity, having controlled for differences in the composition of its workforce. If workers with the same observable characteristics (such as age, education, marital status, and gender) who live in different cities within a country earn different wages, it must be because their cities have different productivity levels. </w:t>
            </w:r>
          </w:p>
          <w:p w14:paraId="2A631B2F" w14:textId="77777777" w:rsidR="002F157D" w:rsidRPr="00CB0116" w:rsidRDefault="002F157D" w:rsidP="00DE6DBD">
            <w:pPr>
              <w:pStyle w:val="ListParagraph"/>
              <w:rPr>
                <w:rFonts w:ascii="Garamond" w:hAnsi="Garamond"/>
              </w:rPr>
            </w:pPr>
          </w:p>
          <w:p w14:paraId="37169EC9" w14:textId="77777777" w:rsidR="002F157D" w:rsidRPr="00B30BDE" w:rsidRDefault="002F157D" w:rsidP="00DE6DBD">
            <w:pPr>
              <w:pStyle w:val="ListParagraph"/>
              <w:numPr>
                <w:ilvl w:val="0"/>
                <w:numId w:val="3"/>
              </w:numPr>
              <w:jc w:val="both"/>
              <w:rPr>
                <w:rFonts w:ascii="Garamond" w:hAnsi="Garamond"/>
                <w:b/>
              </w:rPr>
            </w:pPr>
            <w:r w:rsidRPr="00CB0116">
              <w:rPr>
                <w:rFonts w:ascii="Garamond" w:hAnsi="Garamond"/>
                <w:b/>
              </w:rPr>
              <w:t>Location premia</w:t>
            </w:r>
            <w:r>
              <w:rPr>
                <w:rFonts w:ascii="Garamond" w:hAnsi="Garamond"/>
                <w:b/>
              </w:rPr>
              <w:t xml:space="preserve"> </w:t>
            </w:r>
            <w:r>
              <w:rPr>
                <w:rFonts w:ascii="Garamond" w:hAnsi="Garamond"/>
              </w:rPr>
              <w:t xml:space="preserve">are calculated through augmented Mincerian wage regressions (nominal wages), where the estimated coefficients can be interpreted as an estimated of its (natural) log of underlying productivity (or location premium). </w:t>
            </w:r>
          </w:p>
          <w:p w14:paraId="5E8E5E77" w14:textId="4237530C" w:rsidR="00100C06" w:rsidRPr="002F157D" w:rsidRDefault="00100C06" w:rsidP="00DE6DBD">
            <w:pPr>
              <w:pStyle w:val="Default"/>
              <w:jc w:val="both"/>
              <w:rPr>
                <w:rFonts w:ascii="Garamond" w:hAnsi="Garamond" w:cstheme="minorBidi"/>
                <w:color w:val="auto"/>
                <w:sz w:val="22"/>
                <w:szCs w:val="22"/>
              </w:rPr>
            </w:pPr>
          </w:p>
          <w:p w14:paraId="33DC558D" w14:textId="77777777" w:rsidR="002F157D" w:rsidRDefault="002F157D" w:rsidP="00DE6DBD">
            <w:pPr>
              <w:pStyle w:val="Default"/>
              <w:jc w:val="both"/>
              <w:rPr>
                <w:rFonts w:ascii="Garamond" w:hAnsi="Garamond" w:cstheme="minorBidi"/>
                <w:b/>
                <w:color w:val="auto"/>
                <w:sz w:val="22"/>
                <w:szCs w:val="22"/>
              </w:rPr>
            </w:pPr>
            <w:r>
              <w:rPr>
                <w:rFonts w:ascii="Garamond" w:hAnsi="Garamond" w:cstheme="minorBidi"/>
                <w:b/>
                <w:color w:val="auto"/>
                <w:sz w:val="22"/>
                <w:szCs w:val="22"/>
              </w:rPr>
              <w:t>Selection of c</w:t>
            </w:r>
            <w:r w:rsidRPr="00100C06">
              <w:rPr>
                <w:rFonts w:ascii="Garamond" w:hAnsi="Garamond" w:cstheme="minorBidi"/>
                <w:b/>
                <w:color w:val="auto"/>
                <w:sz w:val="22"/>
                <w:szCs w:val="22"/>
              </w:rPr>
              <w:t>omparator countries</w:t>
            </w:r>
            <w:r>
              <w:rPr>
                <w:rFonts w:ascii="Garamond" w:hAnsi="Garamond" w:cstheme="minorBidi"/>
                <w:b/>
                <w:color w:val="auto"/>
                <w:sz w:val="22"/>
                <w:szCs w:val="22"/>
              </w:rPr>
              <w:t>:</w:t>
            </w:r>
          </w:p>
          <w:p w14:paraId="26CAC2F6" w14:textId="77777777" w:rsidR="002F157D" w:rsidRDefault="002F157D" w:rsidP="00DE6DBD">
            <w:pPr>
              <w:pStyle w:val="Default"/>
              <w:jc w:val="both"/>
              <w:rPr>
                <w:rFonts w:ascii="Garamond" w:hAnsi="Garamond" w:cstheme="minorBidi"/>
                <w:color w:val="auto"/>
                <w:sz w:val="22"/>
                <w:szCs w:val="22"/>
              </w:rPr>
            </w:pPr>
          </w:p>
          <w:p w14:paraId="27D6543A" w14:textId="2C77DD44" w:rsidR="00100C06" w:rsidRPr="002F157D" w:rsidRDefault="002F157D" w:rsidP="00DE6DBD">
            <w:pPr>
              <w:pStyle w:val="Default"/>
              <w:jc w:val="both"/>
              <w:rPr>
                <w:rFonts w:ascii="Garamond" w:hAnsi="Garamond" w:cstheme="minorBidi"/>
                <w:b/>
                <w:color w:val="auto"/>
                <w:sz w:val="22"/>
                <w:szCs w:val="22"/>
              </w:rPr>
            </w:pPr>
            <w:r>
              <w:rPr>
                <w:rFonts w:ascii="Garamond" w:hAnsi="Garamond" w:cstheme="minorBidi"/>
                <w:color w:val="auto"/>
                <w:sz w:val="22"/>
                <w:szCs w:val="22"/>
              </w:rPr>
              <w:t xml:space="preserve">Careful analysis was carried out to select a set of appropriate comparator countries for each LAC country using a two-stage procedure that classified all countries globally according to their geography in a first stage, and then selected “nearest neighbors” in terms of population, land area, and overall mean population density within their group. During this process, </w:t>
            </w:r>
            <w:r w:rsidR="007A1878">
              <w:rPr>
                <w:rFonts w:ascii="Garamond" w:hAnsi="Garamond" w:cstheme="minorBidi"/>
                <w:color w:val="auto"/>
                <w:sz w:val="22"/>
                <w:szCs w:val="22"/>
              </w:rPr>
              <w:t>one country was selected from each of the</w:t>
            </w:r>
            <w:r>
              <w:rPr>
                <w:rFonts w:ascii="Garamond" w:hAnsi="Garamond" w:cstheme="minorBidi"/>
                <w:color w:val="auto"/>
                <w:sz w:val="22"/>
                <w:szCs w:val="22"/>
              </w:rPr>
              <w:t xml:space="preserve"> East-Asia and Pacific</w:t>
            </w:r>
            <w:r w:rsidR="00041406">
              <w:rPr>
                <w:rFonts w:ascii="Garamond" w:hAnsi="Garamond" w:cstheme="minorBidi"/>
                <w:color w:val="auto"/>
                <w:sz w:val="22"/>
                <w:szCs w:val="22"/>
              </w:rPr>
              <w:t xml:space="preserve"> (EAP)</w:t>
            </w:r>
            <w:r w:rsidR="001334CB">
              <w:rPr>
                <w:rFonts w:ascii="Garamond" w:hAnsi="Garamond" w:cstheme="minorBidi"/>
                <w:color w:val="auto"/>
                <w:sz w:val="22"/>
                <w:szCs w:val="22"/>
              </w:rPr>
              <w:t>,</w:t>
            </w:r>
            <w:r>
              <w:rPr>
                <w:rFonts w:ascii="Garamond" w:hAnsi="Garamond" w:cstheme="minorBidi"/>
                <w:color w:val="auto"/>
                <w:sz w:val="22"/>
                <w:szCs w:val="22"/>
              </w:rPr>
              <w:t xml:space="preserve"> and Europe and Central Asia</w:t>
            </w:r>
            <w:r w:rsidR="00041406">
              <w:rPr>
                <w:rFonts w:ascii="Garamond" w:hAnsi="Garamond" w:cstheme="minorBidi"/>
                <w:color w:val="auto"/>
                <w:sz w:val="22"/>
                <w:szCs w:val="22"/>
              </w:rPr>
              <w:t xml:space="preserve"> (ECA)</w:t>
            </w:r>
            <w:r>
              <w:rPr>
                <w:rFonts w:ascii="Garamond" w:hAnsi="Garamond" w:cstheme="minorBidi"/>
                <w:color w:val="auto"/>
                <w:sz w:val="22"/>
                <w:szCs w:val="22"/>
              </w:rPr>
              <w:t xml:space="preserve"> regions; the last comparator was chosen unrestricted from the rest of the world.  </w:t>
            </w:r>
            <w:r w:rsidR="00100C06" w:rsidRPr="002F157D">
              <w:rPr>
                <w:rFonts w:ascii="Garamond" w:hAnsi="Garamond" w:cstheme="minorBidi"/>
                <w:color w:val="auto"/>
                <w:sz w:val="22"/>
                <w:szCs w:val="22"/>
              </w:rPr>
              <w:t xml:space="preserve">For </w:t>
            </w:r>
            <w:r w:rsidR="0066195C" w:rsidRPr="002F157D">
              <w:rPr>
                <w:rFonts w:ascii="Garamond" w:hAnsi="Garamond" w:cstheme="minorBidi"/>
                <w:color w:val="auto"/>
                <w:sz w:val="22"/>
                <w:szCs w:val="22"/>
              </w:rPr>
              <w:t>Brazil</w:t>
            </w:r>
            <w:r w:rsidR="00100C06" w:rsidRPr="002F157D">
              <w:rPr>
                <w:rFonts w:ascii="Garamond" w:hAnsi="Garamond" w:cstheme="minorBidi"/>
                <w:color w:val="auto"/>
                <w:sz w:val="22"/>
                <w:szCs w:val="22"/>
              </w:rPr>
              <w:t xml:space="preserve">, these are (1) </w:t>
            </w:r>
            <w:r w:rsidR="00AB7092" w:rsidRPr="002F157D">
              <w:rPr>
                <w:rFonts w:ascii="Garamond" w:hAnsi="Garamond" w:cstheme="minorBidi"/>
                <w:color w:val="auto"/>
                <w:sz w:val="22"/>
                <w:szCs w:val="22"/>
              </w:rPr>
              <w:t>China</w:t>
            </w:r>
            <w:r w:rsidR="00100C06" w:rsidRPr="002F157D">
              <w:rPr>
                <w:rFonts w:ascii="Garamond" w:hAnsi="Garamond" w:cstheme="minorBidi"/>
                <w:color w:val="auto"/>
                <w:sz w:val="22"/>
                <w:szCs w:val="22"/>
              </w:rPr>
              <w:t xml:space="preserve">, (2) </w:t>
            </w:r>
            <w:r w:rsidR="00AB7092" w:rsidRPr="002F157D">
              <w:rPr>
                <w:rFonts w:ascii="Garamond" w:hAnsi="Garamond" w:cstheme="minorBidi"/>
                <w:color w:val="auto"/>
                <w:sz w:val="22"/>
                <w:szCs w:val="22"/>
              </w:rPr>
              <w:t xml:space="preserve">Turkey </w:t>
            </w:r>
            <w:r w:rsidR="00100C06" w:rsidRPr="002F157D">
              <w:rPr>
                <w:rFonts w:ascii="Garamond" w:hAnsi="Garamond" w:cstheme="minorBidi"/>
                <w:color w:val="auto"/>
                <w:sz w:val="22"/>
                <w:szCs w:val="22"/>
              </w:rPr>
              <w:t xml:space="preserve">and (3) </w:t>
            </w:r>
            <w:r w:rsidR="00AB7092" w:rsidRPr="002F157D">
              <w:rPr>
                <w:rFonts w:ascii="Garamond" w:hAnsi="Garamond" w:cstheme="minorBidi"/>
                <w:color w:val="auto"/>
                <w:sz w:val="22"/>
                <w:szCs w:val="22"/>
              </w:rPr>
              <w:t>United States</w:t>
            </w:r>
            <w:r w:rsidR="00100C06" w:rsidRPr="002F157D">
              <w:rPr>
                <w:rFonts w:ascii="Garamond" w:hAnsi="Garamond" w:cstheme="minorBidi"/>
                <w:color w:val="auto"/>
                <w:sz w:val="22"/>
                <w:szCs w:val="22"/>
              </w:rPr>
              <w:t xml:space="preserve"> (Global Comparators); and </w:t>
            </w:r>
            <w:r w:rsidR="00AB7092" w:rsidRPr="002F157D">
              <w:rPr>
                <w:rFonts w:ascii="Garamond" w:hAnsi="Garamond" w:cstheme="minorBidi"/>
                <w:color w:val="auto"/>
                <w:sz w:val="22"/>
                <w:szCs w:val="22"/>
              </w:rPr>
              <w:t>United Sta</w:t>
            </w:r>
            <w:r w:rsidR="00E67ABA" w:rsidRPr="002F157D">
              <w:rPr>
                <w:rFonts w:ascii="Garamond" w:hAnsi="Garamond" w:cstheme="minorBidi"/>
                <w:color w:val="auto"/>
                <w:sz w:val="22"/>
                <w:szCs w:val="22"/>
              </w:rPr>
              <w:t>t</w:t>
            </w:r>
            <w:r w:rsidR="00AB7092" w:rsidRPr="002F157D">
              <w:rPr>
                <w:rFonts w:ascii="Garamond" w:hAnsi="Garamond" w:cstheme="minorBidi"/>
                <w:color w:val="auto"/>
                <w:sz w:val="22"/>
                <w:szCs w:val="22"/>
              </w:rPr>
              <w:t>es</w:t>
            </w:r>
            <w:r w:rsidR="00746312" w:rsidRPr="002F157D">
              <w:rPr>
                <w:rFonts w:ascii="Garamond" w:hAnsi="Garamond" w:cstheme="minorBidi"/>
                <w:color w:val="auto"/>
                <w:sz w:val="22"/>
                <w:szCs w:val="22"/>
              </w:rPr>
              <w:t xml:space="preserve"> (1)</w:t>
            </w:r>
            <w:r w:rsidR="00100C06" w:rsidRPr="002F157D">
              <w:rPr>
                <w:rFonts w:ascii="Garamond" w:hAnsi="Garamond" w:cstheme="minorBidi"/>
                <w:color w:val="auto"/>
                <w:sz w:val="22"/>
                <w:szCs w:val="22"/>
              </w:rPr>
              <w:t xml:space="preserve">, </w:t>
            </w:r>
            <w:r w:rsidR="00AB7092" w:rsidRPr="002F157D">
              <w:rPr>
                <w:rFonts w:ascii="Garamond" w:hAnsi="Garamond" w:cstheme="minorBidi"/>
                <w:color w:val="auto"/>
                <w:sz w:val="22"/>
                <w:szCs w:val="22"/>
              </w:rPr>
              <w:t>Canada</w:t>
            </w:r>
            <w:r w:rsidR="00100C06" w:rsidRPr="002F157D">
              <w:rPr>
                <w:rFonts w:ascii="Garamond" w:hAnsi="Garamond" w:cstheme="minorBidi"/>
                <w:color w:val="auto"/>
                <w:sz w:val="22"/>
                <w:szCs w:val="22"/>
              </w:rPr>
              <w:t xml:space="preserve"> </w:t>
            </w:r>
            <w:r w:rsidR="00746312" w:rsidRPr="002F157D">
              <w:rPr>
                <w:rFonts w:ascii="Garamond" w:hAnsi="Garamond" w:cstheme="minorBidi"/>
                <w:color w:val="auto"/>
                <w:sz w:val="22"/>
                <w:szCs w:val="22"/>
              </w:rPr>
              <w:t xml:space="preserve">(2) </w:t>
            </w:r>
            <w:r w:rsidR="00100C06" w:rsidRPr="002F157D">
              <w:rPr>
                <w:rFonts w:ascii="Garamond" w:hAnsi="Garamond" w:cstheme="minorBidi"/>
                <w:color w:val="auto"/>
                <w:sz w:val="22"/>
                <w:szCs w:val="22"/>
              </w:rPr>
              <w:t xml:space="preserve">and </w:t>
            </w:r>
            <w:r w:rsidR="00AB7092" w:rsidRPr="002F157D">
              <w:rPr>
                <w:rFonts w:ascii="Garamond" w:hAnsi="Garamond" w:cstheme="minorBidi"/>
                <w:color w:val="auto"/>
                <w:sz w:val="22"/>
                <w:szCs w:val="22"/>
              </w:rPr>
              <w:t>Saudi Arab</w:t>
            </w:r>
            <w:r w:rsidR="00E67ABA" w:rsidRPr="002F157D">
              <w:rPr>
                <w:rFonts w:ascii="Garamond" w:hAnsi="Garamond" w:cstheme="minorBidi"/>
                <w:color w:val="auto"/>
                <w:sz w:val="22"/>
                <w:szCs w:val="22"/>
              </w:rPr>
              <w:t>ia</w:t>
            </w:r>
            <w:r w:rsidR="00100C06" w:rsidRPr="002F157D">
              <w:rPr>
                <w:rFonts w:ascii="Garamond" w:hAnsi="Garamond" w:cstheme="minorBidi"/>
                <w:color w:val="auto"/>
                <w:sz w:val="22"/>
                <w:szCs w:val="22"/>
              </w:rPr>
              <w:t xml:space="preserve"> </w:t>
            </w:r>
            <w:r w:rsidR="00746312" w:rsidRPr="002F157D">
              <w:rPr>
                <w:rFonts w:ascii="Garamond" w:hAnsi="Garamond" w:cstheme="minorBidi"/>
                <w:color w:val="auto"/>
                <w:sz w:val="22"/>
                <w:szCs w:val="22"/>
              </w:rPr>
              <w:t xml:space="preserve">(3) </w:t>
            </w:r>
            <w:r w:rsidR="00100C06" w:rsidRPr="002F157D">
              <w:rPr>
                <w:rFonts w:ascii="Garamond" w:hAnsi="Garamond" w:cstheme="minorBidi"/>
                <w:color w:val="auto"/>
                <w:sz w:val="22"/>
                <w:szCs w:val="22"/>
              </w:rPr>
              <w:t>(High-income comparators).</w:t>
            </w:r>
          </w:p>
          <w:p w14:paraId="69F06814" w14:textId="77777777" w:rsidR="00222AB2" w:rsidRDefault="00222AB2" w:rsidP="00DE6DBD">
            <w:pPr>
              <w:pStyle w:val="Default"/>
              <w:jc w:val="both"/>
              <w:rPr>
                <w:rFonts w:ascii="Garamond" w:hAnsi="Garamond" w:cstheme="minorBidi"/>
                <w:color w:val="auto"/>
                <w:sz w:val="22"/>
                <w:szCs w:val="22"/>
              </w:rPr>
            </w:pPr>
          </w:p>
          <w:p w14:paraId="76A1AEE3" w14:textId="785A414E" w:rsidR="00222AB2" w:rsidRPr="00222AB2" w:rsidRDefault="003C47B9" w:rsidP="00DE6DBD">
            <w:pPr>
              <w:pStyle w:val="Default"/>
              <w:jc w:val="both"/>
              <w:rPr>
                <w:rFonts w:ascii="Garamond" w:hAnsi="Garamond" w:cstheme="minorBidi"/>
                <w:i/>
                <w:color w:val="auto"/>
                <w:sz w:val="22"/>
                <w:szCs w:val="22"/>
              </w:rPr>
            </w:pPr>
            <w:r w:rsidRPr="001D7153">
              <w:rPr>
                <w:rFonts w:ascii="Garamond" w:hAnsi="Garamond" w:cstheme="minorBidi"/>
                <w:i/>
                <w:color w:val="auto"/>
                <w:sz w:val="22"/>
                <w:szCs w:val="22"/>
              </w:rPr>
              <w:t>See Boxes O.1 &amp; 2.1, Annexes O.</w:t>
            </w:r>
            <w:r w:rsidRPr="001076F6">
              <w:rPr>
                <w:rFonts w:ascii="Garamond" w:hAnsi="Garamond" w:cstheme="minorBidi"/>
                <w:i/>
                <w:color w:val="auto"/>
                <w:sz w:val="22"/>
                <w:szCs w:val="22"/>
              </w:rPr>
              <w:t>A &amp;</w:t>
            </w:r>
            <w:r w:rsidRPr="001D7153">
              <w:rPr>
                <w:rFonts w:ascii="Garamond" w:hAnsi="Garamond" w:cstheme="minorBidi"/>
                <w:i/>
                <w:color w:val="auto"/>
                <w:sz w:val="22"/>
                <w:szCs w:val="22"/>
              </w:rPr>
              <w:t xml:space="preserve"> 2A in the full report for more details.</w:t>
            </w:r>
          </w:p>
        </w:tc>
      </w:tr>
    </w:tbl>
    <w:p w14:paraId="4DA5CB7F" w14:textId="44964D9D" w:rsidR="00BF5775" w:rsidRDefault="00BF5775" w:rsidP="00DE6DBD">
      <w:pPr>
        <w:spacing w:after="0" w:line="240" w:lineRule="auto"/>
        <w:jc w:val="both"/>
        <w:rPr>
          <w:rFonts w:ascii="Garamond" w:hAnsi="Garamond"/>
          <w:b/>
          <w:smallCaps/>
          <w:color w:val="C00000"/>
          <w:sz w:val="24"/>
        </w:rPr>
      </w:pPr>
    </w:p>
    <w:p w14:paraId="6E288136" w14:textId="77777777" w:rsidR="00616715" w:rsidRDefault="00616715" w:rsidP="00DE6DBD">
      <w:pPr>
        <w:spacing w:after="0" w:line="240" w:lineRule="auto"/>
        <w:jc w:val="both"/>
        <w:rPr>
          <w:rFonts w:ascii="Garamond" w:hAnsi="Garamond"/>
          <w:b/>
          <w:smallCaps/>
          <w:color w:val="C00000"/>
          <w:sz w:val="24"/>
        </w:rPr>
      </w:pPr>
    </w:p>
    <w:p w14:paraId="1327C159" w14:textId="61F272B8" w:rsidR="003F5B35" w:rsidRPr="00AD7FA3" w:rsidRDefault="004E3AF5" w:rsidP="00DE6DBD">
      <w:pPr>
        <w:spacing w:after="0" w:line="240" w:lineRule="auto"/>
        <w:jc w:val="both"/>
        <w:rPr>
          <w:rFonts w:ascii="Garamond" w:hAnsi="Garamond"/>
          <w:b/>
          <w:smallCaps/>
          <w:color w:val="C00000"/>
          <w:sz w:val="24"/>
        </w:rPr>
      </w:pPr>
      <w:r>
        <w:rPr>
          <w:rFonts w:ascii="Garamond" w:hAnsi="Garamond"/>
          <w:b/>
          <w:smallCaps/>
          <w:color w:val="C00000"/>
          <w:sz w:val="24"/>
        </w:rPr>
        <w:t>A B</w:t>
      </w:r>
      <w:r w:rsidR="001C787E" w:rsidRPr="00057ACC">
        <w:rPr>
          <w:rFonts w:ascii="Garamond" w:hAnsi="Garamond"/>
          <w:b/>
          <w:smallCaps/>
          <w:color w:val="C00000"/>
          <w:sz w:val="24"/>
        </w:rPr>
        <w:t>alance</w:t>
      </w:r>
      <w:r w:rsidR="000D2CE1" w:rsidRPr="00057ACC">
        <w:rPr>
          <w:rFonts w:ascii="Garamond" w:hAnsi="Garamond"/>
          <w:b/>
          <w:smallCaps/>
          <w:color w:val="C00000"/>
          <w:sz w:val="24"/>
        </w:rPr>
        <w:t>d</w:t>
      </w:r>
      <w:r>
        <w:rPr>
          <w:rFonts w:ascii="Garamond" w:hAnsi="Garamond"/>
          <w:b/>
          <w:smallCaps/>
          <w:color w:val="C00000"/>
          <w:sz w:val="24"/>
        </w:rPr>
        <w:t xml:space="preserve"> System of P</w:t>
      </w:r>
      <w:r w:rsidR="000D2CE1" w:rsidRPr="00057ACC">
        <w:rPr>
          <w:rFonts w:ascii="Garamond" w:hAnsi="Garamond"/>
          <w:b/>
          <w:smallCaps/>
          <w:color w:val="C00000"/>
          <w:sz w:val="24"/>
        </w:rPr>
        <w:t>roductiv</w:t>
      </w:r>
      <w:r w:rsidR="005352B2">
        <w:rPr>
          <w:rFonts w:ascii="Garamond" w:hAnsi="Garamond"/>
          <w:b/>
          <w:smallCaps/>
          <w:color w:val="C00000"/>
          <w:sz w:val="24"/>
        </w:rPr>
        <w:t>e</w:t>
      </w:r>
      <w:r>
        <w:rPr>
          <w:rFonts w:ascii="Garamond" w:hAnsi="Garamond"/>
          <w:b/>
          <w:smallCaps/>
          <w:color w:val="C00000"/>
          <w:sz w:val="24"/>
        </w:rPr>
        <w:t xml:space="preserve"> &amp; D</w:t>
      </w:r>
      <w:r w:rsidR="00541B41">
        <w:rPr>
          <w:rFonts w:ascii="Garamond" w:hAnsi="Garamond"/>
          <w:b/>
          <w:smallCaps/>
          <w:color w:val="C00000"/>
          <w:sz w:val="24"/>
        </w:rPr>
        <w:t>ense</w:t>
      </w:r>
      <w:r w:rsidR="00D41424" w:rsidRPr="00D41424">
        <w:rPr>
          <w:rFonts w:ascii="Garamond" w:hAnsi="Garamond"/>
          <w:b/>
          <w:smallCaps/>
          <w:color w:val="C00000"/>
          <w:sz w:val="24"/>
        </w:rPr>
        <w:t xml:space="preserve"> </w:t>
      </w:r>
      <w:r w:rsidR="00D41424">
        <w:rPr>
          <w:rFonts w:ascii="Garamond" w:hAnsi="Garamond"/>
          <w:b/>
          <w:smallCaps/>
          <w:color w:val="C00000"/>
          <w:sz w:val="24"/>
        </w:rPr>
        <w:t>Cities</w:t>
      </w:r>
      <w:r>
        <w:rPr>
          <w:rFonts w:ascii="Garamond" w:hAnsi="Garamond"/>
          <w:b/>
          <w:smallCaps/>
          <w:color w:val="C00000"/>
          <w:sz w:val="24"/>
        </w:rPr>
        <w:t xml:space="preserve"> </w:t>
      </w:r>
      <w:r w:rsidR="00544108">
        <w:rPr>
          <w:rFonts w:ascii="Garamond" w:hAnsi="Garamond"/>
          <w:b/>
          <w:smallCaps/>
          <w:color w:val="C00000"/>
          <w:sz w:val="24"/>
        </w:rPr>
        <w:t>With Yet Untapped Potential</w:t>
      </w:r>
    </w:p>
    <w:p w14:paraId="0C8E4DF2" w14:textId="507F9F78" w:rsidR="002460B4" w:rsidRDefault="007F74C0" w:rsidP="00DE6DBD">
      <w:pPr>
        <w:spacing w:before="240" w:line="240" w:lineRule="auto"/>
        <w:jc w:val="both"/>
        <w:rPr>
          <w:rFonts w:ascii="Garamond" w:hAnsi="Garamond"/>
          <w:szCs w:val="24"/>
        </w:rPr>
      </w:pPr>
      <w:r>
        <w:rPr>
          <w:rFonts w:ascii="Garamond" w:hAnsi="Garamond"/>
          <w:b/>
        </w:rPr>
        <w:t xml:space="preserve">Brazil </w:t>
      </w:r>
      <w:r w:rsidR="00E509DE" w:rsidRPr="00E82195">
        <w:rPr>
          <w:rFonts w:ascii="Garamond" w:hAnsi="Garamond"/>
          <w:b/>
        </w:rPr>
        <w:t>is</w:t>
      </w:r>
      <w:r w:rsidR="00F86B44">
        <w:rPr>
          <w:rFonts w:ascii="Garamond" w:hAnsi="Garamond"/>
          <w:b/>
        </w:rPr>
        <w:t xml:space="preserve"> the fifth most populous country in the world (2016); </w:t>
      </w:r>
      <w:r w:rsidR="002460B4">
        <w:rPr>
          <w:rFonts w:ascii="Garamond" w:hAnsi="Garamond"/>
          <w:b/>
        </w:rPr>
        <w:t xml:space="preserve">it has high </w:t>
      </w:r>
      <w:r w:rsidR="00C1757B">
        <w:rPr>
          <w:rFonts w:ascii="Garamond" w:hAnsi="Garamond"/>
          <w:b/>
        </w:rPr>
        <w:t xml:space="preserve">levels of </w:t>
      </w:r>
      <w:r w:rsidR="002460B4">
        <w:rPr>
          <w:rFonts w:ascii="Garamond" w:hAnsi="Garamond"/>
          <w:b/>
        </w:rPr>
        <w:t xml:space="preserve">urbanization </w:t>
      </w:r>
      <w:r w:rsidR="00C1757B">
        <w:rPr>
          <w:rFonts w:ascii="Garamond" w:hAnsi="Garamond"/>
          <w:b/>
        </w:rPr>
        <w:t>consistent with</w:t>
      </w:r>
      <w:r w:rsidR="004B5FAE">
        <w:rPr>
          <w:rFonts w:ascii="Garamond" w:hAnsi="Garamond"/>
          <w:b/>
        </w:rPr>
        <w:t xml:space="preserve"> LAC averages</w:t>
      </w:r>
      <w:r w:rsidR="002460B4">
        <w:rPr>
          <w:rFonts w:ascii="Garamond" w:hAnsi="Garamond"/>
          <w:b/>
        </w:rPr>
        <w:t>.</w:t>
      </w:r>
      <w:r w:rsidR="007114A5">
        <w:rPr>
          <w:rFonts w:ascii="Garamond" w:hAnsi="Garamond"/>
          <w:szCs w:val="24"/>
        </w:rPr>
        <w:t xml:space="preserve"> </w:t>
      </w:r>
      <w:r w:rsidR="007114A5" w:rsidRPr="00E509DE">
        <w:rPr>
          <w:rFonts w:ascii="Garamond" w:hAnsi="Garamond"/>
          <w:szCs w:val="24"/>
        </w:rPr>
        <w:t xml:space="preserve">By 1960, </w:t>
      </w:r>
      <w:r w:rsidR="007114A5" w:rsidRPr="00843A5C">
        <w:rPr>
          <w:rFonts w:ascii="Garamond" w:hAnsi="Garamond"/>
          <w:szCs w:val="24"/>
        </w:rPr>
        <w:t>on official urbanization measures, half of LAC’s population lived in urban areas, a milestone achieved globally only in 2008. By 2016, more than 80 percent of the region’s population lived in urban areas.</w:t>
      </w:r>
      <w:r w:rsidR="007114A5" w:rsidRPr="007114A5">
        <w:rPr>
          <w:rFonts w:ascii="Garamond" w:hAnsi="Garamond"/>
          <w:szCs w:val="24"/>
        </w:rPr>
        <w:t xml:space="preserve"> </w:t>
      </w:r>
      <w:r w:rsidR="007114A5" w:rsidRPr="00843A5C">
        <w:rPr>
          <w:rFonts w:ascii="Garamond" w:hAnsi="Garamond"/>
          <w:szCs w:val="24"/>
        </w:rPr>
        <w:t>While using consistent measures of urbanization across countries</w:t>
      </w:r>
      <w:r w:rsidR="007114A5" w:rsidRPr="007114A5">
        <w:rPr>
          <w:vertAlign w:val="superscript"/>
        </w:rPr>
        <w:footnoteReference w:id="3"/>
      </w:r>
      <w:r w:rsidR="007114A5" w:rsidRPr="00843A5C">
        <w:rPr>
          <w:rFonts w:ascii="Garamond" w:hAnsi="Garamond"/>
          <w:szCs w:val="24"/>
        </w:rPr>
        <w:t xml:space="preserve"> brings LAC’s </w:t>
      </w:r>
      <w:r w:rsidR="007114A5" w:rsidRPr="00843A5C">
        <w:rPr>
          <w:rFonts w:ascii="Garamond" w:hAnsi="Garamond"/>
          <w:szCs w:val="24"/>
        </w:rPr>
        <w:lastRenderedPageBreak/>
        <w:t xml:space="preserve">urban share closer to that of the rest of the </w:t>
      </w:r>
      <w:r w:rsidR="007114A5" w:rsidRPr="002460B4">
        <w:rPr>
          <w:rFonts w:ascii="Garamond" w:hAnsi="Garamond"/>
          <w:szCs w:val="24"/>
        </w:rPr>
        <w:t xml:space="preserve">world, they remain high. </w:t>
      </w:r>
      <w:r w:rsidR="002460B4" w:rsidRPr="002460B4">
        <w:rPr>
          <w:rFonts w:ascii="Garamond" w:hAnsi="Garamond"/>
          <w:szCs w:val="24"/>
        </w:rPr>
        <w:t>Brazil is similar</w:t>
      </w:r>
      <w:r w:rsidR="00FC6495">
        <w:rPr>
          <w:rFonts w:ascii="Garamond" w:hAnsi="Garamond"/>
          <w:szCs w:val="24"/>
        </w:rPr>
        <w:t xml:space="preserve">. More than 85 percent of the population lives in officially defined urban areas. While the share is between 70-80 percent by harmonized definitions, they remain </w:t>
      </w:r>
      <w:r w:rsidR="002B2F4D">
        <w:rPr>
          <w:rFonts w:ascii="Garamond" w:hAnsi="Garamond"/>
          <w:szCs w:val="24"/>
        </w:rPr>
        <w:t>almost as high</w:t>
      </w:r>
      <w:r w:rsidR="00FC6495">
        <w:rPr>
          <w:rFonts w:ascii="Garamond" w:hAnsi="Garamond"/>
          <w:szCs w:val="24"/>
        </w:rPr>
        <w:t xml:space="preserve"> and in line with the region’s averages</w:t>
      </w:r>
      <w:r w:rsidR="00EC39EB">
        <w:rPr>
          <w:rFonts w:ascii="Garamond" w:hAnsi="Garamond"/>
          <w:szCs w:val="24"/>
        </w:rPr>
        <w:t xml:space="preserve"> (71-78 percent by the same measures)</w:t>
      </w:r>
      <w:r w:rsidR="00FC6495">
        <w:rPr>
          <w:rFonts w:ascii="Garamond" w:hAnsi="Garamond"/>
          <w:szCs w:val="24"/>
        </w:rPr>
        <w:t>.</w:t>
      </w:r>
    </w:p>
    <w:p w14:paraId="6D903346" w14:textId="459C3055" w:rsidR="00057ACC" w:rsidRDefault="00E3697A" w:rsidP="00DE6DBD">
      <w:pPr>
        <w:spacing w:line="240" w:lineRule="auto"/>
        <w:jc w:val="both"/>
        <w:rPr>
          <w:rFonts w:ascii="Garamond" w:hAnsi="Garamond"/>
        </w:rPr>
      </w:pPr>
      <w:r>
        <w:rPr>
          <w:rFonts w:ascii="Garamond" w:hAnsi="Garamond"/>
          <w:b/>
        </w:rPr>
        <w:t xml:space="preserve">On average, </w:t>
      </w:r>
      <w:r w:rsidR="00D82D0D">
        <w:rPr>
          <w:rFonts w:ascii="Garamond" w:hAnsi="Garamond"/>
          <w:b/>
        </w:rPr>
        <w:t>Brazilian cities</w:t>
      </w:r>
      <w:r w:rsidR="00C1757B">
        <w:rPr>
          <w:rFonts w:ascii="Garamond" w:hAnsi="Garamond"/>
          <w:b/>
        </w:rPr>
        <w:t xml:space="preserve"> have high densities</w:t>
      </w:r>
      <w:r w:rsidR="009C2BC7">
        <w:rPr>
          <w:rFonts w:ascii="Garamond" w:hAnsi="Garamond"/>
          <w:b/>
        </w:rPr>
        <w:t>, that foster agglomeration economies</w:t>
      </w:r>
      <w:r w:rsidR="00C1757B">
        <w:rPr>
          <w:rFonts w:ascii="Garamond" w:hAnsi="Garamond"/>
          <w:b/>
        </w:rPr>
        <w:t xml:space="preserve">. </w:t>
      </w:r>
      <w:r w:rsidR="00C1757B" w:rsidRPr="006B622E">
        <w:rPr>
          <w:rFonts w:ascii="Garamond" w:hAnsi="Garamond"/>
        </w:rPr>
        <w:t>LAC exhibits urban densities that are well abov</w:t>
      </w:r>
      <w:r w:rsidR="00C1757B" w:rsidRPr="00B11CD9">
        <w:rPr>
          <w:rFonts w:ascii="Garamond" w:hAnsi="Garamond"/>
        </w:rPr>
        <w:t>e the world average (almost 2,400 people per square km vs. just over 1,500</w:t>
      </w:r>
      <w:r w:rsidR="00C1757B">
        <w:rPr>
          <w:rFonts w:ascii="Garamond" w:hAnsi="Garamond"/>
        </w:rPr>
        <w:t xml:space="preserve"> worldwide</w:t>
      </w:r>
      <w:r w:rsidR="00C1757B" w:rsidRPr="00B11CD9">
        <w:rPr>
          <w:rFonts w:ascii="Garamond" w:hAnsi="Garamond"/>
        </w:rPr>
        <w:t xml:space="preserve">). </w:t>
      </w:r>
      <w:r w:rsidR="00DB762A">
        <w:rPr>
          <w:rFonts w:ascii="Garamond" w:hAnsi="Garamond"/>
        </w:rPr>
        <w:t xml:space="preserve">Population density is above the global median in </w:t>
      </w:r>
      <w:r w:rsidR="00DB762A" w:rsidRPr="00B11CD9">
        <w:rPr>
          <w:rFonts w:ascii="Garamond" w:hAnsi="Garamond"/>
        </w:rPr>
        <w:t xml:space="preserve">80 percent of LAC cities. </w:t>
      </w:r>
      <w:r w:rsidR="00DB762A">
        <w:rPr>
          <w:rFonts w:ascii="Garamond" w:hAnsi="Garamond"/>
        </w:rPr>
        <w:t xml:space="preserve">In contrast, in the </w:t>
      </w:r>
      <w:r w:rsidR="00DB762A" w:rsidRPr="00E740A7">
        <w:rPr>
          <w:rFonts w:ascii="Garamond" w:hAnsi="Garamond"/>
        </w:rPr>
        <w:t>more developed regions of ECA and North Amer</w:t>
      </w:r>
      <w:r w:rsidR="00DB762A">
        <w:rPr>
          <w:rFonts w:ascii="Garamond" w:hAnsi="Garamond"/>
        </w:rPr>
        <w:t xml:space="preserve">ica, </w:t>
      </w:r>
      <w:r w:rsidR="00DB762A" w:rsidRPr="00E740A7">
        <w:rPr>
          <w:rFonts w:ascii="Garamond" w:hAnsi="Garamond"/>
        </w:rPr>
        <w:t>less than 14 percent, and a little over 2 percent</w:t>
      </w:r>
      <w:r w:rsidR="00DB762A">
        <w:rPr>
          <w:rFonts w:ascii="Garamond" w:hAnsi="Garamond"/>
        </w:rPr>
        <w:t xml:space="preserve"> of cities respectively, have densities above this median.</w:t>
      </w:r>
      <w:r w:rsidR="00DB762A" w:rsidRPr="00E740A7">
        <w:rPr>
          <w:rFonts w:ascii="Garamond" w:hAnsi="Garamond"/>
        </w:rPr>
        <w:t xml:space="preserve"> </w:t>
      </w:r>
      <w:r w:rsidR="00DB762A">
        <w:rPr>
          <w:rFonts w:ascii="Garamond" w:hAnsi="Garamond"/>
        </w:rPr>
        <w:t xml:space="preserve">The high-density stems from the smaller geographical extent of LAC’s cities. </w:t>
      </w:r>
      <w:r w:rsidR="00A66E32">
        <w:rPr>
          <w:rFonts w:ascii="Garamond" w:hAnsi="Garamond"/>
        </w:rPr>
        <w:t>They are</w:t>
      </w:r>
      <w:r w:rsidR="00DB762A" w:rsidRPr="00B11CD9">
        <w:rPr>
          <w:rFonts w:ascii="Garamond" w:hAnsi="Garamond"/>
        </w:rPr>
        <w:t xml:space="preserve"> the highest in South American cities</w:t>
      </w:r>
      <w:r w:rsidR="00DB762A">
        <w:rPr>
          <w:rFonts w:ascii="Garamond" w:hAnsi="Garamond"/>
        </w:rPr>
        <w:t>:</w:t>
      </w:r>
      <w:r w:rsidR="00DB762A" w:rsidRPr="00B11CD9">
        <w:rPr>
          <w:rFonts w:ascii="Garamond" w:hAnsi="Garamond"/>
        </w:rPr>
        <w:t xml:space="preserve"> </w:t>
      </w:r>
      <w:r w:rsidR="00DB762A">
        <w:rPr>
          <w:rFonts w:ascii="Garamond" w:hAnsi="Garamond"/>
        </w:rPr>
        <w:t>Brazil is one of three countries where 90 percent of urban areas have average</w:t>
      </w:r>
      <w:r w:rsidR="00DB762A" w:rsidRPr="00B11CD9">
        <w:rPr>
          <w:rFonts w:ascii="Garamond" w:hAnsi="Garamond"/>
        </w:rPr>
        <w:t xml:space="preserve"> population densities above the global median</w:t>
      </w:r>
      <w:r w:rsidR="00DB762A">
        <w:rPr>
          <w:rFonts w:ascii="Garamond" w:hAnsi="Garamond"/>
        </w:rPr>
        <w:t xml:space="preserve"> (Figure 1)</w:t>
      </w:r>
      <w:r w:rsidR="00DB762A" w:rsidRPr="00B11CD9">
        <w:rPr>
          <w:rFonts w:ascii="Garamond" w:hAnsi="Garamond"/>
        </w:rPr>
        <w:t xml:space="preserve">. </w:t>
      </w:r>
      <w:r w:rsidR="00DB762A" w:rsidRPr="00205788">
        <w:rPr>
          <w:rFonts w:ascii="Garamond" w:hAnsi="Garamond"/>
        </w:rPr>
        <w:t>High urban densities represent a double-edged sword. On the one hand, they can help stimulate positive agglomeration economies that spur productivity. However, high densities also give rise to adverse congestion forces, which can undermine productivity within cities.</w:t>
      </w:r>
      <w:r w:rsidR="002F0A52">
        <w:rPr>
          <w:rFonts w:ascii="Garamond" w:hAnsi="Garamond"/>
        </w:rPr>
        <w:t xml:space="preserve"> </w:t>
      </w:r>
      <w:r w:rsidR="009C2BC7">
        <w:rPr>
          <w:rFonts w:ascii="Garamond" w:hAnsi="Garamond"/>
        </w:rPr>
        <w:t>In Brazil, evidence suggest</w:t>
      </w:r>
      <w:r w:rsidR="00A66E32">
        <w:rPr>
          <w:rFonts w:ascii="Garamond" w:hAnsi="Garamond"/>
        </w:rPr>
        <w:t>s</w:t>
      </w:r>
      <w:r w:rsidR="009C2BC7">
        <w:rPr>
          <w:rFonts w:ascii="Garamond" w:hAnsi="Garamond"/>
        </w:rPr>
        <w:t xml:space="preserve"> that density contributes to productivity, implying positive agglomer</w:t>
      </w:r>
      <w:r w:rsidR="00412095">
        <w:rPr>
          <w:rFonts w:ascii="Garamond" w:hAnsi="Garamond"/>
        </w:rPr>
        <w:t>ation economies in the country</w:t>
      </w:r>
      <w:r w:rsidR="009C2BC7">
        <w:rPr>
          <w:rFonts w:ascii="Garamond" w:hAnsi="Garamond"/>
        </w:rPr>
        <w:t>. Only Peru and Ecuador in South America seem to have similar positive relationships</w:t>
      </w:r>
      <w:bookmarkStart w:id="2" w:name="_Ref494381564"/>
      <w:bookmarkStart w:id="3" w:name="_Toc499118393"/>
      <w:r w:rsidR="00DC7C9F">
        <w:rPr>
          <w:rFonts w:ascii="Garamond" w:hAnsi="Garamond"/>
        </w:rPr>
        <w:t>.</w:t>
      </w:r>
    </w:p>
    <w:p w14:paraId="14E8A140" w14:textId="381AF797" w:rsidR="00C1757B" w:rsidRPr="004B723F" w:rsidRDefault="00BA007F" w:rsidP="00DE6DBD">
      <w:pPr>
        <w:pStyle w:val="Title1"/>
        <w:jc w:val="center"/>
        <w:rPr>
          <w:rFonts w:ascii="Garamond" w:hAnsi="Garamond"/>
          <w:sz w:val="20"/>
        </w:rPr>
      </w:pPr>
      <w:r w:rsidRPr="00AD2802">
        <w:rPr>
          <w:rFonts w:ascii="Cambria" w:hAnsi="Cambria"/>
          <w:noProof/>
        </w:rPr>
        <mc:AlternateContent>
          <mc:Choice Requires="wps">
            <w:drawing>
              <wp:anchor distT="45720" distB="45720" distL="114300" distR="114300" simplePos="0" relativeHeight="251655680" behindDoc="0" locked="0" layoutInCell="1" allowOverlap="1" wp14:anchorId="44ED66FD" wp14:editId="094F57D0">
                <wp:simplePos x="0" y="0"/>
                <wp:positionH relativeFrom="column">
                  <wp:posOffset>949325</wp:posOffset>
                </wp:positionH>
                <wp:positionV relativeFrom="paragraph">
                  <wp:posOffset>144145</wp:posOffset>
                </wp:positionV>
                <wp:extent cx="1095375" cy="361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w="9525">
                          <a:noFill/>
                          <a:miter lim="800000"/>
                          <a:headEnd/>
                          <a:tailEnd/>
                        </a:ln>
                      </wps:spPr>
                      <wps:txbx>
                        <w:txbxContent>
                          <w:p w14:paraId="238DA973" w14:textId="77777777" w:rsidR="00DC4845" w:rsidRPr="004B723F" w:rsidRDefault="00DC4845" w:rsidP="00C1757B">
                            <w:pPr>
                              <w:rPr>
                                <w:rFonts w:ascii="Cambria" w:hAnsi="Cambria"/>
                                <w:sz w:val="20"/>
                              </w:rPr>
                            </w:pPr>
                            <w:r w:rsidRPr="004B723F">
                              <w:rPr>
                                <w:rFonts w:ascii="Cambria" w:hAnsi="Cambria"/>
                                <w:sz w:val="20"/>
                              </w:rPr>
                              <w:t>South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D66FD" id="_x0000_t202" coordsize="21600,21600" o:spt="202" path="m,l,21600r21600,l21600,xe">
                <v:stroke joinstyle="miter"/>
                <v:path gradientshapeok="t" o:connecttype="rect"/>
              </v:shapetype>
              <v:shape id="Text Box 2" o:spid="_x0000_s1026" type="#_x0000_t202" style="position:absolute;left:0;text-align:left;margin-left:74.75pt;margin-top:11.35pt;width:86.25pt;height:2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" filled="f" stroked="f">
                <v:textbox>
                  <w:txbxContent>
                    <w:p w14:paraId="238DA973" w14:textId="77777777" w:rsidR="00DC4845" w:rsidRPr="004B723F" w:rsidRDefault="00DC4845" w:rsidP="00C1757B">
                      <w:pPr>
                        <w:rPr>
                          <w:rFonts w:ascii="Cambria" w:hAnsi="Cambria"/>
                          <w:sz w:val="20"/>
                        </w:rPr>
                      </w:pPr>
                      <w:r w:rsidRPr="004B723F">
                        <w:rPr>
                          <w:rFonts w:ascii="Cambria" w:hAnsi="Cambria"/>
                          <w:sz w:val="20"/>
                        </w:rPr>
                        <w:t>South America</w:t>
                      </w:r>
                    </w:p>
                  </w:txbxContent>
                </v:textbox>
              </v:shape>
            </w:pict>
          </mc:Fallback>
        </mc:AlternateContent>
      </w:r>
      <w:r w:rsidR="00C1757B" w:rsidRPr="004B723F">
        <w:rPr>
          <w:rFonts w:ascii="Garamond" w:hAnsi="Garamond"/>
          <w:sz w:val="20"/>
        </w:rPr>
        <w:t xml:space="preserve">Figure </w:t>
      </w:r>
      <w:bookmarkEnd w:id="2"/>
      <w:r w:rsidR="00CD76BE">
        <w:rPr>
          <w:rFonts w:ascii="Garamond" w:hAnsi="Garamond"/>
          <w:sz w:val="20"/>
        </w:rPr>
        <w:t>1</w:t>
      </w:r>
      <w:r w:rsidR="00C1757B" w:rsidRPr="004B723F">
        <w:rPr>
          <w:rFonts w:ascii="Garamond" w:hAnsi="Garamond"/>
          <w:sz w:val="20"/>
        </w:rPr>
        <w:t xml:space="preserve">.  </w:t>
      </w:r>
      <w:r w:rsidR="00951FA6">
        <w:rPr>
          <w:rFonts w:ascii="Garamond" w:hAnsi="Garamond"/>
          <w:sz w:val="20"/>
        </w:rPr>
        <w:t>Most Brazilian cities have</w:t>
      </w:r>
      <w:r w:rsidR="00C1757B" w:rsidRPr="004B723F">
        <w:rPr>
          <w:rFonts w:ascii="Garamond" w:hAnsi="Garamond"/>
          <w:sz w:val="20"/>
        </w:rPr>
        <w:t xml:space="preserve"> population densities above the global median</w:t>
      </w:r>
      <w:bookmarkEnd w:id="3"/>
    </w:p>
    <w:p w14:paraId="3B7EC93A" w14:textId="3B2C9348" w:rsidR="00C1757B" w:rsidRPr="00AD2802" w:rsidRDefault="00C1757B" w:rsidP="00DE6DBD">
      <w:pPr>
        <w:pStyle w:val="Title1"/>
        <w:jc w:val="center"/>
        <w:rPr>
          <w:rFonts w:ascii="Cambria" w:hAnsi="Cambria"/>
        </w:rPr>
      </w:pPr>
      <w:r w:rsidRPr="00AD2802">
        <w:rPr>
          <w:rFonts w:ascii="Cambria" w:hAnsi="Cambria"/>
          <w:noProof/>
        </w:rPr>
        <mc:AlternateContent>
          <mc:Choice Requires="wps">
            <w:drawing>
              <wp:anchor distT="45720" distB="45720" distL="114300" distR="114300" simplePos="0" relativeHeight="251657728" behindDoc="0" locked="0" layoutInCell="1" allowOverlap="1" wp14:anchorId="6919F5B9" wp14:editId="45E6548B">
                <wp:simplePos x="0" y="0"/>
                <wp:positionH relativeFrom="column">
                  <wp:posOffset>4481223</wp:posOffset>
                </wp:positionH>
                <wp:positionV relativeFrom="paragraph">
                  <wp:posOffset>31612</wp:posOffset>
                </wp:positionV>
                <wp:extent cx="1095375" cy="255182"/>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55182"/>
                        </a:xfrm>
                        <a:prstGeom prst="rect">
                          <a:avLst/>
                        </a:prstGeom>
                        <a:noFill/>
                        <a:ln w="9525">
                          <a:noFill/>
                          <a:miter lim="800000"/>
                          <a:headEnd/>
                          <a:tailEnd/>
                        </a:ln>
                      </wps:spPr>
                      <wps:txbx>
                        <w:txbxContent>
                          <w:p w14:paraId="257D87F4" w14:textId="77777777" w:rsidR="00DC4845" w:rsidRPr="004B723F" w:rsidRDefault="00DC4845" w:rsidP="00C1757B">
                            <w:pPr>
                              <w:jc w:val="center"/>
                              <w:rPr>
                                <w:rFonts w:ascii="Cambria" w:hAnsi="Cambria"/>
                                <w:sz w:val="20"/>
                              </w:rPr>
                            </w:pPr>
                            <w:r w:rsidRPr="004B723F">
                              <w:rPr>
                                <w:rFonts w:ascii="Cambria" w:hAnsi="Cambria"/>
                                <w:sz w:val="20"/>
                              </w:rPr>
                              <w:t>C.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9F5B9" id="_x0000_s1027" type="#_x0000_t202" style="position:absolute;left:0;text-align:left;margin-left:352.85pt;margin-top:2.5pt;width:86.25pt;height:20.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" filled="f" stroked="f">
                <v:textbox>
                  <w:txbxContent>
                    <w:p w14:paraId="257D87F4" w14:textId="77777777" w:rsidR="00DC4845" w:rsidRPr="004B723F" w:rsidRDefault="00DC4845" w:rsidP="00C1757B">
                      <w:pPr>
                        <w:jc w:val="center"/>
                        <w:rPr>
                          <w:rFonts w:ascii="Cambria" w:hAnsi="Cambria"/>
                          <w:sz w:val="20"/>
                        </w:rPr>
                      </w:pPr>
                      <w:r w:rsidRPr="004B723F">
                        <w:rPr>
                          <w:rFonts w:ascii="Cambria" w:hAnsi="Cambria"/>
                          <w:sz w:val="20"/>
                        </w:rPr>
                        <w:t>C. America</w:t>
                      </w:r>
                    </w:p>
                  </w:txbxContent>
                </v:textbox>
              </v:shape>
            </w:pict>
          </mc:Fallback>
        </mc:AlternateContent>
      </w:r>
      <w:r w:rsidRPr="00AD2802">
        <w:rPr>
          <w:rFonts w:ascii="Cambria" w:hAnsi="Cambria"/>
          <w:noProof/>
        </w:rPr>
        <mc:AlternateContent>
          <mc:Choice Requires="wps">
            <w:drawing>
              <wp:anchor distT="0" distB="0" distL="114300" distR="114300" simplePos="0" relativeHeight="251653632" behindDoc="0" locked="0" layoutInCell="1" allowOverlap="1" wp14:anchorId="7E0206ED" wp14:editId="30462719">
                <wp:simplePos x="0" y="0"/>
                <wp:positionH relativeFrom="column">
                  <wp:posOffset>4358744</wp:posOffset>
                </wp:positionH>
                <wp:positionV relativeFrom="paragraph">
                  <wp:posOffset>8890</wp:posOffset>
                </wp:positionV>
                <wp:extent cx="0" cy="1488558"/>
                <wp:effectExtent l="0" t="0" r="38100" b="16510"/>
                <wp:wrapNone/>
                <wp:docPr id="6" name="Straight Connector 6"/>
                <wp:cNvGraphicFramePr/>
                <a:graphic xmlns:a="http://schemas.openxmlformats.org/drawingml/2006/main">
                  <a:graphicData uri="http://schemas.microsoft.com/office/word/2010/wordprocessingShape">
                    <wps:wsp>
                      <wps:cNvCnPr/>
                      <wps:spPr>
                        <a:xfrm flipH="1" flipV="1">
                          <a:off x="0" y="0"/>
                          <a:ext cx="0" cy="1488558"/>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48829" id="Straight Connector 6"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2pt,.7pt" to="343.2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" strokecolor="black [3213]" strokeweight=".5pt">
                <v:stroke dashstyle="3 1" joinstyle="miter"/>
              </v:line>
            </w:pict>
          </mc:Fallback>
        </mc:AlternateContent>
      </w:r>
      <w:r w:rsidRPr="00AD2802">
        <w:rPr>
          <w:rFonts w:ascii="Cambria" w:hAnsi="Cambria"/>
          <w:noProof/>
        </w:rPr>
        <mc:AlternateContent>
          <mc:Choice Requires="wps">
            <w:drawing>
              <wp:anchor distT="0" distB="0" distL="114300" distR="114300" simplePos="0" relativeHeight="251652608" behindDoc="0" locked="0" layoutInCell="1" allowOverlap="1" wp14:anchorId="16BCACA7" wp14:editId="0E56B251">
                <wp:simplePos x="0" y="0"/>
                <wp:positionH relativeFrom="column">
                  <wp:posOffset>2179438</wp:posOffset>
                </wp:positionH>
                <wp:positionV relativeFrom="paragraph">
                  <wp:posOffset>61757</wp:posOffset>
                </wp:positionV>
                <wp:extent cx="0" cy="1382099"/>
                <wp:effectExtent l="0" t="0" r="38100" b="27940"/>
                <wp:wrapNone/>
                <wp:docPr id="18" name="Straight Connector 18"/>
                <wp:cNvGraphicFramePr/>
                <a:graphic xmlns:a="http://schemas.openxmlformats.org/drawingml/2006/main">
                  <a:graphicData uri="http://schemas.microsoft.com/office/word/2010/wordprocessingShape">
                    <wps:wsp>
                      <wps:cNvCnPr/>
                      <wps:spPr>
                        <a:xfrm flipV="1">
                          <a:off x="0" y="0"/>
                          <a:ext cx="0" cy="1382099"/>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2FA13" id="Straight Connector 18"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4.85pt" to="171.6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" strokecolor="black [3213]" strokeweight=".5pt">
                <v:stroke dashstyle="3 1" joinstyle="miter"/>
              </v:line>
            </w:pict>
          </mc:Fallback>
        </mc:AlternateContent>
      </w:r>
      <w:r w:rsidRPr="00AD2802">
        <w:rPr>
          <w:rFonts w:ascii="Cambria" w:hAnsi="Cambria"/>
          <w:noProof/>
        </w:rPr>
        <mc:AlternateContent>
          <mc:Choice Requires="wps">
            <w:drawing>
              <wp:anchor distT="45720" distB="45720" distL="114300" distR="114300" simplePos="0" relativeHeight="251656704" behindDoc="0" locked="0" layoutInCell="1" allowOverlap="1" wp14:anchorId="0AC41824" wp14:editId="77A5C8A1">
                <wp:simplePos x="0" y="0"/>
                <wp:positionH relativeFrom="column">
                  <wp:posOffset>2724150</wp:posOffset>
                </wp:positionH>
                <wp:positionV relativeFrom="paragraph">
                  <wp:posOffset>1270</wp:posOffset>
                </wp:positionV>
                <wp:extent cx="1095375" cy="3619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w="9525">
                          <a:noFill/>
                          <a:miter lim="800000"/>
                          <a:headEnd/>
                          <a:tailEnd/>
                        </a:ln>
                      </wps:spPr>
                      <wps:txbx>
                        <w:txbxContent>
                          <w:p w14:paraId="5BD55E40" w14:textId="77777777" w:rsidR="00DC4845" w:rsidRPr="004B723F" w:rsidRDefault="00DC4845" w:rsidP="00C1757B">
                            <w:pPr>
                              <w:jc w:val="center"/>
                              <w:rPr>
                                <w:rFonts w:ascii="Cambria" w:hAnsi="Cambria"/>
                                <w:sz w:val="20"/>
                              </w:rPr>
                            </w:pPr>
                            <w:r w:rsidRPr="004B723F">
                              <w:rPr>
                                <w:rFonts w:ascii="Cambria" w:hAnsi="Cambria"/>
                                <w:sz w:val="20"/>
                              </w:rPr>
                              <w:t>Caribbean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41824" id="_x0000_s1028" type="#_x0000_t202" style="position:absolute;left:0;text-align:left;margin-left:214.5pt;margin-top:.1pt;width:86.25pt;height:2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" filled="f" stroked="f">
                <v:textbox>
                  <w:txbxContent>
                    <w:p w14:paraId="5BD55E40" w14:textId="77777777" w:rsidR="00DC4845" w:rsidRPr="004B723F" w:rsidRDefault="00DC4845" w:rsidP="00C1757B">
                      <w:pPr>
                        <w:jc w:val="center"/>
                        <w:rPr>
                          <w:rFonts w:ascii="Cambria" w:hAnsi="Cambria"/>
                          <w:sz w:val="20"/>
                        </w:rPr>
                      </w:pPr>
                      <w:r w:rsidRPr="004B723F">
                        <w:rPr>
                          <w:rFonts w:ascii="Cambria" w:hAnsi="Cambria"/>
                          <w:sz w:val="20"/>
                        </w:rPr>
                        <w:t>Caribbean</w:t>
                      </w:r>
                    </w:p>
                  </w:txbxContent>
                </v:textbox>
              </v:shape>
            </w:pict>
          </mc:Fallback>
        </mc:AlternateContent>
      </w:r>
      <w:r w:rsidRPr="00AD2802">
        <w:rPr>
          <w:rFonts w:ascii="Cambria" w:hAnsi="Cambria"/>
          <w:noProof/>
        </w:rPr>
        <w:drawing>
          <wp:inline distT="0" distB="0" distL="0" distR="0" wp14:anchorId="7F7F441A" wp14:editId="3FCD1E25">
            <wp:extent cx="5605780" cy="2641600"/>
            <wp:effectExtent l="0" t="0" r="0" b="6350"/>
            <wp:docPr id="34" name="Chart 34">
              <a:extLst xmlns:a="http://schemas.openxmlformats.org/drawingml/2006/main">
                <a:ext uri="{FF2B5EF4-FFF2-40B4-BE49-F238E27FC236}">
                  <a16:creationId xmlns:a16="http://schemas.microsoft.com/office/drawing/2014/main" id="{B9987CC6-F7D3-4031-B788-CD598B53E9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FA79A9" w14:textId="24813343" w:rsidR="00C1757B" w:rsidRPr="00951FA6" w:rsidRDefault="00C1757B" w:rsidP="00DE6DBD">
      <w:pPr>
        <w:pStyle w:val="footnotefigure"/>
        <w:ind w:left="270" w:right="450"/>
        <w:rPr>
          <w:rFonts w:ascii="Garamond" w:hAnsi="Garamond"/>
          <w:sz w:val="16"/>
        </w:rPr>
      </w:pPr>
      <w:r w:rsidRPr="00951FA6">
        <w:rPr>
          <w:rFonts w:ascii="Garamond" w:hAnsi="Garamond"/>
          <w:b/>
          <w:i/>
          <w:sz w:val="16"/>
        </w:rPr>
        <w:t xml:space="preserve">Source: </w:t>
      </w:r>
      <w:r w:rsidRPr="00951FA6">
        <w:rPr>
          <w:rFonts w:ascii="Garamond" w:hAnsi="Garamond"/>
          <w:sz w:val="16"/>
        </w:rPr>
        <w:t xml:space="preserve">Calculations based on analysis of urban areas defined using the cluster algorithm of Dijkstra and Poelman (2014), as applied to LandScan 2012 gridded population data. Notes in </w:t>
      </w:r>
      <w:r w:rsidR="00E4384E" w:rsidRPr="0029748B">
        <w:rPr>
          <w:rFonts w:ascii="Garamond" w:hAnsi="Garamond" w:cstheme="minorHAnsi"/>
          <w:sz w:val="16"/>
        </w:rPr>
        <w:t>Ferreyra and Roberts (eds.) 2018.</w:t>
      </w:r>
    </w:p>
    <w:p w14:paraId="26BA4F1D" w14:textId="77777777" w:rsidR="008B1848" w:rsidRDefault="008B1848" w:rsidP="00DE6DBD">
      <w:pPr>
        <w:spacing w:line="240" w:lineRule="auto"/>
        <w:jc w:val="both"/>
        <w:rPr>
          <w:rFonts w:ascii="Garamond" w:hAnsi="Garamond"/>
          <w:b/>
          <w:szCs w:val="24"/>
        </w:rPr>
      </w:pPr>
    </w:p>
    <w:p w14:paraId="23E6158E" w14:textId="670CDCD5" w:rsidR="00D41424" w:rsidRDefault="007A13B9" w:rsidP="00DE6DBD">
      <w:pPr>
        <w:pStyle w:val="Title1"/>
        <w:spacing w:before="0"/>
        <w:jc w:val="center"/>
        <w:rPr>
          <w:rFonts w:ascii="Garamond" w:hAnsi="Garamond"/>
          <w:sz w:val="20"/>
        </w:rPr>
      </w:pPr>
      <w:r>
        <w:rPr>
          <w:rFonts w:ascii="Garamond" w:hAnsi="Garamond"/>
          <w:szCs w:val="24"/>
        </w:rPr>
        <w:t xml:space="preserve">Within the region, </w:t>
      </w:r>
      <w:r w:rsidR="001C787E" w:rsidRPr="000D2CE1">
        <w:rPr>
          <w:rFonts w:ascii="Garamond" w:hAnsi="Garamond"/>
          <w:szCs w:val="24"/>
        </w:rPr>
        <w:t>Brazilian cities have</w:t>
      </w:r>
      <w:r>
        <w:rPr>
          <w:rFonts w:ascii="Garamond" w:hAnsi="Garamond"/>
          <w:szCs w:val="24"/>
        </w:rPr>
        <w:t xml:space="preserve"> relatively</w:t>
      </w:r>
      <w:r w:rsidR="001C787E" w:rsidRPr="000D2CE1">
        <w:rPr>
          <w:rFonts w:ascii="Garamond" w:hAnsi="Garamond"/>
          <w:szCs w:val="24"/>
        </w:rPr>
        <w:t xml:space="preserve"> </w:t>
      </w:r>
      <w:r w:rsidR="00267BA7" w:rsidRPr="000D2CE1">
        <w:rPr>
          <w:rFonts w:ascii="Garamond" w:hAnsi="Garamond"/>
          <w:szCs w:val="24"/>
        </w:rPr>
        <w:t xml:space="preserve">high-levels of productivity, </w:t>
      </w:r>
      <w:r w:rsidR="001C787E" w:rsidRPr="000D2CE1">
        <w:rPr>
          <w:rFonts w:ascii="Garamond" w:hAnsi="Garamond"/>
          <w:szCs w:val="24"/>
        </w:rPr>
        <w:t>with five cities among LAC’s top ten</w:t>
      </w:r>
      <w:r w:rsidR="00951FA6">
        <w:rPr>
          <w:rFonts w:ascii="Garamond" w:hAnsi="Garamond"/>
          <w:szCs w:val="24"/>
        </w:rPr>
        <w:t xml:space="preserve"> </w:t>
      </w:r>
      <w:r w:rsidR="00951FA6" w:rsidRPr="0029748B">
        <w:rPr>
          <w:rFonts w:ascii="Garamond" w:hAnsi="Garamond" w:cstheme="minorHAnsi"/>
        </w:rPr>
        <w:t>in terms of absolute economic activity</w:t>
      </w:r>
      <w:r w:rsidR="00676474">
        <w:rPr>
          <w:rFonts w:ascii="Garamond" w:hAnsi="Garamond"/>
        </w:rPr>
        <w:t>.</w:t>
      </w:r>
      <w:r w:rsidR="00BF29E2" w:rsidRPr="00BF29E2">
        <w:rPr>
          <w:rFonts w:ascii="Garamond" w:hAnsi="Garamond"/>
        </w:rPr>
        <w:t xml:space="preserve"> LAC urban areas tend to have levels of economic activity significantly greater than that predicted based on their populations</w:t>
      </w:r>
      <w:r w:rsidR="00BF29E2">
        <w:rPr>
          <w:rFonts w:ascii="Garamond" w:hAnsi="Garamond"/>
        </w:rPr>
        <w:t xml:space="preserve"> </w:t>
      </w:r>
      <w:r w:rsidR="00BF29E2" w:rsidRPr="00BF29E2">
        <w:rPr>
          <w:rFonts w:ascii="Garamond" w:hAnsi="Garamond"/>
        </w:rPr>
        <w:t>—relative to the rest of the world they are, on average, more productive</w:t>
      </w:r>
      <w:r w:rsidR="0042037D">
        <w:rPr>
          <w:rFonts w:ascii="Garamond" w:hAnsi="Garamond"/>
        </w:rPr>
        <w:t>.</w:t>
      </w:r>
      <w:r w:rsidR="00BF29E2">
        <w:rPr>
          <w:rStyle w:val="FootnoteReference"/>
          <w:rFonts w:ascii="Garamond" w:hAnsi="Garamond"/>
        </w:rPr>
        <w:footnoteReference w:id="4"/>
      </w:r>
      <w:r w:rsidR="003E15BB" w:rsidRPr="00267BA7">
        <w:rPr>
          <w:rFonts w:ascii="Garamond" w:hAnsi="Garamond"/>
        </w:rPr>
        <w:t xml:space="preserve"> </w:t>
      </w:r>
      <w:r w:rsidR="00BF29E2">
        <w:rPr>
          <w:rFonts w:ascii="Garamond" w:hAnsi="Garamond"/>
        </w:rPr>
        <w:t xml:space="preserve">Cities </w:t>
      </w:r>
      <w:r w:rsidR="00B84F13" w:rsidRPr="00267BA7">
        <w:rPr>
          <w:rFonts w:ascii="Garamond" w:hAnsi="Garamond"/>
        </w:rPr>
        <w:t xml:space="preserve">in South America </w:t>
      </w:r>
      <w:r w:rsidR="00BF29E2">
        <w:rPr>
          <w:rFonts w:ascii="Garamond" w:hAnsi="Garamond"/>
        </w:rPr>
        <w:t xml:space="preserve">and Mexico </w:t>
      </w:r>
      <w:r w:rsidR="00BF29E2" w:rsidRPr="00FC52EA">
        <w:rPr>
          <w:rFonts w:ascii="Garamond" w:hAnsi="Garamond"/>
        </w:rPr>
        <w:t xml:space="preserve">drive these results. </w:t>
      </w:r>
      <w:r w:rsidR="002600DE" w:rsidRPr="00FC52EA">
        <w:rPr>
          <w:rFonts w:ascii="Garamond" w:hAnsi="Garamond"/>
        </w:rPr>
        <w:t>Half of the 10 cities</w:t>
      </w:r>
      <w:r w:rsidR="00951FA6">
        <w:rPr>
          <w:rFonts w:ascii="Garamond" w:hAnsi="Garamond"/>
        </w:rPr>
        <w:t xml:space="preserve"> with the highest economic outputs</w:t>
      </w:r>
      <w:r w:rsidR="002600DE" w:rsidRPr="00FC52EA">
        <w:rPr>
          <w:rFonts w:ascii="Garamond" w:hAnsi="Garamond"/>
        </w:rPr>
        <w:t xml:space="preserve"> in LAC are in Brazil</w:t>
      </w:r>
      <w:r w:rsidR="00BF29E2" w:rsidRPr="00FC52EA">
        <w:rPr>
          <w:rFonts w:ascii="Garamond" w:hAnsi="Garamond"/>
        </w:rPr>
        <w:t xml:space="preserve">. </w:t>
      </w:r>
      <w:r w:rsidR="00BF29E2" w:rsidRPr="00FC52EA">
        <w:rPr>
          <w:rFonts w:ascii="Garamond" w:hAnsi="Garamond"/>
        </w:rPr>
        <w:lastRenderedPageBreak/>
        <w:t>Based on nighttime lights data</w:t>
      </w:r>
      <w:r w:rsidR="00BF29E2" w:rsidRPr="00FC52EA">
        <w:rPr>
          <w:rStyle w:val="FootnoteReference"/>
          <w:rFonts w:ascii="Garamond" w:hAnsi="Garamond"/>
        </w:rPr>
        <w:footnoteReference w:id="5"/>
      </w:r>
      <w:r w:rsidR="00BF29E2" w:rsidRPr="00FC52EA">
        <w:rPr>
          <w:rFonts w:ascii="Garamond" w:hAnsi="Garamond"/>
        </w:rPr>
        <w:t xml:space="preserve">, Table 1 shows the 10 urban areas in LAC with the highest estimated absolute economic activity. </w:t>
      </w:r>
      <w:r w:rsidR="00FC52EA" w:rsidRPr="00FC52EA">
        <w:rPr>
          <w:rFonts w:ascii="Garamond" w:hAnsi="Garamond"/>
        </w:rPr>
        <w:t xml:space="preserve">Sao Paulo is second in LAC </w:t>
      </w:r>
      <w:r w:rsidR="00BF29E2" w:rsidRPr="00FC52EA">
        <w:rPr>
          <w:rFonts w:ascii="Garamond" w:hAnsi="Garamond"/>
        </w:rPr>
        <w:t xml:space="preserve">from a </w:t>
      </w:r>
      <w:r w:rsidR="00BF29E2" w:rsidRPr="009021F0">
        <w:rPr>
          <w:rFonts w:ascii="Garamond" w:hAnsi="Garamond"/>
          <w:i/>
        </w:rPr>
        <w:t>labor productivity</w:t>
      </w:r>
      <w:r w:rsidR="00BF29E2" w:rsidRPr="00FC52EA">
        <w:rPr>
          <w:rFonts w:ascii="Garamond" w:hAnsi="Garamond"/>
        </w:rPr>
        <w:t xml:space="preserve"> standpoint</w:t>
      </w:r>
      <w:r w:rsidR="00FC52EA" w:rsidRPr="00FC52EA">
        <w:rPr>
          <w:rFonts w:ascii="Garamond" w:hAnsi="Garamond"/>
        </w:rPr>
        <w:t xml:space="preserve">; </w:t>
      </w:r>
      <w:r w:rsidR="00DC7C9F">
        <w:rPr>
          <w:rFonts w:ascii="Garamond" w:hAnsi="Garamond"/>
        </w:rPr>
        <w:t xml:space="preserve">together </w:t>
      </w:r>
      <w:r w:rsidR="00A2184B">
        <w:rPr>
          <w:rFonts w:ascii="Garamond" w:hAnsi="Garamond"/>
        </w:rPr>
        <w:t>with Rio de Jane</w:t>
      </w:r>
      <w:r w:rsidR="00FC52EA" w:rsidRPr="00FC52EA">
        <w:rPr>
          <w:rFonts w:ascii="Garamond" w:hAnsi="Garamond"/>
        </w:rPr>
        <w:t>i</w:t>
      </w:r>
      <w:r w:rsidR="00A2184B">
        <w:rPr>
          <w:rFonts w:ascii="Garamond" w:hAnsi="Garamond"/>
        </w:rPr>
        <w:t>r</w:t>
      </w:r>
      <w:r w:rsidR="00FC52EA" w:rsidRPr="00FC52EA">
        <w:rPr>
          <w:rFonts w:ascii="Garamond" w:hAnsi="Garamond"/>
        </w:rPr>
        <w:t>o, Brasilia, Porto Alegre and Belo Horizonte</w:t>
      </w:r>
      <w:r w:rsidR="00A2184B">
        <w:rPr>
          <w:rFonts w:ascii="Garamond" w:hAnsi="Garamond"/>
        </w:rPr>
        <w:t xml:space="preserve"> they are at the top of the regional distribution. Further, </w:t>
      </w:r>
      <w:r w:rsidR="00FC52EA" w:rsidRPr="00FC52EA">
        <w:rPr>
          <w:rFonts w:ascii="Garamond" w:hAnsi="Garamond"/>
        </w:rPr>
        <w:t>Brazilian cities</w:t>
      </w:r>
      <w:r w:rsidR="008942BE" w:rsidRPr="00FC52EA">
        <w:rPr>
          <w:rFonts w:ascii="Garamond" w:hAnsi="Garamond"/>
        </w:rPr>
        <w:t xml:space="preserve"> </w:t>
      </w:r>
      <w:r w:rsidR="00100C06" w:rsidRPr="00FC52EA">
        <w:rPr>
          <w:rFonts w:ascii="Garamond" w:hAnsi="Garamond"/>
        </w:rPr>
        <w:t>boasts</w:t>
      </w:r>
      <w:r w:rsidR="008942BE" w:rsidRPr="00FC52EA">
        <w:rPr>
          <w:rFonts w:ascii="Garamond" w:hAnsi="Garamond"/>
        </w:rPr>
        <w:t xml:space="preserve"> high-levels of productivity </w:t>
      </w:r>
      <w:r w:rsidR="00D20565">
        <w:rPr>
          <w:rFonts w:ascii="Garamond" w:hAnsi="Garamond"/>
        </w:rPr>
        <w:t>when</w:t>
      </w:r>
      <w:r w:rsidR="008942BE" w:rsidRPr="00FC52EA">
        <w:rPr>
          <w:rFonts w:ascii="Garamond" w:hAnsi="Garamond"/>
        </w:rPr>
        <w:t xml:space="preserve"> compared to comparators countries</w:t>
      </w:r>
      <w:r w:rsidR="00951FA6">
        <w:rPr>
          <w:rFonts w:ascii="Garamond" w:hAnsi="Garamond"/>
        </w:rPr>
        <w:t xml:space="preserve">, </w:t>
      </w:r>
      <w:r w:rsidR="00BD4C11">
        <w:rPr>
          <w:rFonts w:ascii="Garamond" w:hAnsi="Garamond"/>
        </w:rPr>
        <w:t xml:space="preserve">only significantly lagging against comparator 3, i.e. USA </w:t>
      </w:r>
      <w:r w:rsidR="00951FA6">
        <w:rPr>
          <w:rFonts w:ascii="Garamond" w:hAnsi="Garamond"/>
        </w:rPr>
        <w:t>(Figure 2)</w:t>
      </w:r>
      <w:r w:rsidR="008942BE" w:rsidRPr="00FC52EA">
        <w:rPr>
          <w:rFonts w:ascii="Garamond" w:hAnsi="Garamond"/>
        </w:rPr>
        <w:t>.</w:t>
      </w:r>
      <w:r w:rsidR="00D76F6C">
        <w:rPr>
          <w:rFonts w:ascii="Garamond" w:hAnsi="Garamond"/>
        </w:rPr>
        <w:t xml:space="preserve"> Overall, cities in Brazil are </w:t>
      </w:r>
      <w:r w:rsidR="00A66E32">
        <w:rPr>
          <w:rFonts w:ascii="Garamond" w:hAnsi="Garamond"/>
        </w:rPr>
        <w:t xml:space="preserve">also </w:t>
      </w:r>
      <w:r w:rsidR="00D76F6C">
        <w:rPr>
          <w:rFonts w:ascii="Garamond" w:hAnsi="Garamond"/>
        </w:rPr>
        <w:t xml:space="preserve">twice more productive than rural areas, mirroring worldwide trends and partly reflecting the compositional differences of the </w:t>
      </w:r>
      <w:r w:rsidR="00D20565">
        <w:rPr>
          <w:rFonts w:ascii="Garamond" w:hAnsi="Garamond"/>
        </w:rPr>
        <w:t xml:space="preserve">rural-urban </w:t>
      </w:r>
      <w:r w:rsidR="00D76F6C">
        <w:rPr>
          <w:rFonts w:ascii="Garamond" w:hAnsi="Garamond"/>
        </w:rPr>
        <w:t>populations.</w:t>
      </w:r>
      <w:bookmarkStart w:id="4" w:name="_Ref494383321"/>
      <w:bookmarkStart w:id="5" w:name="_Toc499118450"/>
      <w:r w:rsidR="00B23EC6" w:rsidRPr="00E82195">
        <w:rPr>
          <w:rFonts w:ascii="Garamond" w:hAnsi="Garamond"/>
          <w:sz w:val="20"/>
        </w:rPr>
        <w:t xml:space="preserve">Table </w:t>
      </w:r>
      <w:bookmarkEnd w:id="4"/>
      <w:r w:rsidR="00B23EC6" w:rsidRPr="00E82195">
        <w:rPr>
          <w:rFonts w:ascii="Garamond" w:hAnsi="Garamond"/>
          <w:sz w:val="20"/>
        </w:rPr>
        <w:t xml:space="preserve">1.  </w:t>
      </w:r>
      <w:r w:rsidR="00BD4C11">
        <w:rPr>
          <w:rFonts w:ascii="Garamond" w:hAnsi="Garamond"/>
          <w:sz w:val="20"/>
        </w:rPr>
        <w:t xml:space="preserve">Brazilian cities are among </w:t>
      </w:r>
      <w:r w:rsidR="00B23EC6" w:rsidRPr="00E82195">
        <w:rPr>
          <w:rFonts w:ascii="Garamond" w:hAnsi="Garamond"/>
          <w:sz w:val="20"/>
        </w:rPr>
        <w:t>LAC</w:t>
      </w:r>
      <w:r w:rsidR="00BD4C11">
        <w:rPr>
          <w:rFonts w:ascii="Garamond" w:hAnsi="Garamond"/>
          <w:sz w:val="20"/>
        </w:rPr>
        <w:t xml:space="preserve">’s top 10 in terms of </w:t>
      </w:r>
    </w:p>
    <w:p w14:paraId="44C3C1CB" w14:textId="2445C6BD" w:rsidR="00B23EC6" w:rsidRDefault="00B23EC6" w:rsidP="00DE6DBD">
      <w:pPr>
        <w:pStyle w:val="Title1"/>
        <w:spacing w:before="0"/>
        <w:jc w:val="center"/>
        <w:rPr>
          <w:rFonts w:ascii="Garamond" w:hAnsi="Garamond"/>
          <w:sz w:val="20"/>
        </w:rPr>
      </w:pPr>
      <w:r w:rsidRPr="00E82195">
        <w:rPr>
          <w:rFonts w:ascii="Garamond" w:hAnsi="Garamond"/>
          <w:sz w:val="20"/>
        </w:rPr>
        <w:t xml:space="preserve">estimated economic activity measured by </w:t>
      </w:r>
      <w:r w:rsidR="008F5BF1">
        <w:rPr>
          <w:rFonts w:ascii="Garamond" w:hAnsi="Garamond"/>
          <w:sz w:val="20"/>
        </w:rPr>
        <w:t>NTL</w:t>
      </w:r>
      <w:r w:rsidRPr="00E82195">
        <w:rPr>
          <w:rFonts w:ascii="Garamond" w:hAnsi="Garamond"/>
          <w:sz w:val="20"/>
        </w:rPr>
        <w:t xml:space="preserve">  2015</w:t>
      </w:r>
      <w:bookmarkEnd w:id="5"/>
    </w:p>
    <w:p w14:paraId="5919463C" w14:textId="77777777" w:rsidR="008F5BF1" w:rsidRPr="00E82195" w:rsidRDefault="008F5BF1" w:rsidP="00DE6DBD">
      <w:pPr>
        <w:pStyle w:val="Title1"/>
        <w:spacing w:before="0"/>
        <w:jc w:val="center"/>
        <w:rPr>
          <w:rFonts w:ascii="Garamond" w:hAnsi="Garamond"/>
          <w:sz w:val="20"/>
        </w:rPr>
      </w:pPr>
    </w:p>
    <w:tbl>
      <w:tblPr>
        <w:tblW w:w="5950" w:type="dxa"/>
        <w:jc w:val="center"/>
        <w:tblLook w:val="04A0" w:firstRow="1" w:lastRow="0" w:firstColumn="1" w:lastColumn="0" w:noHBand="0" w:noVBand="1"/>
      </w:tblPr>
      <w:tblGrid>
        <w:gridCol w:w="599"/>
        <w:gridCol w:w="956"/>
        <w:gridCol w:w="1865"/>
        <w:gridCol w:w="821"/>
        <w:gridCol w:w="1049"/>
        <w:gridCol w:w="761"/>
      </w:tblGrid>
      <w:tr w:rsidR="002F0A52" w:rsidRPr="00E82195" w14:paraId="5BCDEB4C" w14:textId="77777777" w:rsidTr="002F0A52">
        <w:trPr>
          <w:trHeight w:hRule="exact" w:val="790"/>
          <w:jc w:val="center"/>
        </w:trPr>
        <w:tc>
          <w:tcPr>
            <w:tcW w:w="599" w:type="dxa"/>
            <w:tcBorders>
              <w:top w:val="single" w:sz="8" w:space="0" w:color="auto"/>
              <w:left w:val="nil"/>
              <w:bottom w:val="single" w:sz="8" w:space="0" w:color="auto"/>
              <w:right w:val="nil"/>
            </w:tcBorders>
            <w:shd w:val="clear" w:color="auto" w:fill="D9D9D9" w:themeFill="background1" w:themeFillShade="D9"/>
            <w:noWrap/>
            <w:vAlign w:val="center"/>
            <w:hideMark/>
          </w:tcPr>
          <w:p w14:paraId="24EE6AAE" w14:textId="77777777" w:rsidR="002F0A52" w:rsidRPr="00E82195" w:rsidRDefault="002F0A52" w:rsidP="00DE6DBD">
            <w:pPr>
              <w:keepNext/>
              <w:spacing w:line="240" w:lineRule="auto"/>
              <w:jc w:val="center"/>
              <w:rPr>
                <w:rFonts w:ascii="Cambria" w:eastAsia="Times New Roman" w:hAnsi="Cambria" w:cs="Times New Roman"/>
                <w:b/>
                <w:color w:val="000000"/>
                <w:sz w:val="16"/>
              </w:rPr>
            </w:pPr>
            <w:r w:rsidRPr="00E82195">
              <w:rPr>
                <w:rFonts w:ascii="Cambria" w:eastAsia="Times New Roman" w:hAnsi="Cambria" w:cs="Times New Roman"/>
                <w:b/>
                <w:color w:val="000000"/>
                <w:sz w:val="16"/>
              </w:rPr>
              <w:t>Rank</w:t>
            </w:r>
          </w:p>
        </w:tc>
        <w:tc>
          <w:tcPr>
            <w:tcW w:w="956" w:type="dxa"/>
            <w:tcBorders>
              <w:top w:val="single" w:sz="8" w:space="0" w:color="auto"/>
              <w:left w:val="nil"/>
              <w:bottom w:val="single" w:sz="8" w:space="0" w:color="auto"/>
              <w:right w:val="nil"/>
            </w:tcBorders>
            <w:shd w:val="clear" w:color="auto" w:fill="D9D9D9" w:themeFill="background1" w:themeFillShade="D9"/>
            <w:noWrap/>
            <w:vAlign w:val="center"/>
            <w:hideMark/>
          </w:tcPr>
          <w:p w14:paraId="697F5832" w14:textId="77777777" w:rsidR="002F0A52" w:rsidRPr="00E82195" w:rsidRDefault="002F0A52" w:rsidP="00DE6DBD">
            <w:pPr>
              <w:keepNext/>
              <w:spacing w:line="240" w:lineRule="auto"/>
              <w:rPr>
                <w:rFonts w:ascii="Cambria" w:eastAsia="Times New Roman" w:hAnsi="Cambria" w:cs="Times New Roman"/>
                <w:b/>
                <w:color w:val="000000"/>
                <w:sz w:val="16"/>
              </w:rPr>
            </w:pPr>
            <w:r w:rsidRPr="00E82195">
              <w:rPr>
                <w:rFonts w:ascii="Cambria" w:eastAsia="Times New Roman" w:hAnsi="Cambria" w:cs="Times New Roman"/>
                <w:b/>
                <w:color w:val="000000"/>
                <w:sz w:val="16"/>
              </w:rPr>
              <w:t>Country</w:t>
            </w:r>
          </w:p>
        </w:tc>
        <w:tc>
          <w:tcPr>
            <w:tcW w:w="1865" w:type="dxa"/>
            <w:tcBorders>
              <w:top w:val="single" w:sz="8" w:space="0" w:color="auto"/>
              <w:left w:val="nil"/>
              <w:bottom w:val="single" w:sz="8" w:space="0" w:color="auto"/>
              <w:right w:val="nil"/>
            </w:tcBorders>
            <w:shd w:val="clear" w:color="auto" w:fill="D9D9D9" w:themeFill="background1" w:themeFillShade="D9"/>
            <w:noWrap/>
            <w:vAlign w:val="center"/>
            <w:hideMark/>
          </w:tcPr>
          <w:p w14:paraId="55675ED7" w14:textId="77777777" w:rsidR="002F0A52" w:rsidRPr="00E82195" w:rsidRDefault="002F0A52" w:rsidP="00DE6DBD">
            <w:pPr>
              <w:keepNext/>
              <w:spacing w:line="240" w:lineRule="auto"/>
              <w:rPr>
                <w:rFonts w:ascii="Cambria" w:eastAsia="Times New Roman" w:hAnsi="Cambria" w:cs="Times New Roman"/>
                <w:b/>
                <w:color w:val="000000"/>
                <w:sz w:val="16"/>
              </w:rPr>
            </w:pPr>
            <w:r w:rsidRPr="00E82195">
              <w:rPr>
                <w:rFonts w:ascii="Cambria" w:eastAsia="Times New Roman" w:hAnsi="Cambria" w:cs="Times New Roman"/>
                <w:b/>
                <w:color w:val="000000"/>
                <w:sz w:val="16"/>
              </w:rPr>
              <w:t>Urban area</w:t>
            </w:r>
          </w:p>
        </w:tc>
        <w:tc>
          <w:tcPr>
            <w:tcW w:w="720" w:type="dxa"/>
            <w:tcBorders>
              <w:top w:val="single" w:sz="8" w:space="0" w:color="auto"/>
              <w:left w:val="nil"/>
              <w:bottom w:val="single" w:sz="8" w:space="0" w:color="auto"/>
              <w:right w:val="nil"/>
            </w:tcBorders>
            <w:shd w:val="clear" w:color="auto" w:fill="D9D9D9" w:themeFill="background1" w:themeFillShade="D9"/>
            <w:noWrap/>
            <w:vAlign w:val="center"/>
            <w:hideMark/>
          </w:tcPr>
          <w:p w14:paraId="79AE2E6D" w14:textId="77777777" w:rsidR="002F0A52" w:rsidRPr="00E82195" w:rsidRDefault="002F0A52" w:rsidP="00DE6DBD">
            <w:pPr>
              <w:keepNext/>
              <w:spacing w:line="240" w:lineRule="auto"/>
              <w:jc w:val="center"/>
              <w:rPr>
                <w:rFonts w:ascii="Cambria" w:eastAsia="Times New Roman" w:hAnsi="Cambria" w:cs="Times New Roman"/>
                <w:b/>
                <w:color w:val="000000"/>
                <w:sz w:val="16"/>
              </w:rPr>
            </w:pPr>
            <w:r w:rsidRPr="00E82195">
              <w:rPr>
                <w:rFonts w:ascii="Cambria" w:eastAsia="Times New Roman" w:hAnsi="Cambria" w:cs="Times New Roman"/>
                <w:b/>
                <w:color w:val="000000"/>
                <w:sz w:val="16"/>
              </w:rPr>
              <w:t xml:space="preserve">Relative sum of lights </w:t>
            </w:r>
          </w:p>
        </w:tc>
        <w:tc>
          <w:tcPr>
            <w:tcW w:w="1049" w:type="dxa"/>
            <w:tcBorders>
              <w:top w:val="single" w:sz="8" w:space="0" w:color="auto"/>
              <w:left w:val="nil"/>
              <w:bottom w:val="single" w:sz="8" w:space="0" w:color="auto"/>
              <w:right w:val="nil"/>
            </w:tcBorders>
            <w:shd w:val="clear" w:color="auto" w:fill="D9D9D9" w:themeFill="background1" w:themeFillShade="D9"/>
            <w:noWrap/>
            <w:vAlign w:val="center"/>
            <w:hideMark/>
          </w:tcPr>
          <w:p w14:paraId="2A380103" w14:textId="77777777" w:rsidR="002F0A52" w:rsidRPr="00E82195" w:rsidRDefault="002F0A52" w:rsidP="00DE6DBD">
            <w:pPr>
              <w:keepNext/>
              <w:spacing w:line="240" w:lineRule="auto"/>
              <w:jc w:val="center"/>
              <w:rPr>
                <w:rFonts w:ascii="Cambria" w:eastAsia="Times New Roman" w:hAnsi="Cambria" w:cs="Times New Roman"/>
                <w:b/>
                <w:color w:val="000000"/>
                <w:sz w:val="16"/>
              </w:rPr>
            </w:pPr>
            <w:r w:rsidRPr="00E82195">
              <w:rPr>
                <w:rFonts w:ascii="Cambria" w:eastAsia="Times New Roman" w:hAnsi="Cambria" w:cs="Times New Roman"/>
                <w:b/>
                <w:color w:val="000000"/>
                <w:sz w:val="16"/>
              </w:rPr>
              <w:t>Population</w:t>
            </w:r>
          </w:p>
        </w:tc>
        <w:tc>
          <w:tcPr>
            <w:tcW w:w="761" w:type="dxa"/>
            <w:tcBorders>
              <w:top w:val="single" w:sz="8" w:space="0" w:color="auto"/>
              <w:left w:val="nil"/>
              <w:bottom w:val="single" w:sz="8" w:space="0" w:color="auto"/>
              <w:right w:val="nil"/>
            </w:tcBorders>
            <w:shd w:val="clear" w:color="auto" w:fill="D9D9D9" w:themeFill="background1" w:themeFillShade="D9"/>
            <w:noWrap/>
            <w:vAlign w:val="center"/>
            <w:hideMark/>
          </w:tcPr>
          <w:p w14:paraId="418B9BD8" w14:textId="77777777" w:rsidR="002F0A52" w:rsidRPr="00E82195" w:rsidRDefault="002F0A52" w:rsidP="00DE6DBD">
            <w:pPr>
              <w:keepNext/>
              <w:spacing w:line="240" w:lineRule="auto"/>
              <w:jc w:val="center"/>
              <w:rPr>
                <w:rFonts w:ascii="Cambria" w:eastAsia="Times New Roman" w:hAnsi="Cambria" w:cs="Times New Roman"/>
                <w:b/>
                <w:color w:val="000000"/>
                <w:sz w:val="16"/>
              </w:rPr>
            </w:pPr>
            <w:r w:rsidRPr="00E82195">
              <w:rPr>
                <w:rFonts w:ascii="Cambria" w:eastAsia="Times New Roman" w:hAnsi="Cambria" w:cs="Times New Roman"/>
                <w:b/>
                <w:color w:val="000000"/>
                <w:sz w:val="16"/>
              </w:rPr>
              <w:t xml:space="preserve">Pop. density </w:t>
            </w:r>
          </w:p>
        </w:tc>
      </w:tr>
      <w:tr w:rsidR="002F0A52" w:rsidRPr="00E82195" w14:paraId="1C15390A" w14:textId="77777777" w:rsidTr="002F0A52">
        <w:trPr>
          <w:trHeight w:hRule="exact" w:val="229"/>
          <w:jc w:val="center"/>
        </w:trPr>
        <w:tc>
          <w:tcPr>
            <w:tcW w:w="599" w:type="dxa"/>
            <w:tcBorders>
              <w:top w:val="nil"/>
              <w:left w:val="nil"/>
              <w:bottom w:val="nil"/>
              <w:right w:val="nil"/>
            </w:tcBorders>
            <w:shd w:val="clear" w:color="000000" w:fill="FFFFFF"/>
            <w:noWrap/>
            <w:vAlign w:val="bottom"/>
            <w:hideMark/>
          </w:tcPr>
          <w:p w14:paraId="05C89722"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1</w:t>
            </w:r>
          </w:p>
        </w:tc>
        <w:tc>
          <w:tcPr>
            <w:tcW w:w="956" w:type="dxa"/>
            <w:tcBorders>
              <w:top w:val="nil"/>
              <w:left w:val="nil"/>
              <w:bottom w:val="nil"/>
              <w:right w:val="nil"/>
            </w:tcBorders>
            <w:shd w:val="clear" w:color="000000" w:fill="FFFFFF"/>
            <w:noWrap/>
            <w:vAlign w:val="bottom"/>
            <w:hideMark/>
          </w:tcPr>
          <w:p w14:paraId="7B5AA2A1" w14:textId="77777777" w:rsidR="002F0A52" w:rsidRPr="00B428FA" w:rsidRDefault="002F0A52" w:rsidP="00DE6DBD">
            <w:pPr>
              <w:keepNext/>
              <w:spacing w:line="240" w:lineRule="auto"/>
              <w:rPr>
                <w:rFonts w:ascii="Cambria" w:eastAsia="Times New Roman" w:hAnsi="Cambria" w:cs="Times New Roman"/>
                <w:b/>
                <w:sz w:val="16"/>
              </w:rPr>
            </w:pPr>
            <w:r w:rsidRPr="00B428FA">
              <w:rPr>
                <w:rFonts w:ascii="Cambria" w:eastAsia="Times New Roman" w:hAnsi="Cambria" w:cs="Times New Roman"/>
                <w:b/>
                <w:sz w:val="16"/>
              </w:rPr>
              <w:t>Argentina</w:t>
            </w:r>
          </w:p>
        </w:tc>
        <w:tc>
          <w:tcPr>
            <w:tcW w:w="1865" w:type="dxa"/>
            <w:tcBorders>
              <w:top w:val="nil"/>
              <w:left w:val="nil"/>
              <w:bottom w:val="nil"/>
              <w:right w:val="nil"/>
            </w:tcBorders>
            <w:shd w:val="clear" w:color="000000" w:fill="FFFFFF"/>
            <w:noWrap/>
            <w:vAlign w:val="bottom"/>
            <w:hideMark/>
          </w:tcPr>
          <w:p w14:paraId="5F1DEBEE" w14:textId="77777777" w:rsidR="002F0A52" w:rsidRPr="00B428FA" w:rsidRDefault="002F0A52" w:rsidP="00DE6DBD">
            <w:pPr>
              <w:keepNext/>
              <w:spacing w:line="240" w:lineRule="auto"/>
              <w:rPr>
                <w:rFonts w:ascii="Cambria" w:eastAsia="Times New Roman" w:hAnsi="Cambria" w:cs="Times New Roman"/>
                <w:b/>
                <w:sz w:val="16"/>
              </w:rPr>
            </w:pPr>
            <w:r w:rsidRPr="00B428FA">
              <w:rPr>
                <w:rFonts w:ascii="Cambria" w:eastAsia="Times New Roman" w:hAnsi="Cambria" w:cs="Times New Roman"/>
                <w:b/>
                <w:sz w:val="16"/>
              </w:rPr>
              <w:t>Buenos Aires</w:t>
            </w:r>
          </w:p>
        </w:tc>
        <w:tc>
          <w:tcPr>
            <w:tcW w:w="720" w:type="dxa"/>
            <w:tcBorders>
              <w:top w:val="nil"/>
              <w:left w:val="nil"/>
              <w:bottom w:val="nil"/>
              <w:right w:val="nil"/>
            </w:tcBorders>
            <w:shd w:val="clear" w:color="000000" w:fill="FFFFFF"/>
            <w:noWrap/>
            <w:vAlign w:val="bottom"/>
            <w:hideMark/>
          </w:tcPr>
          <w:p w14:paraId="19F0E39A" w14:textId="77777777" w:rsidR="002F0A52" w:rsidRPr="00B428FA" w:rsidRDefault="002F0A52" w:rsidP="00DE6DBD">
            <w:pPr>
              <w:keepNext/>
              <w:spacing w:line="240" w:lineRule="auto"/>
              <w:jc w:val="center"/>
              <w:rPr>
                <w:rFonts w:ascii="Cambria" w:eastAsia="Times New Roman" w:hAnsi="Cambria" w:cs="Times New Roman"/>
                <w:b/>
                <w:sz w:val="16"/>
              </w:rPr>
            </w:pPr>
            <w:r w:rsidRPr="00B428FA">
              <w:rPr>
                <w:rFonts w:ascii="Cambria" w:eastAsia="Times New Roman" w:hAnsi="Cambria" w:cs="Times New Roman"/>
                <w:b/>
                <w:sz w:val="16"/>
              </w:rPr>
              <w:t>367.1</w:t>
            </w:r>
          </w:p>
        </w:tc>
        <w:tc>
          <w:tcPr>
            <w:tcW w:w="1049" w:type="dxa"/>
            <w:tcBorders>
              <w:top w:val="nil"/>
              <w:left w:val="nil"/>
              <w:bottom w:val="nil"/>
              <w:right w:val="nil"/>
            </w:tcBorders>
            <w:shd w:val="clear" w:color="000000" w:fill="FFFFFF"/>
            <w:noWrap/>
            <w:vAlign w:val="bottom"/>
            <w:hideMark/>
          </w:tcPr>
          <w:p w14:paraId="49585220" w14:textId="77777777" w:rsidR="002F0A52" w:rsidRPr="00B428FA" w:rsidRDefault="002F0A52" w:rsidP="00DE6DBD">
            <w:pPr>
              <w:keepNext/>
              <w:spacing w:line="240" w:lineRule="auto"/>
              <w:jc w:val="center"/>
              <w:rPr>
                <w:rFonts w:ascii="Cambria" w:eastAsia="Times New Roman" w:hAnsi="Cambria" w:cs="Times New Roman"/>
                <w:b/>
                <w:sz w:val="16"/>
              </w:rPr>
            </w:pPr>
            <w:r w:rsidRPr="00B428FA">
              <w:rPr>
                <w:rFonts w:ascii="Cambria" w:eastAsia="Times New Roman" w:hAnsi="Cambria" w:cs="Times New Roman"/>
                <w:b/>
                <w:sz w:val="16"/>
              </w:rPr>
              <w:t>14,183,924</w:t>
            </w:r>
          </w:p>
        </w:tc>
        <w:tc>
          <w:tcPr>
            <w:tcW w:w="761" w:type="dxa"/>
            <w:tcBorders>
              <w:top w:val="nil"/>
              <w:left w:val="nil"/>
              <w:bottom w:val="nil"/>
              <w:right w:val="nil"/>
            </w:tcBorders>
            <w:shd w:val="clear" w:color="000000" w:fill="FFFFFF"/>
            <w:noWrap/>
            <w:vAlign w:val="bottom"/>
            <w:hideMark/>
          </w:tcPr>
          <w:p w14:paraId="5C5384E4" w14:textId="77777777" w:rsidR="002F0A52" w:rsidRPr="00B428FA" w:rsidRDefault="002F0A52" w:rsidP="00DE6DBD">
            <w:pPr>
              <w:keepNext/>
              <w:spacing w:line="240" w:lineRule="auto"/>
              <w:jc w:val="center"/>
              <w:rPr>
                <w:rFonts w:ascii="Cambria" w:eastAsia="Times New Roman" w:hAnsi="Cambria" w:cs="Times New Roman"/>
                <w:b/>
                <w:sz w:val="16"/>
              </w:rPr>
            </w:pPr>
            <w:r w:rsidRPr="00B428FA">
              <w:rPr>
                <w:rFonts w:ascii="Cambria" w:eastAsia="Times New Roman" w:hAnsi="Cambria" w:cs="Times New Roman"/>
                <w:b/>
                <w:sz w:val="16"/>
              </w:rPr>
              <w:t>4,167</w:t>
            </w:r>
          </w:p>
        </w:tc>
      </w:tr>
      <w:tr w:rsidR="002F0A52" w:rsidRPr="00E82195" w14:paraId="4115AA4F" w14:textId="77777777" w:rsidTr="002F0A52">
        <w:trPr>
          <w:trHeight w:hRule="exact" w:val="229"/>
          <w:jc w:val="center"/>
        </w:trPr>
        <w:tc>
          <w:tcPr>
            <w:tcW w:w="599" w:type="dxa"/>
            <w:tcBorders>
              <w:top w:val="nil"/>
              <w:left w:val="nil"/>
              <w:bottom w:val="nil"/>
              <w:right w:val="nil"/>
            </w:tcBorders>
            <w:shd w:val="clear" w:color="000000" w:fill="FFFFFF"/>
            <w:noWrap/>
            <w:vAlign w:val="bottom"/>
            <w:hideMark/>
          </w:tcPr>
          <w:p w14:paraId="7539FAEA"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2</w:t>
            </w:r>
          </w:p>
        </w:tc>
        <w:tc>
          <w:tcPr>
            <w:tcW w:w="956" w:type="dxa"/>
            <w:tcBorders>
              <w:top w:val="nil"/>
              <w:left w:val="nil"/>
              <w:bottom w:val="nil"/>
              <w:right w:val="nil"/>
            </w:tcBorders>
            <w:shd w:val="clear" w:color="000000" w:fill="FFFFFF"/>
            <w:noWrap/>
            <w:vAlign w:val="bottom"/>
            <w:hideMark/>
          </w:tcPr>
          <w:p w14:paraId="4C5BCB62" w14:textId="77777777" w:rsidR="002F0A52" w:rsidRPr="00B428FA" w:rsidRDefault="002F0A52" w:rsidP="00DE6DBD">
            <w:pPr>
              <w:keepNext/>
              <w:spacing w:line="240" w:lineRule="auto"/>
              <w:rPr>
                <w:rFonts w:ascii="Cambria" w:eastAsia="Times New Roman" w:hAnsi="Cambria" w:cs="Times New Roman"/>
                <w:b/>
                <w:color w:val="C00000"/>
                <w:sz w:val="16"/>
              </w:rPr>
            </w:pPr>
            <w:r w:rsidRPr="00B428FA">
              <w:rPr>
                <w:rFonts w:ascii="Cambria" w:eastAsia="Times New Roman" w:hAnsi="Cambria" w:cs="Times New Roman"/>
                <w:b/>
                <w:color w:val="C00000"/>
                <w:sz w:val="16"/>
              </w:rPr>
              <w:t>Brazil</w:t>
            </w:r>
          </w:p>
        </w:tc>
        <w:tc>
          <w:tcPr>
            <w:tcW w:w="1865" w:type="dxa"/>
            <w:tcBorders>
              <w:top w:val="nil"/>
              <w:left w:val="nil"/>
              <w:bottom w:val="nil"/>
              <w:right w:val="nil"/>
            </w:tcBorders>
            <w:shd w:val="clear" w:color="000000" w:fill="FFFFFF"/>
            <w:noWrap/>
            <w:vAlign w:val="bottom"/>
            <w:hideMark/>
          </w:tcPr>
          <w:p w14:paraId="7896497D" w14:textId="77777777" w:rsidR="002F0A52" w:rsidRPr="00B428FA" w:rsidRDefault="002F0A52" w:rsidP="00DE6DBD">
            <w:pPr>
              <w:keepNext/>
              <w:spacing w:line="240" w:lineRule="auto"/>
              <w:rPr>
                <w:rFonts w:ascii="Cambria" w:eastAsia="Times New Roman" w:hAnsi="Cambria" w:cs="Times New Roman"/>
                <w:b/>
                <w:color w:val="C00000"/>
                <w:sz w:val="16"/>
              </w:rPr>
            </w:pPr>
            <w:r w:rsidRPr="00B428FA">
              <w:rPr>
                <w:rFonts w:ascii="Cambria" w:eastAsia="Times New Roman" w:hAnsi="Cambria" w:cs="Times New Roman"/>
                <w:b/>
                <w:color w:val="C00000"/>
                <w:sz w:val="16"/>
              </w:rPr>
              <w:t>Sao Paulo</w:t>
            </w:r>
          </w:p>
        </w:tc>
        <w:tc>
          <w:tcPr>
            <w:tcW w:w="720" w:type="dxa"/>
            <w:tcBorders>
              <w:top w:val="nil"/>
              <w:left w:val="nil"/>
              <w:bottom w:val="nil"/>
              <w:right w:val="nil"/>
            </w:tcBorders>
            <w:shd w:val="clear" w:color="000000" w:fill="FFFFFF"/>
            <w:noWrap/>
            <w:vAlign w:val="bottom"/>
            <w:hideMark/>
          </w:tcPr>
          <w:p w14:paraId="388E26EA"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269.4</w:t>
            </w:r>
          </w:p>
        </w:tc>
        <w:tc>
          <w:tcPr>
            <w:tcW w:w="1049" w:type="dxa"/>
            <w:tcBorders>
              <w:top w:val="nil"/>
              <w:left w:val="nil"/>
              <w:bottom w:val="nil"/>
              <w:right w:val="nil"/>
            </w:tcBorders>
            <w:shd w:val="clear" w:color="000000" w:fill="FFFFFF"/>
            <w:noWrap/>
            <w:vAlign w:val="bottom"/>
            <w:hideMark/>
          </w:tcPr>
          <w:p w14:paraId="4077A511"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20,588,698</w:t>
            </w:r>
          </w:p>
        </w:tc>
        <w:tc>
          <w:tcPr>
            <w:tcW w:w="761" w:type="dxa"/>
            <w:tcBorders>
              <w:top w:val="nil"/>
              <w:left w:val="nil"/>
              <w:bottom w:val="nil"/>
              <w:right w:val="nil"/>
            </w:tcBorders>
            <w:shd w:val="clear" w:color="000000" w:fill="FFFFFF"/>
            <w:noWrap/>
            <w:vAlign w:val="bottom"/>
            <w:hideMark/>
          </w:tcPr>
          <w:p w14:paraId="490450A5"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6,455</w:t>
            </w:r>
          </w:p>
        </w:tc>
      </w:tr>
      <w:tr w:rsidR="002F0A52" w:rsidRPr="00E82195" w14:paraId="0123BFC6" w14:textId="77777777" w:rsidTr="002F0A52">
        <w:trPr>
          <w:trHeight w:hRule="exact" w:val="229"/>
          <w:jc w:val="center"/>
        </w:trPr>
        <w:tc>
          <w:tcPr>
            <w:tcW w:w="599" w:type="dxa"/>
            <w:tcBorders>
              <w:top w:val="nil"/>
              <w:left w:val="nil"/>
              <w:bottom w:val="nil"/>
              <w:right w:val="nil"/>
            </w:tcBorders>
            <w:shd w:val="clear" w:color="000000" w:fill="FFFFFF"/>
            <w:noWrap/>
            <w:vAlign w:val="bottom"/>
            <w:hideMark/>
          </w:tcPr>
          <w:p w14:paraId="77336D71"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3</w:t>
            </w:r>
          </w:p>
        </w:tc>
        <w:tc>
          <w:tcPr>
            <w:tcW w:w="956" w:type="dxa"/>
            <w:tcBorders>
              <w:top w:val="nil"/>
              <w:left w:val="nil"/>
              <w:bottom w:val="nil"/>
              <w:right w:val="nil"/>
            </w:tcBorders>
            <w:shd w:val="clear" w:color="000000" w:fill="FFFFFF"/>
            <w:noWrap/>
            <w:vAlign w:val="bottom"/>
            <w:hideMark/>
          </w:tcPr>
          <w:p w14:paraId="0AFA729A" w14:textId="77777777" w:rsidR="002F0A52" w:rsidRPr="00E82195" w:rsidRDefault="002F0A52" w:rsidP="00DE6DBD">
            <w:pPr>
              <w:keepNext/>
              <w:spacing w:line="240" w:lineRule="auto"/>
              <w:rPr>
                <w:rFonts w:ascii="Cambria" w:eastAsia="Times New Roman" w:hAnsi="Cambria" w:cs="Times New Roman"/>
                <w:color w:val="000000"/>
                <w:sz w:val="16"/>
              </w:rPr>
            </w:pPr>
            <w:r w:rsidRPr="00E82195">
              <w:rPr>
                <w:rFonts w:ascii="Cambria" w:eastAsia="Times New Roman" w:hAnsi="Cambria" w:cs="Times New Roman"/>
                <w:color w:val="000000"/>
                <w:sz w:val="16"/>
              </w:rPr>
              <w:t>Mexico</w:t>
            </w:r>
          </w:p>
        </w:tc>
        <w:tc>
          <w:tcPr>
            <w:tcW w:w="1865" w:type="dxa"/>
            <w:tcBorders>
              <w:top w:val="nil"/>
              <w:left w:val="nil"/>
              <w:bottom w:val="nil"/>
              <w:right w:val="nil"/>
            </w:tcBorders>
            <w:shd w:val="clear" w:color="000000" w:fill="FFFFFF"/>
            <w:noWrap/>
            <w:vAlign w:val="bottom"/>
            <w:hideMark/>
          </w:tcPr>
          <w:p w14:paraId="450B3CCF" w14:textId="77777777" w:rsidR="002F0A52" w:rsidRPr="00E82195" w:rsidRDefault="002F0A52" w:rsidP="00DE6DBD">
            <w:pPr>
              <w:keepNext/>
              <w:spacing w:line="240" w:lineRule="auto"/>
              <w:rPr>
                <w:rFonts w:ascii="Cambria" w:eastAsia="Times New Roman" w:hAnsi="Cambria" w:cs="Times New Roman"/>
                <w:color w:val="000000"/>
                <w:sz w:val="16"/>
              </w:rPr>
            </w:pPr>
            <w:r w:rsidRPr="00E82195">
              <w:rPr>
                <w:rFonts w:ascii="Cambria" w:eastAsia="Times New Roman" w:hAnsi="Cambria" w:cs="Times New Roman"/>
                <w:color w:val="000000"/>
                <w:sz w:val="16"/>
              </w:rPr>
              <w:t>Mexico City</w:t>
            </w:r>
          </w:p>
        </w:tc>
        <w:tc>
          <w:tcPr>
            <w:tcW w:w="720" w:type="dxa"/>
            <w:tcBorders>
              <w:top w:val="nil"/>
              <w:left w:val="nil"/>
              <w:bottom w:val="nil"/>
              <w:right w:val="nil"/>
            </w:tcBorders>
            <w:shd w:val="clear" w:color="000000" w:fill="FFFFFF"/>
            <w:noWrap/>
            <w:vAlign w:val="bottom"/>
            <w:hideMark/>
          </w:tcPr>
          <w:p w14:paraId="5B28BA3F"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207.1</w:t>
            </w:r>
          </w:p>
        </w:tc>
        <w:tc>
          <w:tcPr>
            <w:tcW w:w="1049" w:type="dxa"/>
            <w:tcBorders>
              <w:top w:val="nil"/>
              <w:left w:val="nil"/>
              <w:bottom w:val="nil"/>
              <w:right w:val="nil"/>
            </w:tcBorders>
            <w:shd w:val="clear" w:color="000000" w:fill="FFFFFF"/>
            <w:noWrap/>
            <w:vAlign w:val="bottom"/>
            <w:hideMark/>
          </w:tcPr>
          <w:p w14:paraId="447DF60D"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19,782,701</w:t>
            </w:r>
          </w:p>
        </w:tc>
        <w:tc>
          <w:tcPr>
            <w:tcW w:w="761" w:type="dxa"/>
            <w:tcBorders>
              <w:top w:val="nil"/>
              <w:left w:val="nil"/>
              <w:bottom w:val="nil"/>
              <w:right w:val="nil"/>
            </w:tcBorders>
            <w:shd w:val="clear" w:color="000000" w:fill="FFFFFF"/>
            <w:noWrap/>
            <w:vAlign w:val="bottom"/>
            <w:hideMark/>
          </w:tcPr>
          <w:p w14:paraId="2F553188"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7,462</w:t>
            </w:r>
          </w:p>
        </w:tc>
      </w:tr>
      <w:tr w:rsidR="002F0A52" w:rsidRPr="00E82195" w14:paraId="6C5D1C00" w14:textId="77777777" w:rsidTr="002F0A52">
        <w:trPr>
          <w:trHeight w:hRule="exact" w:val="229"/>
          <w:jc w:val="center"/>
        </w:trPr>
        <w:tc>
          <w:tcPr>
            <w:tcW w:w="599" w:type="dxa"/>
            <w:tcBorders>
              <w:top w:val="nil"/>
              <w:left w:val="nil"/>
              <w:bottom w:val="nil"/>
              <w:right w:val="nil"/>
            </w:tcBorders>
            <w:shd w:val="clear" w:color="000000" w:fill="FFFFFF"/>
            <w:noWrap/>
            <w:vAlign w:val="bottom"/>
            <w:hideMark/>
          </w:tcPr>
          <w:p w14:paraId="5380B36B"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4</w:t>
            </w:r>
          </w:p>
        </w:tc>
        <w:tc>
          <w:tcPr>
            <w:tcW w:w="956" w:type="dxa"/>
            <w:tcBorders>
              <w:top w:val="nil"/>
              <w:left w:val="nil"/>
              <w:bottom w:val="nil"/>
              <w:right w:val="nil"/>
            </w:tcBorders>
            <w:shd w:val="clear" w:color="000000" w:fill="FFFFFF"/>
            <w:noWrap/>
            <w:vAlign w:val="bottom"/>
            <w:hideMark/>
          </w:tcPr>
          <w:p w14:paraId="0B6FFB53" w14:textId="77777777" w:rsidR="002F0A52" w:rsidRPr="00B428FA" w:rsidRDefault="002F0A52" w:rsidP="00DE6DBD">
            <w:pPr>
              <w:keepNext/>
              <w:spacing w:line="240" w:lineRule="auto"/>
              <w:rPr>
                <w:rFonts w:ascii="Cambria" w:eastAsia="Times New Roman" w:hAnsi="Cambria" w:cs="Times New Roman"/>
                <w:b/>
                <w:color w:val="C00000"/>
                <w:sz w:val="16"/>
              </w:rPr>
            </w:pPr>
            <w:r w:rsidRPr="00B428FA">
              <w:rPr>
                <w:rFonts w:ascii="Cambria" w:eastAsia="Times New Roman" w:hAnsi="Cambria" w:cs="Times New Roman"/>
                <w:b/>
                <w:color w:val="C00000"/>
                <w:sz w:val="16"/>
              </w:rPr>
              <w:t>Brazil</w:t>
            </w:r>
          </w:p>
        </w:tc>
        <w:tc>
          <w:tcPr>
            <w:tcW w:w="1865" w:type="dxa"/>
            <w:tcBorders>
              <w:top w:val="nil"/>
              <w:left w:val="nil"/>
              <w:bottom w:val="nil"/>
              <w:right w:val="nil"/>
            </w:tcBorders>
            <w:shd w:val="clear" w:color="000000" w:fill="FFFFFF"/>
            <w:noWrap/>
            <w:vAlign w:val="bottom"/>
            <w:hideMark/>
          </w:tcPr>
          <w:p w14:paraId="620949DC" w14:textId="77777777" w:rsidR="002F0A52" w:rsidRPr="00B428FA" w:rsidRDefault="002F0A52" w:rsidP="00DE6DBD">
            <w:pPr>
              <w:keepNext/>
              <w:spacing w:line="240" w:lineRule="auto"/>
              <w:rPr>
                <w:rFonts w:ascii="Cambria" w:eastAsia="Times New Roman" w:hAnsi="Cambria" w:cs="Times New Roman"/>
                <w:b/>
                <w:color w:val="C00000"/>
                <w:sz w:val="16"/>
              </w:rPr>
            </w:pPr>
            <w:r w:rsidRPr="00B428FA">
              <w:rPr>
                <w:rFonts w:ascii="Cambria" w:eastAsia="Times New Roman" w:hAnsi="Cambria" w:cs="Times New Roman"/>
                <w:b/>
                <w:color w:val="C00000"/>
                <w:sz w:val="16"/>
              </w:rPr>
              <w:t>Rio de Janeiro</w:t>
            </w:r>
          </w:p>
        </w:tc>
        <w:tc>
          <w:tcPr>
            <w:tcW w:w="720" w:type="dxa"/>
            <w:tcBorders>
              <w:top w:val="nil"/>
              <w:left w:val="nil"/>
              <w:bottom w:val="nil"/>
              <w:right w:val="nil"/>
            </w:tcBorders>
            <w:shd w:val="clear" w:color="000000" w:fill="FFFFFF"/>
            <w:noWrap/>
            <w:vAlign w:val="bottom"/>
            <w:hideMark/>
          </w:tcPr>
          <w:p w14:paraId="19636B4B"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153.2</w:t>
            </w:r>
          </w:p>
        </w:tc>
        <w:tc>
          <w:tcPr>
            <w:tcW w:w="1049" w:type="dxa"/>
            <w:tcBorders>
              <w:top w:val="nil"/>
              <w:left w:val="nil"/>
              <w:bottom w:val="nil"/>
              <w:right w:val="nil"/>
            </w:tcBorders>
            <w:shd w:val="clear" w:color="000000" w:fill="FFFFFF"/>
            <w:noWrap/>
            <w:vAlign w:val="bottom"/>
            <w:hideMark/>
          </w:tcPr>
          <w:p w14:paraId="1617E514"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9,932,480</w:t>
            </w:r>
          </w:p>
        </w:tc>
        <w:tc>
          <w:tcPr>
            <w:tcW w:w="761" w:type="dxa"/>
            <w:tcBorders>
              <w:top w:val="nil"/>
              <w:left w:val="nil"/>
              <w:bottom w:val="nil"/>
              <w:right w:val="nil"/>
            </w:tcBorders>
            <w:shd w:val="clear" w:color="000000" w:fill="FFFFFF"/>
            <w:noWrap/>
            <w:vAlign w:val="bottom"/>
            <w:hideMark/>
          </w:tcPr>
          <w:p w14:paraId="2DBBF906"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5,730</w:t>
            </w:r>
          </w:p>
        </w:tc>
      </w:tr>
      <w:tr w:rsidR="002F0A52" w:rsidRPr="00E82195" w14:paraId="7FA7CBA8" w14:textId="77777777" w:rsidTr="002F0A52">
        <w:trPr>
          <w:trHeight w:hRule="exact" w:val="229"/>
          <w:jc w:val="center"/>
        </w:trPr>
        <w:tc>
          <w:tcPr>
            <w:tcW w:w="599" w:type="dxa"/>
            <w:tcBorders>
              <w:top w:val="nil"/>
              <w:left w:val="nil"/>
              <w:bottom w:val="nil"/>
              <w:right w:val="nil"/>
            </w:tcBorders>
            <w:shd w:val="clear" w:color="000000" w:fill="FFFFFF"/>
            <w:noWrap/>
            <w:vAlign w:val="bottom"/>
            <w:hideMark/>
          </w:tcPr>
          <w:p w14:paraId="4B0817E5"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5</w:t>
            </w:r>
          </w:p>
        </w:tc>
        <w:tc>
          <w:tcPr>
            <w:tcW w:w="956" w:type="dxa"/>
            <w:tcBorders>
              <w:top w:val="nil"/>
              <w:left w:val="nil"/>
              <w:bottom w:val="nil"/>
              <w:right w:val="nil"/>
            </w:tcBorders>
            <w:shd w:val="clear" w:color="000000" w:fill="FFFFFF"/>
            <w:noWrap/>
            <w:vAlign w:val="bottom"/>
            <w:hideMark/>
          </w:tcPr>
          <w:p w14:paraId="10899B9D" w14:textId="77777777" w:rsidR="002F0A52" w:rsidRPr="00E82195" w:rsidRDefault="002F0A52" w:rsidP="00DE6DBD">
            <w:pPr>
              <w:keepNext/>
              <w:spacing w:line="240" w:lineRule="auto"/>
              <w:rPr>
                <w:rFonts w:ascii="Cambria" w:eastAsia="Times New Roman" w:hAnsi="Cambria" w:cs="Times New Roman"/>
                <w:color w:val="000000"/>
                <w:sz w:val="16"/>
              </w:rPr>
            </w:pPr>
            <w:r w:rsidRPr="00E82195">
              <w:rPr>
                <w:rFonts w:ascii="Cambria" w:eastAsia="Times New Roman" w:hAnsi="Cambria" w:cs="Times New Roman"/>
                <w:color w:val="000000"/>
                <w:sz w:val="16"/>
              </w:rPr>
              <w:t>Chile</w:t>
            </w:r>
          </w:p>
        </w:tc>
        <w:tc>
          <w:tcPr>
            <w:tcW w:w="1865" w:type="dxa"/>
            <w:tcBorders>
              <w:top w:val="nil"/>
              <w:left w:val="nil"/>
              <w:bottom w:val="nil"/>
              <w:right w:val="nil"/>
            </w:tcBorders>
            <w:shd w:val="clear" w:color="000000" w:fill="FFFFFF"/>
            <w:noWrap/>
            <w:vAlign w:val="bottom"/>
            <w:hideMark/>
          </w:tcPr>
          <w:p w14:paraId="0A238D56" w14:textId="77777777" w:rsidR="002F0A52" w:rsidRPr="00E82195" w:rsidRDefault="002F0A52" w:rsidP="00DE6DBD">
            <w:pPr>
              <w:keepNext/>
              <w:spacing w:line="240" w:lineRule="auto"/>
              <w:rPr>
                <w:rFonts w:ascii="Cambria" w:eastAsia="Times New Roman" w:hAnsi="Cambria" w:cs="Times New Roman"/>
                <w:color w:val="000000"/>
                <w:sz w:val="16"/>
              </w:rPr>
            </w:pPr>
            <w:r w:rsidRPr="00E82195">
              <w:rPr>
                <w:rFonts w:ascii="Cambria" w:eastAsia="Times New Roman" w:hAnsi="Cambria" w:cs="Times New Roman"/>
                <w:color w:val="000000"/>
                <w:sz w:val="16"/>
              </w:rPr>
              <w:t>Santiago</w:t>
            </w:r>
          </w:p>
        </w:tc>
        <w:tc>
          <w:tcPr>
            <w:tcW w:w="720" w:type="dxa"/>
            <w:tcBorders>
              <w:top w:val="nil"/>
              <w:left w:val="nil"/>
              <w:bottom w:val="nil"/>
              <w:right w:val="nil"/>
            </w:tcBorders>
            <w:shd w:val="clear" w:color="000000" w:fill="FFFFFF"/>
            <w:noWrap/>
            <w:vAlign w:val="bottom"/>
            <w:hideMark/>
          </w:tcPr>
          <w:p w14:paraId="10F1D1AB"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99.9</w:t>
            </w:r>
          </w:p>
        </w:tc>
        <w:tc>
          <w:tcPr>
            <w:tcW w:w="1049" w:type="dxa"/>
            <w:tcBorders>
              <w:top w:val="nil"/>
              <w:left w:val="nil"/>
              <w:bottom w:val="nil"/>
              <w:right w:val="nil"/>
            </w:tcBorders>
            <w:shd w:val="clear" w:color="000000" w:fill="FFFFFF"/>
            <w:noWrap/>
            <w:vAlign w:val="bottom"/>
            <w:hideMark/>
          </w:tcPr>
          <w:p w14:paraId="28055428"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5,837,310</w:t>
            </w:r>
          </w:p>
        </w:tc>
        <w:tc>
          <w:tcPr>
            <w:tcW w:w="761" w:type="dxa"/>
            <w:tcBorders>
              <w:top w:val="nil"/>
              <w:left w:val="nil"/>
              <w:bottom w:val="nil"/>
              <w:right w:val="nil"/>
            </w:tcBorders>
            <w:shd w:val="clear" w:color="000000" w:fill="FFFFFF"/>
            <w:noWrap/>
            <w:vAlign w:val="bottom"/>
            <w:hideMark/>
          </w:tcPr>
          <w:p w14:paraId="6F7A3D7F"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5,238</w:t>
            </w:r>
          </w:p>
        </w:tc>
      </w:tr>
      <w:tr w:rsidR="002F0A52" w:rsidRPr="00E82195" w14:paraId="0D2C480D" w14:textId="77777777" w:rsidTr="002F0A52">
        <w:trPr>
          <w:trHeight w:hRule="exact" w:val="229"/>
          <w:jc w:val="center"/>
        </w:trPr>
        <w:tc>
          <w:tcPr>
            <w:tcW w:w="599" w:type="dxa"/>
            <w:tcBorders>
              <w:top w:val="nil"/>
              <w:left w:val="nil"/>
              <w:bottom w:val="nil"/>
              <w:right w:val="nil"/>
            </w:tcBorders>
            <w:shd w:val="clear" w:color="000000" w:fill="FFFFFF"/>
            <w:noWrap/>
            <w:vAlign w:val="bottom"/>
            <w:hideMark/>
          </w:tcPr>
          <w:p w14:paraId="633CEDA8"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6</w:t>
            </w:r>
          </w:p>
        </w:tc>
        <w:tc>
          <w:tcPr>
            <w:tcW w:w="956" w:type="dxa"/>
            <w:tcBorders>
              <w:top w:val="nil"/>
              <w:left w:val="nil"/>
              <w:bottom w:val="nil"/>
              <w:right w:val="nil"/>
            </w:tcBorders>
            <w:shd w:val="clear" w:color="000000" w:fill="FFFFFF"/>
            <w:noWrap/>
            <w:vAlign w:val="bottom"/>
            <w:hideMark/>
          </w:tcPr>
          <w:p w14:paraId="3376292A" w14:textId="77777777" w:rsidR="002F0A52" w:rsidRPr="00E82195" w:rsidRDefault="002F0A52" w:rsidP="00DE6DBD">
            <w:pPr>
              <w:keepNext/>
              <w:spacing w:line="240" w:lineRule="auto"/>
              <w:rPr>
                <w:rFonts w:ascii="Cambria" w:eastAsia="Times New Roman" w:hAnsi="Cambria" w:cs="Times New Roman"/>
                <w:color w:val="000000"/>
                <w:sz w:val="16"/>
              </w:rPr>
            </w:pPr>
            <w:r w:rsidRPr="00E82195">
              <w:rPr>
                <w:rFonts w:ascii="Cambria" w:eastAsia="Times New Roman" w:hAnsi="Cambria" w:cs="Times New Roman"/>
                <w:color w:val="000000"/>
                <w:sz w:val="16"/>
              </w:rPr>
              <w:t>Peru</w:t>
            </w:r>
          </w:p>
        </w:tc>
        <w:tc>
          <w:tcPr>
            <w:tcW w:w="1865" w:type="dxa"/>
            <w:tcBorders>
              <w:top w:val="nil"/>
              <w:left w:val="nil"/>
              <w:bottom w:val="nil"/>
              <w:right w:val="nil"/>
            </w:tcBorders>
            <w:shd w:val="clear" w:color="000000" w:fill="FFFFFF"/>
            <w:noWrap/>
            <w:vAlign w:val="bottom"/>
            <w:hideMark/>
          </w:tcPr>
          <w:p w14:paraId="5715EFA5" w14:textId="77777777" w:rsidR="002F0A52" w:rsidRPr="00E82195" w:rsidRDefault="002F0A52" w:rsidP="00DE6DBD">
            <w:pPr>
              <w:keepNext/>
              <w:spacing w:line="240" w:lineRule="auto"/>
              <w:rPr>
                <w:rFonts w:ascii="Cambria" w:eastAsia="Times New Roman" w:hAnsi="Cambria" w:cs="Times New Roman"/>
                <w:color w:val="000000"/>
                <w:sz w:val="16"/>
              </w:rPr>
            </w:pPr>
            <w:r w:rsidRPr="00E82195">
              <w:rPr>
                <w:rFonts w:ascii="Cambria" w:eastAsia="Times New Roman" w:hAnsi="Cambria" w:cs="Times New Roman"/>
                <w:color w:val="000000"/>
                <w:sz w:val="16"/>
              </w:rPr>
              <w:t>Lima</w:t>
            </w:r>
          </w:p>
        </w:tc>
        <w:tc>
          <w:tcPr>
            <w:tcW w:w="720" w:type="dxa"/>
            <w:tcBorders>
              <w:top w:val="nil"/>
              <w:left w:val="nil"/>
              <w:bottom w:val="nil"/>
              <w:right w:val="nil"/>
            </w:tcBorders>
            <w:shd w:val="clear" w:color="000000" w:fill="FFFFFF"/>
            <w:noWrap/>
            <w:vAlign w:val="bottom"/>
            <w:hideMark/>
          </w:tcPr>
          <w:p w14:paraId="7F978067"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91.2</w:t>
            </w:r>
          </w:p>
        </w:tc>
        <w:tc>
          <w:tcPr>
            <w:tcW w:w="1049" w:type="dxa"/>
            <w:tcBorders>
              <w:top w:val="nil"/>
              <w:left w:val="nil"/>
              <w:bottom w:val="nil"/>
              <w:right w:val="nil"/>
            </w:tcBorders>
            <w:shd w:val="clear" w:color="000000" w:fill="FFFFFF"/>
            <w:noWrap/>
            <w:vAlign w:val="bottom"/>
            <w:hideMark/>
          </w:tcPr>
          <w:p w14:paraId="7225EC19"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9,056,851</w:t>
            </w:r>
          </w:p>
        </w:tc>
        <w:tc>
          <w:tcPr>
            <w:tcW w:w="761" w:type="dxa"/>
            <w:tcBorders>
              <w:top w:val="nil"/>
              <w:left w:val="nil"/>
              <w:bottom w:val="nil"/>
              <w:right w:val="nil"/>
            </w:tcBorders>
            <w:shd w:val="clear" w:color="000000" w:fill="FFFFFF"/>
            <w:noWrap/>
            <w:vAlign w:val="bottom"/>
            <w:hideMark/>
          </w:tcPr>
          <w:p w14:paraId="33DF5E83"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8,931</w:t>
            </w:r>
          </w:p>
        </w:tc>
      </w:tr>
      <w:tr w:rsidR="002F0A52" w:rsidRPr="00E82195" w14:paraId="7E8170E4" w14:textId="77777777" w:rsidTr="002F0A52">
        <w:trPr>
          <w:trHeight w:hRule="exact" w:val="229"/>
          <w:jc w:val="center"/>
        </w:trPr>
        <w:tc>
          <w:tcPr>
            <w:tcW w:w="599" w:type="dxa"/>
            <w:tcBorders>
              <w:top w:val="nil"/>
              <w:left w:val="nil"/>
              <w:bottom w:val="nil"/>
              <w:right w:val="nil"/>
            </w:tcBorders>
            <w:shd w:val="clear" w:color="000000" w:fill="FFFFFF"/>
            <w:noWrap/>
            <w:vAlign w:val="bottom"/>
            <w:hideMark/>
          </w:tcPr>
          <w:p w14:paraId="76D4C80D"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7</w:t>
            </w:r>
          </w:p>
        </w:tc>
        <w:tc>
          <w:tcPr>
            <w:tcW w:w="956" w:type="dxa"/>
            <w:tcBorders>
              <w:top w:val="nil"/>
              <w:left w:val="nil"/>
              <w:bottom w:val="nil"/>
              <w:right w:val="nil"/>
            </w:tcBorders>
            <w:shd w:val="clear" w:color="000000" w:fill="FFFFFF"/>
            <w:noWrap/>
            <w:vAlign w:val="bottom"/>
            <w:hideMark/>
          </w:tcPr>
          <w:p w14:paraId="5C0B96CD" w14:textId="77777777" w:rsidR="002F0A52" w:rsidRPr="00B428FA" w:rsidRDefault="002F0A52" w:rsidP="00DE6DBD">
            <w:pPr>
              <w:keepNext/>
              <w:spacing w:line="240" w:lineRule="auto"/>
              <w:rPr>
                <w:rFonts w:ascii="Cambria" w:eastAsia="Times New Roman" w:hAnsi="Cambria" w:cs="Times New Roman"/>
                <w:b/>
                <w:color w:val="C00000"/>
                <w:sz w:val="16"/>
              </w:rPr>
            </w:pPr>
            <w:r w:rsidRPr="00B428FA">
              <w:rPr>
                <w:rFonts w:ascii="Cambria" w:eastAsia="Times New Roman" w:hAnsi="Cambria" w:cs="Times New Roman"/>
                <w:b/>
                <w:color w:val="C00000"/>
                <w:sz w:val="16"/>
              </w:rPr>
              <w:t>Brazil</w:t>
            </w:r>
          </w:p>
        </w:tc>
        <w:tc>
          <w:tcPr>
            <w:tcW w:w="1865" w:type="dxa"/>
            <w:tcBorders>
              <w:top w:val="nil"/>
              <w:left w:val="nil"/>
              <w:bottom w:val="nil"/>
              <w:right w:val="nil"/>
            </w:tcBorders>
            <w:shd w:val="clear" w:color="000000" w:fill="FFFFFF"/>
            <w:noWrap/>
            <w:vAlign w:val="bottom"/>
            <w:hideMark/>
          </w:tcPr>
          <w:p w14:paraId="43A52EE2" w14:textId="77777777" w:rsidR="002F0A52" w:rsidRPr="00B428FA" w:rsidRDefault="002F0A52" w:rsidP="00DE6DBD">
            <w:pPr>
              <w:keepNext/>
              <w:spacing w:line="240" w:lineRule="auto"/>
              <w:rPr>
                <w:rFonts w:ascii="Cambria" w:eastAsia="Times New Roman" w:hAnsi="Cambria" w:cs="Times New Roman"/>
                <w:b/>
                <w:color w:val="C00000"/>
                <w:sz w:val="16"/>
              </w:rPr>
            </w:pPr>
            <w:r w:rsidRPr="00B428FA">
              <w:rPr>
                <w:rFonts w:ascii="Cambria" w:eastAsia="Times New Roman" w:hAnsi="Cambria" w:cs="Times New Roman"/>
                <w:b/>
                <w:color w:val="C00000"/>
                <w:sz w:val="16"/>
              </w:rPr>
              <w:t>Brasilia</w:t>
            </w:r>
          </w:p>
        </w:tc>
        <w:tc>
          <w:tcPr>
            <w:tcW w:w="720" w:type="dxa"/>
            <w:tcBorders>
              <w:top w:val="nil"/>
              <w:left w:val="nil"/>
              <w:bottom w:val="nil"/>
              <w:right w:val="nil"/>
            </w:tcBorders>
            <w:shd w:val="clear" w:color="000000" w:fill="FFFFFF"/>
            <w:noWrap/>
            <w:vAlign w:val="bottom"/>
            <w:hideMark/>
          </w:tcPr>
          <w:p w14:paraId="330469F8"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67.7</w:t>
            </w:r>
          </w:p>
        </w:tc>
        <w:tc>
          <w:tcPr>
            <w:tcW w:w="1049" w:type="dxa"/>
            <w:tcBorders>
              <w:top w:val="nil"/>
              <w:left w:val="nil"/>
              <w:bottom w:val="nil"/>
              <w:right w:val="nil"/>
            </w:tcBorders>
            <w:shd w:val="clear" w:color="000000" w:fill="FFFFFF"/>
            <w:noWrap/>
            <w:vAlign w:val="bottom"/>
            <w:hideMark/>
          </w:tcPr>
          <w:p w14:paraId="4B622F14"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2,019,961</w:t>
            </w:r>
          </w:p>
        </w:tc>
        <w:tc>
          <w:tcPr>
            <w:tcW w:w="761" w:type="dxa"/>
            <w:tcBorders>
              <w:top w:val="nil"/>
              <w:left w:val="nil"/>
              <w:bottom w:val="nil"/>
              <w:right w:val="nil"/>
            </w:tcBorders>
            <w:shd w:val="clear" w:color="000000" w:fill="FFFFFF"/>
            <w:noWrap/>
            <w:vAlign w:val="bottom"/>
            <w:hideMark/>
          </w:tcPr>
          <w:p w14:paraId="10B4DFE5"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4,126</w:t>
            </w:r>
          </w:p>
        </w:tc>
      </w:tr>
      <w:tr w:rsidR="002F0A52" w:rsidRPr="00E82195" w14:paraId="78AD2757" w14:textId="77777777" w:rsidTr="002F0A52">
        <w:trPr>
          <w:trHeight w:hRule="exact" w:val="229"/>
          <w:jc w:val="center"/>
        </w:trPr>
        <w:tc>
          <w:tcPr>
            <w:tcW w:w="599" w:type="dxa"/>
            <w:tcBorders>
              <w:top w:val="nil"/>
              <w:left w:val="nil"/>
              <w:bottom w:val="nil"/>
              <w:right w:val="nil"/>
            </w:tcBorders>
            <w:shd w:val="clear" w:color="000000" w:fill="FFFFFF"/>
            <w:noWrap/>
            <w:vAlign w:val="bottom"/>
            <w:hideMark/>
          </w:tcPr>
          <w:p w14:paraId="46D4DF14"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8</w:t>
            </w:r>
          </w:p>
        </w:tc>
        <w:tc>
          <w:tcPr>
            <w:tcW w:w="956" w:type="dxa"/>
            <w:tcBorders>
              <w:top w:val="nil"/>
              <w:left w:val="nil"/>
              <w:bottom w:val="nil"/>
              <w:right w:val="nil"/>
            </w:tcBorders>
            <w:shd w:val="clear" w:color="000000" w:fill="FFFFFF"/>
            <w:noWrap/>
            <w:vAlign w:val="bottom"/>
            <w:hideMark/>
          </w:tcPr>
          <w:p w14:paraId="6F7ECCAB" w14:textId="77777777" w:rsidR="002F0A52" w:rsidRPr="00B428FA" w:rsidRDefault="002F0A52" w:rsidP="00DE6DBD">
            <w:pPr>
              <w:keepNext/>
              <w:spacing w:line="240" w:lineRule="auto"/>
              <w:rPr>
                <w:rFonts w:ascii="Cambria" w:eastAsia="Times New Roman" w:hAnsi="Cambria" w:cs="Times New Roman"/>
                <w:b/>
                <w:color w:val="C00000"/>
                <w:sz w:val="16"/>
              </w:rPr>
            </w:pPr>
            <w:r w:rsidRPr="00B428FA">
              <w:rPr>
                <w:rFonts w:ascii="Cambria" w:eastAsia="Times New Roman" w:hAnsi="Cambria" w:cs="Times New Roman"/>
                <w:b/>
                <w:color w:val="C00000"/>
                <w:sz w:val="16"/>
              </w:rPr>
              <w:t>Brazil</w:t>
            </w:r>
          </w:p>
        </w:tc>
        <w:tc>
          <w:tcPr>
            <w:tcW w:w="1865" w:type="dxa"/>
            <w:tcBorders>
              <w:top w:val="nil"/>
              <w:left w:val="nil"/>
              <w:bottom w:val="nil"/>
              <w:right w:val="nil"/>
            </w:tcBorders>
            <w:shd w:val="clear" w:color="000000" w:fill="FFFFFF"/>
            <w:noWrap/>
            <w:vAlign w:val="bottom"/>
            <w:hideMark/>
          </w:tcPr>
          <w:p w14:paraId="6E7EA41E" w14:textId="77777777" w:rsidR="002F0A52" w:rsidRPr="00B428FA" w:rsidRDefault="002F0A52" w:rsidP="00DE6DBD">
            <w:pPr>
              <w:keepNext/>
              <w:spacing w:line="240" w:lineRule="auto"/>
              <w:rPr>
                <w:rFonts w:ascii="Cambria" w:eastAsia="Times New Roman" w:hAnsi="Cambria" w:cs="Times New Roman"/>
                <w:b/>
                <w:color w:val="C00000"/>
                <w:sz w:val="16"/>
              </w:rPr>
            </w:pPr>
            <w:r w:rsidRPr="00B428FA">
              <w:rPr>
                <w:rFonts w:ascii="Cambria" w:eastAsia="Times New Roman" w:hAnsi="Cambria" w:cs="Times New Roman"/>
                <w:b/>
                <w:color w:val="C00000"/>
                <w:sz w:val="16"/>
              </w:rPr>
              <w:t>Porto Alegre</w:t>
            </w:r>
          </w:p>
        </w:tc>
        <w:tc>
          <w:tcPr>
            <w:tcW w:w="720" w:type="dxa"/>
            <w:tcBorders>
              <w:top w:val="nil"/>
              <w:left w:val="nil"/>
              <w:bottom w:val="nil"/>
              <w:right w:val="nil"/>
            </w:tcBorders>
            <w:shd w:val="clear" w:color="000000" w:fill="FFFFFF"/>
            <w:noWrap/>
            <w:vAlign w:val="bottom"/>
            <w:hideMark/>
          </w:tcPr>
          <w:p w14:paraId="0B6B179A"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62.9</w:t>
            </w:r>
          </w:p>
        </w:tc>
        <w:tc>
          <w:tcPr>
            <w:tcW w:w="1049" w:type="dxa"/>
            <w:tcBorders>
              <w:top w:val="nil"/>
              <w:left w:val="nil"/>
              <w:bottom w:val="nil"/>
              <w:right w:val="nil"/>
            </w:tcBorders>
            <w:shd w:val="clear" w:color="000000" w:fill="FFFFFF"/>
            <w:noWrap/>
            <w:vAlign w:val="bottom"/>
            <w:hideMark/>
          </w:tcPr>
          <w:p w14:paraId="2675166F"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3,453,232</w:t>
            </w:r>
          </w:p>
        </w:tc>
        <w:tc>
          <w:tcPr>
            <w:tcW w:w="761" w:type="dxa"/>
            <w:tcBorders>
              <w:top w:val="nil"/>
              <w:left w:val="nil"/>
              <w:bottom w:val="nil"/>
              <w:right w:val="nil"/>
            </w:tcBorders>
            <w:shd w:val="clear" w:color="000000" w:fill="FFFFFF"/>
            <w:noWrap/>
            <w:vAlign w:val="bottom"/>
            <w:hideMark/>
          </w:tcPr>
          <w:p w14:paraId="74EA6F98"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3,299</w:t>
            </w:r>
          </w:p>
        </w:tc>
      </w:tr>
      <w:tr w:rsidR="002F0A52" w:rsidRPr="00E82195" w14:paraId="000BD2BD" w14:textId="77777777" w:rsidTr="002F0A52">
        <w:trPr>
          <w:trHeight w:hRule="exact" w:val="229"/>
          <w:jc w:val="center"/>
        </w:trPr>
        <w:tc>
          <w:tcPr>
            <w:tcW w:w="599" w:type="dxa"/>
            <w:tcBorders>
              <w:top w:val="nil"/>
              <w:left w:val="nil"/>
              <w:bottom w:val="nil"/>
              <w:right w:val="nil"/>
            </w:tcBorders>
            <w:shd w:val="clear" w:color="000000" w:fill="FFFFFF"/>
            <w:noWrap/>
            <w:vAlign w:val="bottom"/>
            <w:hideMark/>
          </w:tcPr>
          <w:p w14:paraId="25CB21B4"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9</w:t>
            </w:r>
          </w:p>
        </w:tc>
        <w:tc>
          <w:tcPr>
            <w:tcW w:w="956" w:type="dxa"/>
            <w:tcBorders>
              <w:top w:val="nil"/>
              <w:left w:val="nil"/>
              <w:bottom w:val="nil"/>
              <w:right w:val="nil"/>
            </w:tcBorders>
            <w:shd w:val="clear" w:color="000000" w:fill="FFFFFF"/>
            <w:noWrap/>
            <w:vAlign w:val="bottom"/>
            <w:hideMark/>
          </w:tcPr>
          <w:p w14:paraId="7CD8BBD9" w14:textId="77777777" w:rsidR="002F0A52" w:rsidRPr="00B428FA" w:rsidRDefault="002F0A52" w:rsidP="00DE6DBD">
            <w:pPr>
              <w:keepNext/>
              <w:spacing w:line="240" w:lineRule="auto"/>
              <w:rPr>
                <w:rFonts w:ascii="Cambria" w:eastAsia="Times New Roman" w:hAnsi="Cambria" w:cs="Times New Roman"/>
                <w:b/>
                <w:color w:val="C00000"/>
                <w:sz w:val="16"/>
              </w:rPr>
            </w:pPr>
            <w:r w:rsidRPr="00B428FA">
              <w:rPr>
                <w:rFonts w:ascii="Cambria" w:eastAsia="Times New Roman" w:hAnsi="Cambria" w:cs="Times New Roman"/>
                <w:b/>
                <w:color w:val="C00000"/>
                <w:sz w:val="16"/>
              </w:rPr>
              <w:t>Brazil</w:t>
            </w:r>
          </w:p>
        </w:tc>
        <w:tc>
          <w:tcPr>
            <w:tcW w:w="1865" w:type="dxa"/>
            <w:tcBorders>
              <w:top w:val="nil"/>
              <w:left w:val="nil"/>
              <w:bottom w:val="nil"/>
              <w:right w:val="nil"/>
            </w:tcBorders>
            <w:shd w:val="clear" w:color="000000" w:fill="FFFFFF"/>
            <w:noWrap/>
            <w:vAlign w:val="bottom"/>
            <w:hideMark/>
          </w:tcPr>
          <w:p w14:paraId="21AB5C49" w14:textId="77777777" w:rsidR="002F0A52" w:rsidRPr="00B428FA" w:rsidRDefault="002F0A52" w:rsidP="00DE6DBD">
            <w:pPr>
              <w:keepNext/>
              <w:spacing w:line="240" w:lineRule="auto"/>
              <w:rPr>
                <w:rFonts w:ascii="Cambria" w:eastAsia="Times New Roman" w:hAnsi="Cambria" w:cs="Times New Roman"/>
                <w:b/>
                <w:color w:val="C00000"/>
                <w:sz w:val="16"/>
              </w:rPr>
            </w:pPr>
            <w:r w:rsidRPr="00B428FA">
              <w:rPr>
                <w:rFonts w:ascii="Cambria" w:eastAsia="Times New Roman" w:hAnsi="Cambria" w:cs="Times New Roman"/>
                <w:b/>
                <w:color w:val="C00000"/>
                <w:sz w:val="16"/>
              </w:rPr>
              <w:t>Belo Horizonte</w:t>
            </w:r>
          </w:p>
        </w:tc>
        <w:tc>
          <w:tcPr>
            <w:tcW w:w="720" w:type="dxa"/>
            <w:tcBorders>
              <w:top w:val="nil"/>
              <w:left w:val="nil"/>
              <w:bottom w:val="nil"/>
              <w:right w:val="nil"/>
            </w:tcBorders>
            <w:shd w:val="clear" w:color="000000" w:fill="FFFFFF"/>
            <w:noWrap/>
            <w:vAlign w:val="bottom"/>
            <w:hideMark/>
          </w:tcPr>
          <w:p w14:paraId="46001816"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52.2</w:t>
            </w:r>
          </w:p>
        </w:tc>
        <w:tc>
          <w:tcPr>
            <w:tcW w:w="1049" w:type="dxa"/>
            <w:tcBorders>
              <w:top w:val="nil"/>
              <w:left w:val="nil"/>
              <w:bottom w:val="nil"/>
              <w:right w:val="nil"/>
            </w:tcBorders>
            <w:shd w:val="clear" w:color="000000" w:fill="FFFFFF"/>
            <w:noWrap/>
            <w:vAlign w:val="bottom"/>
            <w:hideMark/>
          </w:tcPr>
          <w:p w14:paraId="0CA8ED58"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4,181,234</w:t>
            </w:r>
          </w:p>
        </w:tc>
        <w:tc>
          <w:tcPr>
            <w:tcW w:w="761" w:type="dxa"/>
            <w:tcBorders>
              <w:top w:val="nil"/>
              <w:left w:val="nil"/>
              <w:bottom w:val="nil"/>
              <w:right w:val="nil"/>
            </w:tcBorders>
            <w:shd w:val="clear" w:color="000000" w:fill="FFFFFF"/>
            <w:noWrap/>
            <w:vAlign w:val="bottom"/>
            <w:hideMark/>
          </w:tcPr>
          <w:p w14:paraId="47A60B48" w14:textId="77777777" w:rsidR="002F0A52" w:rsidRPr="00B428FA" w:rsidRDefault="002F0A52" w:rsidP="00DE6DBD">
            <w:pPr>
              <w:keepNext/>
              <w:spacing w:line="240" w:lineRule="auto"/>
              <w:jc w:val="center"/>
              <w:rPr>
                <w:rFonts w:ascii="Cambria" w:eastAsia="Times New Roman" w:hAnsi="Cambria" w:cs="Times New Roman"/>
                <w:b/>
                <w:color w:val="C00000"/>
                <w:sz w:val="16"/>
              </w:rPr>
            </w:pPr>
            <w:r w:rsidRPr="00B428FA">
              <w:rPr>
                <w:rFonts w:ascii="Cambria" w:eastAsia="Times New Roman" w:hAnsi="Cambria" w:cs="Times New Roman"/>
                <w:b/>
                <w:color w:val="C00000"/>
                <w:sz w:val="16"/>
              </w:rPr>
              <w:t>4,937</w:t>
            </w:r>
          </w:p>
        </w:tc>
      </w:tr>
      <w:tr w:rsidR="002F0A52" w:rsidRPr="00E82195" w14:paraId="07B42286" w14:textId="77777777" w:rsidTr="002F0A52">
        <w:trPr>
          <w:trHeight w:hRule="exact" w:val="229"/>
          <w:jc w:val="center"/>
        </w:trPr>
        <w:tc>
          <w:tcPr>
            <w:tcW w:w="599" w:type="dxa"/>
            <w:tcBorders>
              <w:top w:val="nil"/>
              <w:left w:val="nil"/>
              <w:bottom w:val="nil"/>
              <w:right w:val="nil"/>
            </w:tcBorders>
            <w:shd w:val="clear" w:color="000000" w:fill="FFFFFF"/>
            <w:noWrap/>
            <w:vAlign w:val="bottom"/>
            <w:hideMark/>
          </w:tcPr>
          <w:p w14:paraId="60A041F9"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10</w:t>
            </w:r>
          </w:p>
        </w:tc>
        <w:tc>
          <w:tcPr>
            <w:tcW w:w="956" w:type="dxa"/>
            <w:tcBorders>
              <w:top w:val="nil"/>
              <w:left w:val="nil"/>
              <w:bottom w:val="nil"/>
              <w:right w:val="nil"/>
            </w:tcBorders>
            <w:shd w:val="clear" w:color="000000" w:fill="FFFFFF"/>
            <w:noWrap/>
            <w:vAlign w:val="bottom"/>
            <w:hideMark/>
          </w:tcPr>
          <w:p w14:paraId="7F0FD8D4" w14:textId="77777777" w:rsidR="002F0A52" w:rsidRPr="00E82195" w:rsidRDefault="002F0A52" w:rsidP="00DE6DBD">
            <w:pPr>
              <w:keepNext/>
              <w:spacing w:line="240" w:lineRule="auto"/>
              <w:rPr>
                <w:rFonts w:ascii="Cambria" w:eastAsia="Times New Roman" w:hAnsi="Cambria" w:cs="Times New Roman"/>
                <w:color w:val="000000"/>
                <w:sz w:val="16"/>
              </w:rPr>
            </w:pPr>
            <w:r w:rsidRPr="00E82195">
              <w:rPr>
                <w:rFonts w:ascii="Cambria" w:eastAsia="Times New Roman" w:hAnsi="Cambria" w:cs="Times New Roman"/>
                <w:color w:val="000000"/>
                <w:sz w:val="16"/>
              </w:rPr>
              <w:t>Mexico</w:t>
            </w:r>
          </w:p>
        </w:tc>
        <w:tc>
          <w:tcPr>
            <w:tcW w:w="1865" w:type="dxa"/>
            <w:tcBorders>
              <w:top w:val="nil"/>
              <w:left w:val="nil"/>
              <w:bottom w:val="nil"/>
              <w:right w:val="nil"/>
            </w:tcBorders>
            <w:shd w:val="clear" w:color="000000" w:fill="FFFFFF"/>
            <w:noWrap/>
            <w:vAlign w:val="bottom"/>
            <w:hideMark/>
          </w:tcPr>
          <w:p w14:paraId="1DFE2FA9" w14:textId="77777777" w:rsidR="002F0A52" w:rsidRPr="00E82195" w:rsidRDefault="002F0A52" w:rsidP="00DE6DBD">
            <w:pPr>
              <w:keepNext/>
              <w:spacing w:line="240" w:lineRule="auto"/>
              <w:rPr>
                <w:rFonts w:ascii="Cambria" w:eastAsia="Times New Roman" w:hAnsi="Cambria" w:cs="Times New Roman"/>
                <w:color w:val="000000"/>
                <w:sz w:val="16"/>
              </w:rPr>
            </w:pPr>
            <w:r w:rsidRPr="00E82195">
              <w:rPr>
                <w:rFonts w:ascii="Cambria" w:eastAsia="Times New Roman" w:hAnsi="Cambria" w:cs="Times New Roman"/>
                <w:color w:val="000000"/>
                <w:sz w:val="16"/>
              </w:rPr>
              <w:t>Monterrey</w:t>
            </w:r>
          </w:p>
        </w:tc>
        <w:tc>
          <w:tcPr>
            <w:tcW w:w="720" w:type="dxa"/>
            <w:tcBorders>
              <w:top w:val="nil"/>
              <w:left w:val="nil"/>
              <w:bottom w:val="nil"/>
              <w:right w:val="nil"/>
            </w:tcBorders>
            <w:shd w:val="clear" w:color="000000" w:fill="FFFFFF"/>
            <w:noWrap/>
            <w:vAlign w:val="bottom"/>
            <w:hideMark/>
          </w:tcPr>
          <w:p w14:paraId="3B771693"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50.5</w:t>
            </w:r>
          </w:p>
        </w:tc>
        <w:tc>
          <w:tcPr>
            <w:tcW w:w="1049" w:type="dxa"/>
            <w:tcBorders>
              <w:top w:val="nil"/>
              <w:left w:val="nil"/>
              <w:bottom w:val="nil"/>
              <w:right w:val="nil"/>
            </w:tcBorders>
            <w:shd w:val="clear" w:color="000000" w:fill="FFFFFF"/>
            <w:noWrap/>
            <w:vAlign w:val="bottom"/>
            <w:hideMark/>
          </w:tcPr>
          <w:p w14:paraId="62A9D75F"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3,870,579</w:t>
            </w:r>
          </w:p>
        </w:tc>
        <w:tc>
          <w:tcPr>
            <w:tcW w:w="761" w:type="dxa"/>
            <w:tcBorders>
              <w:top w:val="nil"/>
              <w:left w:val="nil"/>
              <w:bottom w:val="nil"/>
              <w:right w:val="nil"/>
            </w:tcBorders>
            <w:shd w:val="clear" w:color="000000" w:fill="FFFFFF"/>
            <w:noWrap/>
            <w:vAlign w:val="bottom"/>
            <w:hideMark/>
          </w:tcPr>
          <w:p w14:paraId="28B84CC7" w14:textId="77777777" w:rsidR="002F0A52" w:rsidRPr="00E82195" w:rsidRDefault="002F0A52" w:rsidP="00DE6DBD">
            <w:pPr>
              <w:keepNext/>
              <w:spacing w:line="240" w:lineRule="auto"/>
              <w:jc w:val="center"/>
              <w:rPr>
                <w:rFonts w:ascii="Cambria" w:eastAsia="Times New Roman" w:hAnsi="Cambria" w:cs="Times New Roman"/>
                <w:color w:val="000000"/>
                <w:sz w:val="16"/>
              </w:rPr>
            </w:pPr>
            <w:r w:rsidRPr="00E82195">
              <w:rPr>
                <w:rFonts w:ascii="Cambria" w:eastAsia="Times New Roman" w:hAnsi="Cambria" w:cs="Times New Roman"/>
                <w:color w:val="000000"/>
                <w:sz w:val="16"/>
              </w:rPr>
              <w:t>4,373</w:t>
            </w:r>
          </w:p>
        </w:tc>
      </w:tr>
      <w:tr w:rsidR="002F0A52" w:rsidRPr="00E82195" w14:paraId="15E416DF" w14:textId="77777777" w:rsidTr="002F0A52">
        <w:trPr>
          <w:trHeight w:hRule="exact" w:val="45"/>
          <w:jc w:val="center"/>
        </w:trPr>
        <w:tc>
          <w:tcPr>
            <w:tcW w:w="599" w:type="dxa"/>
            <w:tcBorders>
              <w:top w:val="nil"/>
              <w:left w:val="nil"/>
              <w:bottom w:val="single" w:sz="4" w:space="0" w:color="auto"/>
              <w:right w:val="nil"/>
            </w:tcBorders>
            <w:shd w:val="clear" w:color="000000" w:fill="FFFFFF"/>
            <w:noWrap/>
            <w:vAlign w:val="bottom"/>
          </w:tcPr>
          <w:p w14:paraId="249D2C93" w14:textId="77777777" w:rsidR="002F0A52" w:rsidRPr="00E82195" w:rsidRDefault="002F0A52" w:rsidP="00DE6DBD">
            <w:pPr>
              <w:keepNext/>
              <w:spacing w:line="240" w:lineRule="auto"/>
              <w:jc w:val="center"/>
              <w:rPr>
                <w:rFonts w:ascii="Cambria" w:eastAsia="Times New Roman" w:hAnsi="Cambria" w:cs="Times New Roman"/>
                <w:color w:val="000000"/>
                <w:sz w:val="16"/>
              </w:rPr>
            </w:pPr>
          </w:p>
        </w:tc>
        <w:tc>
          <w:tcPr>
            <w:tcW w:w="956" w:type="dxa"/>
            <w:tcBorders>
              <w:top w:val="nil"/>
              <w:left w:val="nil"/>
              <w:bottom w:val="single" w:sz="8" w:space="0" w:color="auto"/>
              <w:right w:val="nil"/>
            </w:tcBorders>
            <w:shd w:val="clear" w:color="000000" w:fill="FFFFFF"/>
            <w:noWrap/>
            <w:vAlign w:val="bottom"/>
          </w:tcPr>
          <w:p w14:paraId="3CC3B83A" w14:textId="77777777" w:rsidR="002F0A52" w:rsidRPr="00E82195" w:rsidRDefault="002F0A52" w:rsidP="00DE6DBD">
            <w:pPr>
              <w:keepNext/>
              <w:spacing w:line="240" w:lineRule="auto"/>
              <w:rPr>
                <w:rFonts w:ascii="Cambria" w:eastAsia="Times New Roman" w:hAnsi="Cambria" w:cs="Times New Roman"/>
                <w:color w:val="000000"/>
                <w:sz w:val="16"/>
              </w:rPr>
            </w:pPr>
          </w:p>
        </w:tc>
        <w:tc>
          <w:tcPr>
            <w:tcW w:w="1865" w:type="dxa"/>
            <w:tcBorders>
              <w:top w:val="nil"/>
              <w:left w:val="nil"/>
              <w:bottom w:val="single" w:sz="8" w:space="0" w:color="auto"/>
              <w:right w:val="nil"/>
            </w:tcBorders>
            <w:shd w:val="clear" w:color="000000" w:fill="FFFFFF"/>
            <w:noWrap/>
            <w:vAlign w:val="bottom"/>
          </w:tcPr>
          <w:p w14:paraId="3B7F6515" w14:textId="77777777" w:rsidR="002F0A52" w:rsidRPr="00E82195" w:rsidRDefault="002F0A52" w:rsidP="00DE6DBD">
            <w:pPr>
              <w:keepNext/>
              <w:spacing w:line="240" w:lineRule="auto"/>
              <w:rPr>
                <w:rFonts w:ascii="Cambria" w:eastAsia="Times New Roman" w:hAnsi="Cambria" w:cs="Times New Roman"/>
                <w:color w:val="000000"/>
                <w:sz w:val="16"/>
              </w:rPr>
            </w:pPr>
          </w:p>
        </w:tc>
        <w:tc>
          <w:tcPr>
            <w:tcW w:w="720" w:type="dxa"/>
            <w:tcBorders>
              <w:top w:val="nil"/>
              <w:left w:val="nil"/>
              <w:bottom w:val="single" w:sz="8" w:space="0" w:color="auto"/>
              <w:right w:val="nil"/>
            </w:tcBorders>
            <w:shd w:val="clear" w:color="000000" w:fill="FFFFFF"/>
            <w:noWrap/>
            <w:vAlign w:val="bottom"/>
          </w:tcPr>
          <w:p w14:paraId="2155B291" w14:textId="77777777" w:rsidR="002F0A52" w:rsidRPr="00E82195" w:rsidRDefault="002F0A52" w:rsidP="00DE6DBD">
            <w:pPr>
              <w:keepNext/>
              <w:spacing w:line="240" w:lineRule="auto"/>
              <w:jc w:val="center"/>
              <w:rPr>
                <w:rFonts w:ascii="Cambria" w:eastAsia="Times New Roman" w:hAnsi="Cambria" w:cs="Times New Roman"/>
                <w:color w:val="000000"/>
                <w:sz w:val="16"/>
              </w:rPr>
            </w:pPr>
          </w:p>
        </w:tc>
        <w:tc>
          <w:tcPr>
            <w:tcW w:w="1049" w:type="dxa"/>
            <w:tcBorders>
              <w:top w:val="nil"/>
              <w:left w:val="nil"/>
              <w:bottom w:val="single" w:sz="8" w:space="0" w:color="auto"/>
              <w:right w:val="nil"/>
            </w:tcBorders>
            <w:shd w:val="clear" w:color="000000" w:fill="FFFFFF"/>
            <w:noWrap/>
            <w:vAlign w:val="bottom"/>
          </w:tcPr>
          <w:p w14:paraId="6FB039A4" w14:textId="77777777" w:rsidR="002F0A52" w:rsidRPr="00E82195" w:rsidRDefault="002F0A52" w:rsidP="00DE6DBD">
            <w:pPr>
              <w:keepNext/>
              <w:spacing w:line="240" w:lineRule="auto"/>
              <w:jc w:val="center"/>
              <w:rPr>
                <w:rFonts w:ascii="Cambria" w:eastAsia="Times New Roman" w:hAnsi="Cambria" w:cs="Times New Roman"/>
                <w:color w:val="000000"/>
                <w:sz w:val="16"/>
              </w:rPr>
            </w:pPr>
          </w:p>
        </w:tc>
        <w:tc>
          <w:tcPr>
            <w:tcW w:w="761" w:type="dxa"/>
            <w:tcBorders>
              <w:top w:val="nil"/>
              <w:left w:val="nil"/>
              <w:bottom w:val="single" w:sz="4" w:space="0" w:color="auto"/>
              <w:right w:val="nil"/>
            </w:tcBorders>
            <w:shd w:val="clear" w:color="000000" w:fill="FFFFFF"/>
            <w:noWrap/>
            <w:vAlign w:val="bottom"/>
          </w:tcPr>
          <w:p w14:paraId="56A04808" w14:textId="77777777" w:rsidR="002F0A52" w:rsidRPr="00E82195" w:rsidRDefault="002F0A52" w:rsidP="00DE6DBD">
            <w:pPr>
              <w:keepNext/>
              <w:spacing w:line="240" w:lineRule="auto"/>
              <w:jc w:val="center"/>
              <w:rPr>
                <w:rFonts w:ascii="Cambria" w:eastAsia="Times New Roman" w:hAnsi="Cambria" w:cs="Times New Roman"/>
                <w:color w:val="000000"/>
                <w:sz w:val="16"/>
              </w:rPr>
            </w:pPr>
          </w:p>
        </w:tc>
      </w:tr>
    </w:tbl>
    <w:p w14:paraId="6A4E2F5E" w14:textId="77777777" w:rsidR="00B23EC6" w:rsidRPr="00BD4C11" w:rsidRDefault="00B23EC6" w:rsidP="00BD4C11">
      <w:pPr>
        <w:pStyle w:val="footnotefigure"/>
        <w:ind w:left="990" w:right="1530"/>
        <w:rPr>
          <w:rFonts w:ascii="Garamond" w:hAnsi="Garamond"/>
          <w:sz w:val="16"/>
        </w:rPr>
      </w:pPr>
      <w:r w:rsidRPr="00BD4C11">
        <w:rPr>
          <w:rFonts w:ascii="Garamond" w:hAnsi="Garamond"/>
          <w:i/>
          <w:sz w:val="16"/>
        </w:rPr>
        <w:t>Source:</w:t>
      </w:r>
      <w:r w:rsidRPr="00BD4C11">
        <w:rPr>
          <w:rFonts w:ascii="Garamond" w:hAnsi="Garamond"/>
          <w:sz w:val="16"/>
        </w:rPr>
        <w:t xml:space="preserve"> Analysis of VIIRS nighttime lights data from the 2015 annual composite product, </w:t>
      </w:r>
      <w:hyperlink r:id="rId9" w:history="1">
        <w:r w:rsidRPr="00BD4C11">
          <w:rPr>
            <w:rFonts w:ascii="Garamond" w:hAnsi="Garamond"/>
            <w:sz w:val="16"/>
          </w:rPr>
          <w:t>https://ngdc.noaa.gov/eog/viirs/download_dnb_composites.html</w:t>
        </w:r>
      </w:hyperlink>
      <w:r w:rsidRPr="00BD4C11">
        <w:rPr>
          <w:rFonts w:ascii="Garamond" w:hAnsi="Garamond"/>
          <w:sz w:val="16"/>
        </w:rPr>
        <w:t>. Notes in Ferreira et al. 2018</w:t>
      </w:r>
    </w:p>
    <w:p w14:paraId="126CC10E" w14:textId="77777777" w:rsidR="002C00F6" w:rsidRDefault="002C00F6" w:rsidP="00C051D3">
      <w:pPr>
        <w:pStyle w:val="Title1"/>
        <w:spacing w:before="0" w:after="240"/>
        <w:jc w:val="center"/>
        <w:rPr>
          <w:rFonts w:ascii="Garamond" w:hAnsi="Garamond"/>
          <w:sz w:val="20"/>
        </w:rPr>
      </w:pPr>
      <w:bookmarkStart w:id="6" w:name="_Ref494383713"/>
      <w:bookmarkStart w:id="7" w:name="_Toc499118401"/>
    </w:p>
    <w:p w14:paraId="08803425" w14:textId="72ED3DE7" w:rsidR="00C051D3" w:rsidRPr="009B27FC" w:rsidRDefault="00C051D3" w:rsidP="00C051D3">
      <w:pPr>
        <w:pStyle w:val="Title1"/>
        <w:spacing w:before="0" w:after="240"/>
        <w:jc w:val="center"/>
        <w:rPr>
          <w:rFonts w:ascii="Garamond" w:hAnsi="Garamond"/>
          <w:sz w:val="20"/>
        </w:rPr>
      </w:pPr>
      <w:r w:rsidRPr="009B27FC">
        <w:rPr>
          <w:rFonts w:ascii="Garamond" w:hAnsi="Garamond"/>
          <w:sz w:val="20"/>
        </w:rPr>
        <w:t xml:space="preserve">Figure </w:t>
      </w:r>
      <w:bookmarkEnd w:id="6"/>
      <w:r>
        <w:rPr>
          <w:rFonts w:ascii="Garamond" w:hAnsi="Garamond"/>
          <w:sz w:val="20"/>
        </w:rPr>
        <w:t>2.</w:t>
      </w:r>
      <w:r w:rsidRPr="009B27FC">
        <w:rPr>
          <w:rFonts w:ascii="Garamond" w:hAnsi="Garamond"/>
          <w:sz w:val="20"/>
        </w:rPr>
        <w:t xml:space="preserve"> Mean urban area productivity in </w:t>
      </w:r>
      <w:r>
        <w:rPr>
          <w:rFonts w:ascii="Garamond" w:hAnsi="Garamond"/>
          <w:sz w:val="20"/>
        </w:rPr>
        <w:t>South American</w:t>
      </w:r>
      <w:r w:rsidRPr="009B27FC">
        <w:rPr>
          <w:rFonts w:ascii="Garamond" w:hAnsi="Garamond"/>
          <w:sz w:val="20"/>
        </w:rPr>
        <w:t xml:space="preserve"> countries benchmarked against international comparators</w:t>
      </w:r>
      <w:bookmarkEnd w:id="7"/>
      <w:r w:rsidR="002C00F6" w:rsidRPr="00AD2802">
        <w:rPr>
          <w:rFonts w:ascii="Cambria" w:hAnsi="Cambria"/>
          <w:noProof/>
        </w:rPr>
        <w:drawing>
          <wp:inline distT="0" distB="0" distL="0" distR="0" wp14:anchorId="615A6573" wp14:editId="63F2DED1">
            <wp:extent cx="5781675" cy="1922780"/>
            <wp:effectExtent l="0" t="0" r="0" b="1270"/>
            <wp:docPr id="15" name="Chart 15">
              <a:extLst xmlns:a="http://schemas.openxmlformats.org/drawingml/2006/main">
                <a:ext uri="{FF2B5EF4-FFF2-40B4-BE49-F238E27FC236}">
                  <a16:creationId xmlns:a16="http://schemas.microsoft.com/office/drawing/2014/main" id="{27453CE1-69C2-4F04-A70D-EA04A18217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695FC2" w14:textId="7278534F" w:rsidR="00C051D3" w:rsidRDefault="00C051D3" w:rsidP="00C051D3">
      <w:pPr>
        <w:pStyle w:val="footnotefigure"/>
        <w:rPr>
          <w:rFonts w:ascii="Garamond" w:hAnsi="Garamond"/>
        </w:rPr>
      </w:pPr>
      <w:r w:rsidRPr="00BD4C11">
        <w:rPr>
          <w:rFonts w:ascii="Garamond" w:hAnsi="Garamond"/>
          <w:i/>
        </w:rPr>
        <w:t>Source:</w:t>
      </w:r>
      <w:r w:rsidRPr="00BD4C11">
        <w:rPr>
          <w:rFonts w:ascii="Garamond" w:hAnsi="Garamond"/>
        </w:rPr>
        <w:t xml:space="preserve"> Based on analysis of VIIRS nighttime lights data from the 2015 annual composite product, </w:t>
      </w:r>
      <w:hyperlink r:id="rId11" w:history="1">
        <w:r w:rsidRPr="00BD4C11">
          <w:rPr>
            <w:rFonts w:ascii="Garamond" w:hAnsi="Garamond"/>
          </w:rPr>
          <w:t>https://ngdc.noaa.gov/eog/viirs/download_dnb_composites.html</w:t>
        </w:r>
      </w:hyperlink>
      <w:r w:rsidRPr="00BD4C11">
        <w:rPr>
          <w:rFonts w:ascii="Garamond" w:hAnsi="Garamond"/>
        </w:rPr>
        <w:t>.</w:t>
      </w:r>
      <w:r w:rsidR="00E4384E">
        <w:rPr>
          <w:rFonts w:ascii="Garamond" w:hAnsi="Garamond"/>
        </w:rPr>
        <w:t xml:space="preserve"> </w:t>
      </w:r>
      <w:r w:rsidRPr="00BD4C11">
        <w:rPr>
          <w:rFonts w:ascii="Garamond" w:hAnsi="Garamond"/>
          <w:i/>
        </w:rPr>
        <w:t>Note:</w:t>
      </w:r>
      <w:r w:rsidRPr="00BD4C11">
        <w:rPr>
          <w:rFonts w:ascii="Garamond" w:hAnsi="Garamond"/>
        </w:rPr>
        <w:t xml:space="preserve"> A country’s mean urban area productivity is given by the mean of these residuals across its urban areas. </w:t>
      </w:r>
    </w:p>
    <w:p w14:paraId="57DADF35" w14:textId="71589501" w:rsidR="00BD4C11" w:rsidRDefault="00BD4C11" w:rsidP="00C051D3">
      <w:pPr>
        <w:pStyle w:val="footnotefigure"/>
        <w:rPr>
          <w:rFonts w:ascii="Garamond" w:hAnsi="Garamond"/>
        </w:rPr>
      </w:pPr>
    </w:p>
    <w:p w14:paraId="7D960989" w14:textId="77777777" w:rsidR="00DC4845" w:rsidRDefault="00DC4845" w:rsidP="00C051D3">
      <w:pPr>
        <w:pStyle w:val="footnotefigure"/>
        <w:rPr>
          <w:rFonts w:ascii="Garamond" w:hAnsi="Garamond"/>
          <w:b/>
          <w:sz w:val="22"/>
        </w:rPr>
      </w:pPr>
    </w:p>
    <w:p w14:paraId="6E593222" w14:textId="03981CD0" w:rsidR="00BD4C11" w:rsidRPr="00BD4C11" w:rsidRDefault="00BD4C11" w:rsidP="00C051D3">
      <w:pPr>
        <w:pStyle w:val="footnotefigure"/>
        <w:rPr>
          <w:rFonts w:ascii="Garamond" w:hAnsi="Garamond"/>
          <w:sz w:val="22"/>
        </w:rPr>
      </w:pPr>
      <w:r w:rsidRPr="00BD4C11">
        <w:rPr>
          <w:rFonts w:ascii="Garamond" w:hAnsi="Garamond"/>
          <w:b/>
          <w:sz w:val="22"/>
        </w:rPr>
        <w:lastRenderedPageBreak/>
        <w:t xml:space="preserve">However, similar to other LAC countries, Brazil’s productivity lags the global frontier. </w:t>
      </w:r>
      <w:r w:rsidRPr="009021F0">
        <w:rPr>
          <w:rFonts w:ascii="Garamond" w:hAnsi="Garamond"/>
          <w:sz w:val="22"/>
        </w:rPr>
        <w:t xml:space="preserve">Overall, </w:t>
      </w:r>
      <w:r w:rsidRPr="00BD4C11">
        <w:rPr>
          <w:rFonts w:ascii="Garamond" w:hAnsi="Garamond"/>
          <w:sz w:val="22"/>
        </w:rPr>
        <w:t>Brazilian</w:t>
      </w:r>
      <w:r w:rsidRPr="009021F0">
        <w:rPr>
          <w:rFonts w:ascii="Garamond" w:hAnsi="Garamond"/>
          <w:sz w:val="22"/>
        </w:rPr>
        <w:t xml:space="preserve"> cities are very similar to other LAC cities, in that their productivity are generally on par with the world average (Figure </w:t>
      </w:r>
      <w:r w:rsidRPr="00BD4C11">
        <w:rPr>
          <w:rFonts w:ascii="Garamond" w:hAnsi="Garamond"/>
          <w:sz w:val="22"/>
        </w:rPr>
        <w:t>3</w:t>
      </w:r>
      <w:r w:rsidRPr="009021F0">
        <w:rPr>
          <w:rFonts w:ascii="Garamond" w:hAnsi="Garamond"/>
          <w:sz w:val="22"/>
        </w:rPr>
        <w:t xml:space="preserve">a). Yet, while in general, cities in the region are more productive than those in many others, they lag behind the world productivity “frontier”, as measured by North American and Western European cities (Figure </w:t>
      </w:r>
      <w:r w:rsidRPr="00BD4C11">
        <w:rPr>
          <w:rFonts w:ascii="Garamond" w:hAnsi="Garamond"/>
          <w:sz w:val="22"/>
        </w:rPr>
        <w:t>3</w:t>
      </w:r>
      <w:r w:rsidRPr="009021F0">
        <w:rPr>
          <w:rFonts w:ascii="Garamond" w:hAnsi="Garamond"/>
          <w:sz w:val="22"/>
        </w:rPr>
        <w:t>b). Considerable scope thus exists to raise the bar for productive cities in the region, and the contribution that urban areas in the region make to national GDP per capita.</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5"/>
      </w:tblGrid>
      <w:tr w:rsidR="00BD4C11" w:rsidRPr="0029748B" w14:paraId="4C1A38A4" w14:textId="77777777" w:rsidTr="00BD4C11">
        <w:tc>
          <w:tcPr>
            <w:tcW w:w="9355" w:type="dxa"/>
          </w:tcPr>
          <w:p w14:paraId="7BA6152A" w14:textId="5922F816" w:rsidR="00BD4C11" w:rsidRDefault="00BD4C11" w:rsidP="00BD4C11">
            <w:pPr>
              <w:pStyle w:val="BodyText"/>
              <w:kinsoku w:val="0"/>
              <w:overflowPunct w:val="0"/>
              <w:ind w:left="70" w:right="-220"/>
              <w:jc w:val="center"/>
              <w:rPr>
                <w:rFonts w:ascii="Garamond" w:eastAsiaTheme="majorEastAsia" w:hAnsi="Garamond" w:cstheme="minorHAnsi"/>
                <w:b/>
                <w:szCs w:val="28"/>
              </w:rPr>
            </w:pPr>
          </w:p>
          <w:p w14:paraId="6FEF5845" w14:textId="1709542B" w:rsidR="00BD4C11" w:rsidRPr="0029748B" w:rsidRDefault="00BD4C11" w:rsidP="00BD4C11">
            <w:pPr>
              <w:pStyle w:val="BodyText"/>
              <w:kinsoku w:val="0"/>
              <w:overflowPunct w:val="0"/>
              <w:ind w:left="70" w:right="-220"/>
              <w:jc w:val="center"/>
              <w:rPr>
                <w:rFonts w:ascii="Garamond" w:eastAsiaTheme="majorEastAsia" w:hAnsi="Garamond" w:cstheme="minorHAnsi"/>
                <w:b/>
                <w:szCs w:val="28"/>
              </w:rPr>
            </w:pPr>
            <w:r w:rsidRPr="0029748B">
              <w:rPr>
                <w:rFonts w:ascii="Garamond" w:eastAsiaTheme="majorEastAsia" w:hAnsi="Garamond" w:cstheme="minorHAnsi"/>
                <w:b/>
                <w:szCs w:val="28"/>
              </w:rPr>
              <w:t xml:space="preserve">Figure </w:t>
            </w:r>
            <w:r>
              <w:rPr>
                <w:rFonts w:ascii="Garamond" w:eastAsiaTheme="majorEastAsia" w:hAnsi="Garamond" w:cstheme="minorHAnsi"/>
                <w:b/>
                <w:szCs w:val="28"/>
              </w:rPr>
              <w:t>3</w:t>
            </w:r>
            <w:r w:rsidRPr="0029748B">
              <w:rPr>
                <w:rFonts w:ascii="Garamond" w:eastAsiaTheme="majorEastAsia" w:hAnsi="Garamond" w:cstheme="minorHAnsi"/>
                <w:b/>
                <w:szCs w:val="28"/>
              </w:rPr>
              <w:t>a. LAC countries exhibit average productivity given their urbanization levels</w:t>
            </w:r>
          </w:p>
        </w:tc>
      </w:tr>
      <w:tr w:rsidR="00BD4C11" w:rsidRPr="0029748B" w14:paraId="1A513245" w14:textId="77777777" w:rsidTr="00BD4C11">
        <w:tc>
          <w:tcPr>
            <w:tcW w:w="9355" w:type="dxa"/>
          </w:tcPr>
          <w:p w14:paraId="7CBD7C9A" w14:textId="05D05ED4" w:rsidR="00BD4C11" w:rsidRPr="0029748B" w:rsidRDefault="005E11B2" w:rsidP="00E81216">
            <w:pPr>
              <w:jc w:val="center"/>
              <w:rPr>
                <w:rFonts w:ascii="Garamond" w:hAnsi="Garamond" w:cstheme="minorHAnsi"/>
                <w:b/>
              </w:rPr>
            </w:pPr>
            <w:r>
              <w:rPr>
                <w:noProof/>
              </w:rPr>
              <w:drawing>
                <wp:inline distT="0" distB="0" distL="0" distR="0" wp14:anchorId="25D29BCC" wp14:editId="1177581B">
                  <wp:extent cx="3467735" cy="268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80639" cy="2696045"/>
                          </a:xfrm>
                          <a:prstGeom prst="rect">
                            <a:avLst/>
                          </a:prstGeom>
                        </pic:spPr>
                      </pic:pic>
                    </a:graphicData>
                  </a:graphic>
                </wp:inline>
              </w:drawing>
            </w:r>
          </w:p>
          <w:p w14:paraId="2F4831B5" w14:textId="1B0A443C" w:rsidR="00BD4C11" w:rsidRPr="0029748B" w:rsidRDefault="00BD4C11" w:rsidP="00BD4C11">
            <w:pPr>
              <w:ind w:left="1150" w:right="1150"/>
              <w:jc w:val="both"/>
              <w:rPr>
                <w:rFonts w:ascii="Garamond" w:hAnsi="Garamond" w:cstheme="minorHAnsi"/>
                <w:sz w:val="16"/>
              </w:rPr>
            </w:pPr>
            <w:r w:rsidRPr="0029748B">
              <w:rPr>
                <w:rFonts w:ascii="Garamond" w:hAnsi="Garamond" w:cstheme="minorHAnsi"/>
                <w:sz w:val="16"/>
              </w:rPr>
              <w:t>Source</w:t>
            </w:r>
            <w:r w:rsidRPr="0029748B">
              <w:rPr>
                <w:rFonts w:ascii="Garamond" w:hAnsi="Garamond" w:cstheme="minorHAnsi"/>
                <w:b/>
                <w:sz w:val="16"/>
              </w:rPr>
              <w:t>:</w:t>
            </w:r>
            <w:r w:rsidRPr="0029748B">
              <w:rPr>
                <w:rFonts w:ascii="Garamond" w:hAnsi="Garamond" w:cstheme="minorHAnsi"/>
                <w:sz w:val="16"/>
              </w:rPr>
              <w:t xml:space="preserve"> Calculations based on World Development Indicators data and cities defined using the cluster algorithm of Dijkstra and Poelman (2014), as applied to Landscan 2012 gridded population data. </w:t>
            </w:r>
            <w:r w:rsidRPr="0029748B">
              <w:rPr>
                <w:rFonts w:ascii="Garamond" w:hAnsi="Garamond" w:cstheme="minorHAnsi"/>
                <w:noProof/>
                <w:sz w:val="16"/>
              </w:rPr>
              <mc:AlternateContent>
                <mc:Choice Requires="wps">
                  <w:drawing>
                    <wp:anchor distT="0" distB="0" distL="114300" distR="114300" simplePos="0" relativeHeight="251658752" behindDoc="0" locked="0" layoutInCell="0" allowOverlap="1" wp14:anchorId="28F41D80" wp14:editId="381C7B76">
                      <wp:simplePos x="0" y="0"/>
                      <wp:positionH relativeFrom="page">
                        <wp:posOffset>7675880</wp:posOffset>
                      </wp:positionH>
                      <wp:positionV relativeFrom="paragraph">
                        <wp:posOffset>100330</wp:posOffset>
                      </wp:positionV>
                      <wp:extent cx="152400" cy="152400"/>
                      <wp:effectExtent l="0" t="0" r="0" b="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B6D6" w14:textId="51CC203B" w:rsidR="00DC4845" w:rsidRDefault="00DC4845" w:rsidP="00BD4C11">
                                  <w:pPr>
                                    <w:spacing w:line="240" w:lineRule="atLeast"/>
                                  </w:pPr>
                                </w:p>
                                <w:p w14:paraId="5984F067" w14:textId="77777777" w:rsidR="00DC4845" w:rsidRDefault="00DC4845" w:rsidP="00BD4C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41D80" id="Rectangle 241" o:spid="_x0000_s1029" style="position:absolute;left:0;text-align:left;margin-left:604.4pt;margin-top:7.9pt;width:1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" o:allowincell="f" filled="f" stroked="f">
                      <v:textbox inset="0,0,0,0">
                        <w:txbxContent>
                          <w:p w14:paraId="1A3AB6D6" w14:textId="51CC203B" w:rsidR="00DC4845" w:rsidRDefault="00DC4845" w:rsidP="00BD4C11">
                            <w:pPr>
                              <w:spacing w:line="240" w:lineRule="atLeast"/>
                            </w:pPr>
                          </w:p>
                          <w:p w14:paraId="5984F067" w14:textId="77777777" w:rsidR="00DC4845" w:rsidRDefault="00DC4845" w:rsidP="00BD4C11"/>
                        </w:txbxContent>
                      </v:textbox>
                      <w10:wrap anchorx="page"/>
                    </v:rect>
                  </w:pict>
                </mc:Fallback>
              </mc:AlternateContent>
            </w:r>
            <w:r w:rsidRPr="0029748B">
              <w:rPr>
                <w:rFonts w:ascii="Garamond" w:hAnsi="Garamond" w:cstheme="minorHAnsi"/>
                <w:sz w:val="16"/>
              </w:rPr>
              <w:t>Note: GDP per capita is measured in constant international dollars at 2012 PPP exchange rates. It is expressed in natural logs on the vertical axis.</w:t>
            </w:r>
          </w:p>
          <w:p w14:paraId="7A012E11" w14:textId="77777777" w:rsidR="00BD4C11" w:rsidRPr="0029748B" w:rsidRDefault="00BD4C11" w:rsidP="00BD4C11">
            <w:pPr>
              <w:jc w:val="both"/>
              <w:rPr>
                <w:rFonts w:ascii="Garamond" w:hAnsi="Garamond" w:cstheme="minorHAnsi"/>
                <w:b/>
              </w:rPr>
            </w:pPr>
          </w:p>
        </w:tc>
      </w:tr>
      <w:tr w:rsidR="00BD4C11" w:rsidRPr="0029748B" w14:paraId="68DFA134" w14:textId="77777777" w:rsidTr="00BD4C11">
        <w:tc>
          <w:tcPr>
            <w:tcW w:w="9355" w:type="dxa"/>
          </w:tcPr>
          <w:p w14:paraId="2977F42E" w14:textId="7D757F92" w:rsidR="00DC4845" w:rsidRDefault="00BD4C11" w:rsidP="00BD4C11">
            <w:pPr>
              <w:pStyle w:val="BodyText"/>
              <w:kinsoku w:val="0"/>
              <w:overflowPunct w:val="0"/>
              <w:ind w:left="70" w:right="-220"/>
              <w:jc w:val="center"/>
              <w:rPr>
                <w:rFonts w:ascii="Garamond" w:eastAsiaTheme="majorEastAsia" w:hAnsi="Garamond" w:cstheme="minorHAnsi"/>
                <w:b/>
                <w:szCs w:val="28"/>
              </w:rPr>
            </w:pPr>
            <w:r w:rsidRPr="0029748B">
              <w:rPr>
                <w:rFonts w:ascii="Garamond" w:eastAsiaTheme="majorEastAsia" w:hAnsi="Garamond" w:cstheme="minorHAnsi"/>
                <w:b/>
                <w:szCs w:val="28"/>
              </w:rPr>
              <w:t xml:space="preserve">Figure </w:t>
            </w:r>
            <w:r>
              <w:rPr>
                <w:rFonts w:ascii="Garamond" w:eastAsiaTheme="majorEastAsia" w:hAnsi="Garamond" w:cstheme="minorHAnsi"/>
                <w:b/>
                <w:szCs w:val="28"/>
              </w:rPr>
              <w:t>3</w:t>
            </w:r>
            <w:r w:rsidRPr="0029748B">
              <w:rPr>
                <w:rFonts w:ascii="Garamond" w:eastAsiaTheme="majorEastAsia" w:hAnsi="Garamond" w:cstheme="minorHAnsi"/>
                <w:b/>
                <w:szCs w:val="28"/>
              </w:rPr>
              <w:t>.b</w:t>
            </w:r>
            <w:r w:rsidR="00DC4845">
              <w:rPr>
                <w:rFonts w:ascii="Garamond" w:eastAsiaTheme="majorEastAsia" w:hAnsi="Garamond" w:cstheme="minorHAnsi"/>
                <w:b/>
                <w:szCs w:val="28"/>
              </w:rPr>
              <w:t xml:space="preserve"> </w:t>
            </w:r>
            <w:r w:rsidRPr="0029748B">
              <w:rPr>
                <w:rFonts w:ascii="Garamond" w:eastAsiaTheme="majorEastAsia" w:hAnsi="Garamond" w:cstheme="minorHAnsi"/>
                <w:b/>
                <w:szCs w:val="28"/>
              </w:rPr>
              <w:t xml:space="preserve">Productivity of LAC </w:t>
            </w:r>
            <w:r w:rsidR="00DF0804">
              <w:rPr>
                <w:rFonts w:ascii="Garamond" w:eastAsiaTheme="majorEastAsia" w:hAnsi="Garamond" w:cstheme="minorHAnsi"/>
                <w:b/>
                <w:szCs w:val="28"/>
              </w:rPr>
              <w:t xml:space="preserve">&amp; Brazilian </w:t>
            </w:r>
            <w:r w:rsidRPr="0029748B">
              <w:rPr>
                <w:rFonts w:ascii="Garamond" w:eastAsiaTheme="majorEastAsia" w:hAnsi="Garamond" w:cstheme="minorHAnsi"/>
                <w:b/>
                <w:szCs w:val="28"/>
              </w:rPr>
              <w:t>cities</w:t>
            </w:r>
            <w:r w:rsidR="00DF0804">
              <w:rPr>
                <w:rFonts w:ascii="Garamond" w:eastAsiaTheme="majorEastAsia" w:hAnsi="Garamond" w:cstheme="minorHAnsi"/>
                <w:b/>
                <w:szCs w:val="28"/>
              </w:rPr>
              <w:t xml:space="preserve"> are</w:t>
            </w:r>
            <w:r w:rsidRPr="0029748B">
              <w:rPr>
                <w:rFonts w:ascii="Garamond" w:eastAsiaTheme="majorEastAsia" w:hAnsi="Garamond" w:cstheme="minorHAnsi"/>
                <w:b/>
                <w:szCs w:val="28"/>
              </w:rPr>
              <w:t xml:space="preserve"> above average but lag the global frontier</w:t>
            </w:r>
          </w:p>
          <w:p w14:paraId="745A5D76" w14:textId="00DC7E2A" w:rsidR="00DC4845" w:rsidRDefault="005A0713" w:rsidP="00BD4C11">
            <w:pPr>
              <w:pStyle w:val="BodyText"/>
              <w:kinsoku w:val="0"/>
              <w:overflowPunct w:val="0"/>
              <w:ind w:left="70" w:right="-220"/>
              <w:jc w:val="center"/>
              <w:rPr>
                <w:rFonts w:ascii="Garamond" w:eastAsiaTheme="majorEastAsia" w:hAnsi="Garamond" w:cstheme="minorHAnsi"/>
                <w:b/>
                <w:szCs w:val="28"/>
              </w:rPr>
            </w:pPr>
            <w:r>
              <w:rPr>
                <w:noProof/>
              </w:rPr>
              <w:drawing>
                <wp:anchor distT="0" distB="0" distL="114300" distR="114300" simplePos="0" relativeHeight="251661824" behindDoc="0" locked="0" layoutInCell="1" allowOverlap="1" wp14:anchorId="1D579A94" wp14:editId="43819AEB">
                  <wp:simplePos x="0" y="0"/>
                  <wp:positionH relativeFrom="column">
                    <wp:posOffset>1169670</wp:posOffset>
                  </wp:positionH>
                  <wp:positionV relativeFrom="paragraph">
                    <wp:posOffset>43180</wp:posOffset>
                  </wp:positionV>
                  <wp:extent cx="3540760" cy="25609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540760" cy="2560955"/>
                          </a:xfrm>
                          <a:prstGeom prst="rect">
                            <a:avLst/>
                          </a:prstGeom>
                        </pic:spPr>
                      </pic:pic>
                    </a:graphicData>
                  </a:graphic>
                  <wp14:sizeRelH relativeFrom="margin">
                    <wp14:pctWidth>0</wp14:pctWidth>
                  </wp14:sizeRelH>
                  <wp14:sizeRelV relativeFrom="margin">
                    <wp14:pctHeight>0</wp14:pctHeight>
                  </wp14:sizeRelV>
                </wp:anchor>
              </w:drawing>
            </w:r>
          </w:p>
          <w:p w14:paraId="4E9B255E" w14:textId="57F90D79" w:rsidR="00DC4845" w:rsidRDefault="00DC4845" w:rsidP="00BD4C11">
            <w:pPr>
              <w:pStyle w:val="BodyText"/>
              <w:kinsoku w:val="0"/>
              <w:overflowPunct w:val="0"/>
              <w:ind w:left="70" w:right="-220"/>
              <w:jc w:val="center"/>
              <w:rPr>
                <w:rFonts w:ascii="Garamond" w:eastAsiaTheme="majorEastAsia" w:hAnsi="Garamond" w:cstheme="minorHAnsi"/>
                <w:b/>
                <w:szCs w:val="28"/>
              </w:rPr>
            </w:pPr>
          </w:p>
          <w:p w14:paraId="7FA259FC" w14:textId="79F78C2B" w:rsidR="00BD4C11" w:rsidRDefault="00BD4C11" w:rsidP="00BD4C11">
            <w:pPr>
              <w:ind w:left="1150" w:right="1150"/>
              <w:jc w:val="both"/>
              <w:rPr>
                <w:rFonts w:ascii="Garamond" w:hAnsi="Garamond" w:cs="Calibri"/>
                <w:i/>
                <w:iCs/>
                <w:color w:val="231F20"/>
                <w:w w:val="95"/>
                <w:sz w:val="14"/>
                <w:szCs w:val="14"/>
              </w:rPr>
            </w:pPr>
            <w:bookmarkStart w:id="8" w:name="_Hlk512622590"/>
          </w:p>
          <w:p w14:paraId="00E5FFE1" w14:textId="3DBF77C9" w:rsidR="00DC4845" w:rsidRDefault="00DC4845" w:rsidP="00BD4C11">
            <w:pPr>
              <w:ind w:left="1150" w:right="1150"/>
              <w:jc w:val="both"/>
              <w:rPr>
                <w:rFonts w:ascii="Garamond" w:hAnsi="Garamond" w:cs="Calibri"/>
                <w:i/>
                <w:iCs/>
                <w:color w:val="231F20"/>
                <w:w w:val="95"/>
                <w:sz w:val="14"/>
                <w:szCs w:val="14"/>
              </w:rPr>
            </w:pPr>
          </w:p>
          <w:p w14:paraId="75631EE0" w14:textId="43C7CD1A" w:rsidR="00DC4845" w:rsidRDefault="00DC4845" w:rsidP="00BD4C11">
            <w:pPr>
              <w:ind w:left="1150" w:right="1150"/>
              <w:jc w:val="both"/>
              <w:rPr>
                <w:rFonts w:ascii="Garamond" w:hAnsi="Garamond" w:cs="Calibri"/>
                <w:i/>
                <w:iCs/>
                <w:color w:val="231F20"/>
                <w:w w:val="95"/>
                <w:sz w:val="14"/>
                <w:szCs w:val="14"/>
              </w:rPr>
            </w:pPr>
          </w:p>
          <w:p w14:paraId="6D4F9EBB" w14:textId="2D579E4A" w:rsidR="00DC4845" w:rsidRDefault="00DC4845" w:rsidP="00BD4C11">
            <w:pPr>
              <w:ind w:left="1150" w:right="1150"/>
              <w:jc w:val="both"/>
              <w:rPr>
                <w:rFonts w:ascii="Garamond" w:hAnsi="Garamond" w:cs="Calibri"/>
                <w:i/>
                <w:iCs/>
                <w:color w:val="231F20"/>
                <w:w w:val="95"/>
                <w:sz w:val="14"/>
                <w:szCs w:val="14"/>
              </w:rPr>
            </w:pPr>
          </w:p>
          <w:p w14:paraId="287525C1" w14:textId="2FD64108" w:rsidR="00DC4845" w:rsidRDefault="00DC4845" w:rsidP="00BD4C11">
            <w:pPr>
              <w:ind w:left="1150" w:right="1150"/>
              <w:jc w:val="both"/>
              <w:rPr>
                <w:rFonts w:ascii="Garamond" w:hAnsi="Garamond" w:cs="Calibri"/>
                <w:i/>
                <w:iCs/>
                <w:color w:val="231F20"/>
                <w:w w:val="95"/>
                <w:sz w:val="14"/>
                <w:szCs w:val="14"/>
              </w:rPr>
            </w:pPr>
          </w:p>
          <w:p w14:paraId="49898AE0" w14:textId="334CFA6A" w:rsidR="00DC4845" w:rsidRDefault="00DC4845" w:rsidP="00BD4C11">
            <w:pPr>
              <w:ind w:left="1150" w:right="1150"/>
              <w:jc w:val="both"/>
              <w:rPr>
                <w:rFonts w:ascii="Garamond" w:hAnsi="Garamond" w:cs="Calibri"/>
                <w:i/>
                <w:iCs/>
                <w:color w:val="231F20"/>
                <w:w w:val="95"/>
                <w:sz w:val="14"/>
                <w:szCs w:val="14"/>
              </w:rPr>
            </w:pPr>
          </w:p>
          <w:p w14:paraId="519463B0" w14:textId="5F7AB0C6" w:rsidR="00DC4845" w:rsidRDefault="00DC4845" w:rsidP="00BD4C11">
            <w:pPr>
              <w:ind w:left="1150" w:right="1150"/>
              <w:jc w:val="both"/>
              <w:rPr>
                <w:rFonts w:ascii="Garamond" w:hAnsi="Garamond" w:cs="Calibri"/>
                <w:i/>
                <w:iCs/>
                <w:color w:val="231F20"/>
                <w:w w:val="95"/>
                <w:sz w:val="14"/>
                <w:szCs w:val="14"/>
              </w:rPr>
            </w:pPr>
          </w:p>
          <w:p w14:paraId="0510866A" w14:textId="0111A80F" w:rsidR="00DC4845" w:rsidRDefault="00DC4845" w:rsidP="00BD4C11">
            <w:pPr>
              <w:ind w:left="1150" w:right="1150"/>
              <w:jc w:val="both"/>
              <w:rPr>
                <w:rFonts w:ascii="Garamond" w:hAnsi="Garamond" w:cs="Calibri"/>
                <w:i/>
                <w:iCs/>
                <w:color w:val="231F20"/>
                <w:w w:val="95"/>
                <w:sz w:val="14"/>
                <w:szCs w:val="14"/>
              </w:rPr>
            </w:pPr>
          </w:p>
          <w:p w14:paraId="1D68FC29" w14:textId="3B9B9909" w:rsidR="00DC4845" w:rsidRDefault="00DC4845" w:rsidP="00BD4C11">
            <w:pPr>
              <w:ind w:left="1150" w:right="1150"/>
              <w:jc w:val="both"/>
              <w:rPr>
                <w:rFonts w:ascii="Garamond" w:hAnsi="Garamond" w:cs="Calibri"/>
                <w:i/>
                <w:iCs/>
                <w:color w:val="231F20"/>
                <w:w w:val="95"/>
                <w:sz w:val="14"/>
                <w:szCs w:val="14"/>
              </w:rPr>
            </w:pPr>
          </w:p>
          <w:p w14:paraId="41451E01" w14:textId="7F355202" w:rsidR="00DC4845" w:rsidRDefault="00DC4845" w:rsidP="00BD4C11">
            <w:pPr>
              <w:ind w:left="1150" w:right="1150"/>
              <w:jc w:val="both"/>
              <w:rPr>
                <w:rFonts w:ascii="Garamond" w:hAnsi="Garamond" w:cs="Calibri"/>
                <w:i/>
                <w:iCs/>
                <w:color w:val="231F20"/>
                <w:w w:val="95"/>
                <w:sz w:val="14"/>
                <w:szCs w:val="14"/>
              </w:rPr>
            </w:pPr>
          </w:p>
          <w:p w14:paraId="3B9819A0" w14:textId="72FD0664" w:rsidR="00DC4845" w:rsidRDefault="00DC4845" w:rsidP="00BD4C11">
            <w:pPr>
              <w:ind w:left="1150" w:right="1150"/>
              <w:jc w:val="both"/>
              <w:rPr>
                <w:rFonts w:ascii="Garamond" w:hAnsi="Garamond" w:cs="Calibri"/>
                <w:i/>
                <w:iCs/>
                <w:color w:val="231F20"/>
                <w:w w:val="95"/>
                <w:sz w:val="14"/>
                <w:szCs w:val="14"/>
              </w:rPr>
            </w:pPr>
          </w:p>
          <w:p w14:paraId="6FEB2090" w14:textId="23C088DA" w:rsidR="00DC4845" w:rsidRDefault="00DC4845" w:rsidP="00BD4C11">
            <w:pPr>
              <w:ind w:left="1150" w:right="1150"/>
              <w:jc w:val="both"/>
              <w:rPr>
                <w:rFonts w:ascii="Garamond" w:hAnsi="Garamond" w:cs="Calibri"/>
                <w:i/>
                <w:iCs/>
                <w:color w:val="231F20"/>
                <w:w w:val="95"/>
                <w:sz w:val="14"/>
                <w:szCs w:val="14"/>
              </w:rPr>
            </w:pPr>
          </w:p>
          <w:p w14:paraId="5574B00B" w14:textId="5FA98D2C" w:rsidR="00DC4845" w:rsidRDefault="00DC4845" w:rsidP="00BD4C11">
            <w:pPr>
              <w:ind w:left="1150" w:right="1150"/>
              <w:jc w:val="both"/>
              <w:rPr>
                <w:rFonts w:ascii="Garamond" w:hAnsi="Garamond" w:cs="Calibri"/>
                <w:i/>
                <w:iCs/>
                <w:color w:val="231F20"/>
                <w:w w:val="95"/>
                <w:sz w:val="14"/>
                <w:szCs w:val="14"/>
              </w:rPr>
            </w:pPr>
          </w:p>
          <w:p w14:paraId="0699AFB3" w14:textId="7BC59BD9" w:rsidR="00DC4845" w:rsidRDefault="00DC4845" w:rsidP="00BD4C11">
            <w:pPr>
              <w:ind w:left="1150" w:right="1150"/>
              <w:jc w:val="both"/>
              <w:rPr>
                <w:rFonts w:ascii="Garamond" w:hAnsi="Garamond" w:cs="Calibri"/>
                <w:i/>
                <w:iCs/>
                <w:color w:val="231F20"/>
                <w:w w:val="95"/>
                <w:sz w:val="14"/>
                <w:szCs w:val="14"/>
              </w:rPr>
            </w:pPr>
          </w:p>
          <w:p w14:paraId="66F8CE6A" w14:textId="75492EF0" w:rsidR="00DC4845" w:rsidRDefault="00DC4845" w:rsidP="00BD4C11">
            <w:pPr>
              <w:ind w:left="1150" w:right="1150"/>
              <w:jc w:val="both"/>
              <w:rPr>
                <w:rFonts w:ascii="Garamond" w:hAnsi="Garamond" w:cs="Calibri"/>
                <w:i/>
                <w:iCs/>
                <w:color w:val="231F20"/>
                <w:w w:val="95"/>
                <w:sz w:val="14"/>
                <w:szCs w:val="14"/>
              </w:rPr>
            </w:pPr>
          </w:p>
          <w:p w14:paraId="5AC90CE8" w14:textId="66730971" w:rsidR="00DC4845" w:rsidRDefault="00DC4845" w:rsidP="00BD4C11">
            <w:pPr>
              <w:ind w:left="1150" w:right="1150"/>
              <w:jc w:val="both"/>
              <w:rPr>
                <w:rFonts w:ascii="Garamond" w:hAnsi="Garamond" w:cs="Calibri"/>
                <w:i/>
                <w:iCs/>
                <w:color w:val="231F20"/>
                <w:w w:val="95"/>
                <w:sz w:val="14"/>
                <w:szCs w:val="14"/>
              </w:rPr>
            </w:pPr>
          </w:p>
          <w:p w14:paraId="1F5CDA7E" w14:textId="26582DB9" w:rsidR="00DC4845" w:rsidRDefault="00DC4845" w:rsidP="00BD4C11">
            <w:pPr>
              <w:ind w:left="1150" w:right="1150"/>
              <w:jc w:val="both"/>
              <w:rPr>
                <w:rFonts w:ascii="Garamond" w:hAnsi="Garamond" w:cs="Calibri"/>
                <w:i/>
                <w:iCs/>
                <w:color w:val="231F20"/>
                <w:w w:val="95"/>
                <w:sz w:val="14"/>
                <w:szCs w:val="14"/>
              </w:rPr>
            </w:pPr>
          </w:p>
          <w:p w14:paraId="1FDED485" w14:textId="2737556D" w:rsidR="00DC4845" w:rsidRDefault="00DC4845" w:rsidP="00BD4C11">
            <w:pPr>
              <w:ind w:left="1150" w:right="1150"/>
              <w:jc w:val="both"/>
              <w:rPr>
                <w:rFonts w:ascii="Garamond" w:hAnsi="Garamond" w:cs="Calibri"/>
                <w:i/>
                <w:iCs/>
                <w:color w:val="231F20"/>
                <w:w w:val="95"/>
                <w:sz w:val="14"/>
                <w:szCs w:val="14"/>
              </w:rPr>
            </w:pPr>
          </w:p>
          <w:p w14:paraId="10D50640" w14:textId="624BCE37" w:rsidR="00DC4845" w:rsidRDefault="00DC4845" w:rsidP="00BD4C11">
            <w:pPr>
              <w:ind w:left="1150" w:right="1150"/>
              <w:jc w:val="both"/>
              <w:rPr>
                <w:rFonts w:ascii="Garamond" w:hAnsi="Garamond" w:cs="Calibri"/>
                <w:i/>
                <w:iCs/>
                <w:color w:val="231F20"/>
                <w:w w:val="95"/>
                <w:sz w:val="14"/>
                <w:szCs w:val="14"/>
              </w:rPr>
            </w:pPr>
          </w:p>
          <w:p w14:paraId="1132EF8C" w14:textId="61C1CBE4" w:rsidR="00DC4845" w:rsidRDefault="00DC4845" w:rsidP="00BD4C11">
            <w:pPr>
              <w:ind w:left="1150" w:right="1150"/>
              <w:jc w:val="both"/>
              <w:rPr>
                <w:rFonts w:ascii="Garamond" w:hAnsi="Garamond" w:cs="Calibri"/>
                <w:i/>
                <w:iCs/>
                <w:color w:val="231F20"/>
                <w:w w:val="95"/>
                <w:sz w:val="14"/>
                <w:szCs w:val="14"/>
              </w:rPr>
            </w:pPr>
          </w:p>
          <w:p w14:paraId="62B7CE74" w14:textId="11EC6C96" w:rsidR="00DC4845" w:rsidRDefault="00DC4845" w:rsidP="00BD4C11">
            <w:pPr>
              <w:ind w:left="1150" w:right="1150"/>
              <w:jc w:val="both"/>
              <w:rPr>
                <w:rFonts w:ascii="Garamond" w:hAnsi="Garamond" w:cs="Calibri"/>
                <w:i/>
                <w:iCs/>
                <w:color w:val="231F20"/>
                <w:w w:val="95"/>
                <w:sz w:val="14"/>
                <w:szCs w:val="14"/>
              </w:rPr>
            </w:pPr>
          </w:p>
          <w:p w14:paraId="360E60E7" w14:textId="4373F814" w:rsidR="00DC4845" w:rsidRDefault="00DC4845" w:rsidP="00BD4C11">
            <w:pPr>
              <w:ind w:left="1150" w:right="1150"/>
              <w:jc w:val="both"/>
              <w:rPr>
                <w:rFonts w:ascii="Garamond" w:hAnsi="Garamond" w:cs="Calibri"/>
                <w:i/>
                <w:iCs/>
                <w:color w:val="231F20"/>
                <w:w w:val="95"/>
                <w:sz w:val="14"/>
                <w:szCs w:val="14"/>
              </w:rPr>
            </w:pPr>
          </w:p>
          <w:p w14:paraId="5300E50A" w14:textId="36158958" w:rsidR="00DC4845" w:rsidRDefault="00DC4845" w:rsidP="00BD4C11">
            <w:pPr>
              <w:ind w:left="1150" w:right="1150"/>
              <w:jc w:val="both"/>
              <w:rPr>
                <w:rFonts w:ascii="Garamond" w:hAnsi="Garamond" w:cs="Calibri"/>
                <w:i/>
                <w:iCs/>
                <w:color w:val="231F20"/>
                <w:w w:val="95"/>
                <w:sz w:val="14"/>
                <w:szCs w:val="14"/>
              </w:rPr>
            </w:pPr>
          </w:p>
          <w:p w14:paraId="26548F13" w14:textId="77777777" w:rsidR="000762F0" w:rsidRDefault="000762F0" w:rsidP="00BD4C11">
            <w:pPr>
              <w:ind w:left="1150" w:right="1150"/>
              <w:jc w:val="both"/>
              <w:rPr>
                <w:rFonts w:ascii="Garamond" w:hAnsi="Garamond" w:cstheme="minorHAnsi"/>
                <w:sz w:val="16"/>
              </w:rPr>
            </w:pPr>
          </w:p>
          <w:p w14:paraId="16B640C6" w14:textId="1B4E4FB5" w:rsidR="00BD4C11" w:rsidRPr="0029748B" w:rsidRDefault="00BD4C11" w:rsidP="00BD4C11">
            <w:pPr>
              <w:ind w:left="1150" w:right="1150"/>
              <w:jc w:val="both"/>
              <w:rPr>
                <w:rFonts w:ascii="Garamond" w:hAnsi="Garamond" w:cstheme="minorHAnsi"/>
                <w:b/>
              </w:rPr>
            </w:pPr>
            <w:r w:rsidRPr="00BD4C11">
              <w:rPr>
                <w:rFonts w:ascii="Garamond" w:hAnsi="Garamond" w:cstheme="minorHAnsi"/>
                <w:sz w:val="16"/>
              </w:rPr>
              <w:t xml:space="preserve">Source: Calculations based on nighttime lights data from the 2015 VIIRS (Visible Infrared Imaging Radiometer Suite) annual composite product (https://ngdc.noaa.gov/eog/viirs/download_dnb_ composites.html). Cities </w:t>
            </w:r>
            <w:r w:rsidRPr="00BD4C11">
              <w:rPr>
                <w:rFonts w:ascii="Garamond" w:hAnsi="Garamond" w:cstheme="minorHAnsi"/>
                <w:sz w:val="16"/>
              </w:rPr>
              <w:lastRenderedPageBreak/>
              <w:t>are defined using the cluster algorithm of Dijkstra and Poelman (2014), as applied to Landscan 2012 gridded population data. Note: Nighttime lights on the vertical axis is the sum of nighttime lights luminosity values within a given city. LAC = Latin America and the Caribbean.</w:t>
            </w:r>
            <w:bookmarkEnd w:id="8"/>
          </w:p>
        </w:tc>
      </w:tr>
    </w:tbl>
    <w:p w14:paraId="67EE9305" w14:textId="0FCAE232" w:rsidR="00D82D0D" w:rsidRDefault="00D82D0D" w:rsidP="00DE6DBD">
      <w:pPr>
        <w:spacing w:before="240" w:line="240" w:lineRule="auto"/>
        <w:jc w:val="both"/>
        <w:rPr>
          <w:rFonts w:ascii="Garamond" w:hAnsi="Garamond"/>
        </w:rPr>
      </w:pPr>
      <w:r>
        <w:rPr>
          <w:rFonts w:ascii="Garamond" w:hAnsi="Garamond"/>
          <w:b/>
        </w:rPr>
        <w:lastRenderedPageBreak/>
        <w:t>Co</w:t>
      </w:r>
      <w:r w:rsidRPr="0088057B">
        <w:rPr>
          <w:rFonts w:ascii="Garamond" w:hAnsi="Garamond"/>
          <w:b/>
        </w:rPr>
        <w:t xml:space="preserve">ntrary to most South American countries, </w:t>
      </w:r>
      <w:r w:rsidRPr="0088057B">
        <w:rPr>
          <w:rFonts w:ascii="Garamond" w:hAnsi="Garamond"/>
          <w:b/>
          <w:szCs w:val="24"/>
        </w:rPr>
        <w:t xml:space="preserve">Brazil has low urban primacy. </w:t>
      </w:r>
      <w:r w:rsidRPr="0088057B">
        <w:rPr>
          <w:rFonts w:ascii="Garamond" w:hAnsi="Garamond"/>
          <w:szCs w:val="24"/>
        </w:rPr>
        <w:t>A considerable number of LAC countries exhibit unusually high urban primacy.</w:t>
      </w:r>
      <w:r w:rsidR="00D41424">
        <w:rPr>
          <w:rStyle w:val="FootnoteReference"/>
          <w:rFonts w:ascii="Garamond" w:hAnsi="Garamond"/>
          <w:szCs w:val="24"/>
        </w:rPr>
        <w:footnoteReference w:id="6"/>
      </w:r>
      <w:r w:rsidRPr="0088057B">
        <w:rPr>
          <w:rFonts w:ascii="Garamond" w:hAnsi="Garamond"/>
          <w:szCs w:val="24"/>
        </w:rPr>
        <w:t xml:space="preserve"> One of the most debated characteristics of urbanization in LAC is “</w:t>
      </w:r>
      <w:r w:rsidRPr="0088057B">
        <w:rPr>
          <w:rFonts w:ascii="Garamond" w:hAnsi="Garamond"/>
        </w:rPr>
        <w:t xml:space="preserve">excessive” primacy in many of the region’s countries. </w:t>
      </w:r>
      <w:r w:rsidR="00BD4C11" w:rsidRPr="0029748B">
        <w:rPr>
          <w:rFonts w:ascii="Garamond" w:hAnsi="Garamond" w:cstheme="minorHAnsi"/>
        </w:rPr>
        <w:t>Primacy is considered excessive when it acts as a drag on overall national productivity and on economic growth.</w:t>
      </w:r>
      <w:r w:rsidR="00BD4C11">
        <w:rPr>
          <w:rFonts w:ascii="Garamond" w:hAnsi="Garamond" w:cstheme="minorHAnsi"/>
        </w:rPr>
        <w:t xml:space="preserve"> </w:t>
      </w:r>
      <w:r w:rsidR="00BD4C11" w:rsidRPr="00BD4C11">
        <w:rPr>
          <w:rFonts w:ascii="Garamond" w:hAnsi="Garamond" w:cstheme="minorHAnsi"/>
        </w:rPr>
        <w:t xml:space="preserve">Yet, despite these frequently expressed concerns, there is no evidence of a negative relationship </w:t>
      </w:r>
      <w:r w:rsidR="00BD4C11">
        <w:rPr>
          <w:rFonts w:ascii="Garamond" w:hAnsi="Garamond" w:cstheme="minorHAnsi"/>
        </w:rPr>
        <w:t>between primacy and</w:t>
      </w:r>
      <w:r w:rsidR="00BD4C11" w:rsidRPr="00BD4C11">
        <w:rPr>
          <w:rFonts w:ascii="Garamond" w:hAnsi="Garamond" w:cstheme="minorHAnsi"/>
        </w:rPr>
        <w:t xml:space="preserve"> GDP per capita.</w:t>
      </w:r>
      <w:r w:rsidR="00BD4C11" w:rsidRPr="00BD4C11">
        <w:rPr>
          <w:rFonts w:ascii="Garamond" w:hAnsi="Garamond" w:cstheme="minorHAnsi"/>
          <w:vertAlign w:val="superscript"/>
        </w:rPr>
        <w:footnoteReference w:id="7"/>
      </w:r>
      <w:r w:rsidR="00BD4C11" w:rsidRPr="00BD4C11">
        <w:rPr>
          <w:rFonts w:ascii="Garamond" w:hAnsi="Garamond" w:cstheme="minorHAnsi"/>
        </w:rPr>
        <w:t xml:space="preserve"> </w:t>
      </w:r>
      <w:r w:rsidRPr="0088057B">
        <w:rPr>
          <w:rFonts w:ascii="Garamond" w:hAnsi="Garamond"/>
        </w:rPr>
        <w:t xml:space="preserve">Brazil has the lowest urban primacy rates in the region; but </w:t>
      </w:r>
      <w:r w:rsidR="00D20565">
        <w:rPr>
          <w:rFonts w:ascii="Garamond" w:hAnsi="Garamond"/>
        </w:rPr>
        <w:t xml:space="preserve">is </w:t>
      </w:r>
      <w:r w:rsidRPr="0088057B">
        <w:rPr>
          <w:rFonts w:ascii="Garamond" w:hAnsi="Garamond"/>
        </w:rPr>
        <w:t xml:space="preserve">at similar levels </w:t>
      </w:r>
      <w:r w:rsidR="00A66E32">
        <w:rPr>
          <w:rFonts w:ascii="Garamond" w:hAnsi="Garamond"/>
        </w:rPr>
        <w:t>than</w:t>
      </w:r>
      <w:r w:rsidR="00A66E32" w:rsidRPr="0088057B">
        <w:rPr>
          <w:rFonts w:ascii="Garamond" w:hAnsi="Garamond"/>
        </w:rPr>
        <w:t xml:space="preserve"> </w:t>
      </w:r>
      <w:r w:rsidRPr="0088057B">
        <w:rPr>
          <w:rFonts w:ascii="Garamond" w:hAnsi="Garamond"/>
        </w:rPr>
        <w:t>comparator countries</w:t>
      </w:r>
      <w:r w:rsidRPr="0088057B">
        <w:rPr>
          <w:rFonts w:ascii="Garamond" w:hAnsi="Garamond"/>
          <w:vertAlign w:val="superscript"/>
        </w:rPr>
        <w:footnoteReference w:id="8"/>
      </w:r>
      <w:r w:rsidRPr="0088057B">
        <w:rPr>
          <w:rFonts w:ascii="Garamond" w:hAnsi="Garamond"/>
        </w:rPr>
        <w:t xml:space="preserve"> (Figure </w:t>
      </w:r>
      <w:r w:rsidR="00BD4C11">
        <w:rPr>
          <w:rFonts w:ascii="Garamond" w:hAnsi="Garamond"/>
        </w:rPr>
        <w:t>4</w:t>
      </w:r>
      <w:r w:rsidRPr="0088057B">
        <w:rPr>
          <w:rFonts w:ascii="Garamond" w:hAnsi="Garamond"/>
        </w:rPr>
        <w:t xml:space="preserve">). </w:t>
      </w:r>
    </w:p>
    <w:p w14:paraId="5447E88A" w14:textId="77777777" w:rsidR="00DC4845" w:rsidRDefault="00DC4845" w:rsidP="00DC4845">
      <w:pPr>
        <w:spacing w:after="0" w:line="240" w:lineRule="auto"/>
        <w:jc w:val="both"/>
        <w:rPr>
          <w:rFonts w:ascii="Garamond" w:hAnsi="Garamon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573"/>
      </w:tblGrid>
      <w:tr w:rsidR="00D82D0D" w:rsidRPr="00AD2802" w14:paraId="60CF9A3B" w14:textId="77777777" w:rsidTr="00EB056B">
        <w:trPr>
          <w:trHeight w:hRule="exact" w:val="280"/>
          <w:jc w:val="center"/>
        </w:trPr>
        <w:tc>
          <w:tcPr>
            <w:tcW w:w="6573" w:type="dxa"/>
          </w:tcPr>
          <w:p w14:paraId="468B15C9" w14:textId="55D97BBA" w:rsidR="00D82D0D" w:rsidRPr="004B723F" w:rsidRDefault="00D82D0D" w:rsidP="00DE6DBD">
            <w:pPr>
              <w:keepNext/>
              <w:keepLines/>
              <w:jc w:val="center"/>
              <w:rPr>
                <w:rFonts w:ascii="Garamond" w:hAnsi="Garamond" w:cstheme="minorHAnsi"/>
                <w:b/>
                <w:sz w:val="20"/>
              </w:rPr>
            </w:pPr>
            <w:r w:rsidRPr="004B723F">
              <w:rPr>
                <w:rFonts w:ascii="Garamond" w:hAnsi="Garamond" w:cstheme="minorHAnsi"/>
                <w:b/>
                <w:sz w:val="20"/>
              </w:rPr>
              <w:t xml:space="preserve">Figure </w:t>
            </w:r>
            <w:r w:rsidR="00BD4C11">
              <w:rPr>
                <w:rFonts w:ascii="Garamond" w:hAnsi="Garamond" w:cstheme="minorHAnsi"/>
                <w:b/>
                <w:sz w:val="20"/>
              </w:rPr>
              <w:t>4</w:t>
            </w:r>
            <w:r w:rsidRPr="004B723F">
              <w:rPr>
                <w:rFonts w:ascii="Garamond" w:hAnsi="Garamond" w:cstheme="minorHAnsi"/>
                <w:b/>
                <w:sz w:val="20"/>
              </w:rPr>
              <w:t xml:space="preserve">. </w:t>
            </w:r>
            <w:r w:rsidR="001822A4">
              <w:rPr>
                <w:rFonts w:ascii="Garamond" w:hAnsi="Garamond" w:cstheme="minorHAnsi"/>
                <w:b/>
                <w:sz w:val="20"/>
              </w:rPr>
              <w:t>Brazil has the lowest u</w:t>
            </w:r>
            <w:r w:rsidR="001822A4" w:rsidRPr="004B723F">
              <w:rPr>
                <w:rFonts w:ascii="Garamond" w:hAnsi="Garamond" w:cstheme="minorHAnsi"/>
                <w:b/>
                <w:sz w:val="20"/>
              </w:rPr>
              <w:t xml:space="preserve">rban </w:t>
            </w:r>
            <w:r w:rsidR="001822A4">
              <w:rPr>
                <w:rFonts w:ascii="Garamond" w:hAnsi="Garamond" w:cstheme="minorHAnsi"/>
                <w:b/>
                <w:sz w:val="20"/>
              </w:rPr>
              <w:t>p</w:t>
            </w:r>
            <w:r w:rsidR="001822A4" w:rsidRPr="004B723F">
              <w:rPr>
                <w:rFonts w:ascii="Garamond" w:hAnsi="Garamond" w:cstheme="minorHAnsi"/>
                <w:b/>
                <w:sz w:val="20"/>
              </w:rPr>
              <w:t xml:space="preserve">rimacy </w:t>
            </w:r>
            <w:r w:rsidR="001822A4">
              <w:rPr>
                <w:rFonts w:ascii="Garamond" w:hAnsi="Garamond" w:cstheme="minorHAnsi"/>
                <w:b/>
                <w:sz w:val="20"/>
              </w:rPr>
              <w:t xml:space="preserve">in </w:t>
            </w:r>
            <w:r w:rsidRPr="004B723F">
              <w:rPr>
                <w:rFonts w:ascii="Garamond" w:hAnsi="Garamond" w:cstheme="minorHAnsi"/>
                <w:b/>
                <w:sz w:val="20"/>
              </w:rPr>
              <w:t>South America</w:t>
            </w:r>
          </w:p>
        </w:tc>
      </w:tr>
      <w:tr w:rsidR="00D82D0D" w:rsidRPr="00AD2802" w14:paraId="5BEFD80F" w14:textId="77777777" w:rsidTr="00EB056B">
        <w:trPr>
          <w:trHeight w:val="1332"/>
          <w:jc w:val="center"/>
        </w:trPr>
        <w:tc>
          <w:tcPr>
            <w:tcW w:w="6573" w:type="dxa"/>
          </w:tcPr>
          <w:p w14:paraId="175CBDF3" w14:textId="77777777" w:rsidR="00D82D0D" w:rsidRPr="00AD2802" w:rsidRDefault="00D82D0D" w:rsidP="00DE6DBD">
            <w:pPr>
              <w:keepNext/>
              <w:keepLines/>
              <w:jc w:val="center"/>
              <w:rPr>
                <w:rFonts w:ascii="Cambria" w:hAnsi="Cambria" w:cs="Times New Roman"/>
                <w:b/>
              </w:rPr>
            </w:pPr>
            <w:r w:rsidRPr="00AD2802">
              <w:rPr>
                <w:rFonts w:ascii="Cambria" w:hAnsi="Cambria"/>
                <w:noProof/>
              </w:rPr>
              <w:drawing>
                <wp:inline distT="0" distB="0" distL="0" distR="0" wp14:anchorId="4C124435" wp14:editId="3BD882A8">
                  <wp:extent cx="3617595" cy="1831340"/>
                  <wp:effectExtent l="0" t="0" r="1905" b="1270"/>
                  <wp:docPr id="44" name="Chart 44">
                    <a:extLst xmlns:a="http://schemas.openxmlformats.org/drawingml/2006/main">
                      <a:ext uri="{FF2B5EF4-FFF2-40B4-BE49-F238E27FC236}">
                        <a16:creationId xmlns:a16="http://schemas.microsoft.com/office/drawing/2014/main" id="{F5BFB93F-A4A3-481F-AB9D-F12A876498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D82D0D" w:rsidRPr="00AD2802" w14:paraId="1B5CA428" w14:textId="77777777" w:rsidTr="00EB056B">
        <w:trPr>
          <w:trHeight w:val="246"/>
          <w:jc w:val="center"/>
        </w:trPr>
        <w:tc>
          <w:tcPr>
            <w:tcW w:w="6573" w:type="dxa"/>
          </w:tcPr>
          <w:p w14:paraId="1B40ADEA" w14:textId="0C2E907D" w:rsidR="00D82D0D" w:rsidRPr="00E4384E" w:rsidRDefault="00D82D0D" w:rsidP="00DE6DBD">
            <w:pPr>
              <w:pStyle w:val="footnotefigure"/>
              <w:ind w:left="243" w:right="333"/>
              <w:rPr>
                <w:rFonts w:ascii="Garamond" w:hAnsi="Garamond"/>
                <w:sz w:val="16"/>
              </w:rPr>
            </w:pPr>
            <w:r w:rsidRPr="00E4384E">
              <w:rPr>
                <w:rFonts w:ascii="Garamond" w:eastAsia="Times New Roman" w:hAnsi="Garamond"/>
                <w:i/>
                <w:color w:val="000000"/>
                <w:sz w:val="16"/>
              </w:rPr>
              <w:t>Source:</w:t>
            </w:r>
            <w:r w:rsidRPr="00E4384E">
              <w:rPr>
                <w:rFonts w:ascii="Garamond" w:eastAsia="Times New Roman" w:hAnsi="Garamond"/>
                <w:color w:val="000000"/>
                <w:sz w:val="16"/>
              </w:rPr>
              <w:t xml:space="preserve"> Calculations </w:t>
            </w:r>
            <w:r w:rsidRPr="00E4384E">
              <w:rPr>
                <w:rFonts w:ascii="Garamond" w:hAnsi="Garamond"/>
                <w:sz w:val="16"/>
              </w:rPr>
              <w:t xml:space="preserve">based on analysis of urban areas defined using the cluster algorithm of Dijkstra and Poelman (2014), as applied to LandScan 2012 gridded population data, and World Bank World Development Indicators (WDI) data, </w:t>
            </w:r>
            <w:r w:rsidR="00E4384E" w:rsidRPr="00E4384E">
              <w:rPr>
                <w:rFonts w:ascii="Garamond" w:hAnsi="Garamond" w:cstheme="minorHAnsi"/>
                <w:sz w:val="16"/>
              </w:rPr>
              <w:t>Notes in Chapter 2, Ferreyra and Roberts (eds.) 2018.</w:t>
            </w:r>
          </w:p>
        </w:tc>
      </w:tr>
    </w:tbl>
    <w:p w14:paraId="4334274B" w14:textId="3B7C5EC4" w:rsidR="004F3F48" w:rsidRDefault="004F3F48" w:rsidP="00DE6DBD">
      <w:pPr>
        <w:spacing w:after="0" w:line="240" w:lineRule="auto"/>
        <w:jc w:val="both"/>
        <w:rPr>
          <w:rFonts w:ascii="Garamond" w:hAnsi="Garamond"/>
          <w:b/>
          <w:smallCaps/>
          <w:color w:val="C00000"/>
          <w:sz w:val="24"/>
        </w:rPr>
      </w:pPr>
    </w:p>
    <w:p w14:paraId="2D4C608B" w14:textId="77777777" w:rsidR="00D82D0D" w:rsidRDefault="00D82D0D" w:rsidP="00DE6DBD">
      <w:pPr>
        <w:spacing w:after="0" w:line="240" w:lineRule="auto"/>
        <w:jc w:val="both"/>
        <w:rPr>
          <w:rFonts w:ascii="Garamond" w:hAnsi="Garamond"/>
          <w:b/>
          <w:smallCaps/>
          <w:color w:val="C00000"/>
          <w:sz w:val="24"/>
        </w:rPr>
      </w:pPr>
    </w:p>
    <w:p w14:paraId="4708437F" w14:textId="2B6BD7A6" w:rsidR="004C5F43" w:rsidRPr="004C5F43" w:rsidRDefault="00D20565" w:rsidP="009021F0">
      <w:pPr>
        <w:spacing w:line="240" w:lineRule="auto"/>
        <w:jc w:val="both"/>
        <w:rPr>
          <w:rFonts w:ascii="Garamond" w:hAnsi="Garamond"/>
        </w:rPr>
      </w:pPr>
      <w:r w:rsidRPr="004C5F43">
        <w:rPr>
          <w:rFonts w:ascii="Garamond" w:hAnsi="Garamond"/>
          <w:b/>
        </w:rPr>
        <w:t xml:space="preserve">Yet, productivity dispersion across urban areas is high, suggesting cities are still below their full potential. </w:t>
      </w:r>
      <w:r w:rsidRPr="004C5F43">
        <w:rPr>
          <w:rFonts w:ascii="Garamond" w:hAnsi="Garamond"/>
        </w:rPr>
        <w:t xml:space="preserve">While LAC’s most productive cities rival many North American cities, the least productive are close to the top-performing African cities. In fact, within </w:t>
      </w:r>
      <w:r w:rsidR="00383ADF" w:rsidRPr="004C5F43">
        <w:rPr>
          <w:rFonts w:ascii="Garamond" w:hAnsi="Garamond"/>
        </w:rPr>
        <w:t xml:space="preserve">country </w:t>
      </w:r>
      <w:r w:rsidRPr="004C5F43">
        <w:rPr>
          <w:rFonts w:ascii="Garamond" w:hAnsi="Garamond"/>
        </w:rPr>
        <w:t>productivity is widely dispersed across cities in LAC.</w:t>
      </w:r>
      <w:r w:rsidRPr="004C5F43">
        <w:rPr>
          <w:rStyle w:val="FootnoteReference"/>
          <w:rFonts w:ascii="Garamond" w:hAnsi="Garamond"/>
        </w:rPr>
        <w:footnoteReference w:id="9"/>
      </w:r>
      <w:r w:rsidRPr="004C5F43">
        <w:rPr>
          <w:rFonts w:ascii="Garamond" w:hAnsi="Garamond"/>
        </w:rPr>
        <w:t xml:space="preserve"> Dispersion of productivity across a country’s urban areas provides direct information on inequalities in performance and can yield indirect clues on their aggregate contribution to GDP and productivity nationally. A lack of domestic market integration may be contributing to the high productivity dispersion in the region. In Brazil, subnational differences are lower than in other South American countries but they exist even after controlling for worker characteristics and thus population sorting</w:t>
      </w:r>
      <w:r w:rsidR="00225473">
        <w:rPr>
          <w:rFonts w:ascii="Garamond" w:hAnsi="Garamond"/>
        </w:rPr>
        <w:t>.</w:t>
      </w:r>
      <w:bookmarkStart w:id="9" w:name="_Hlk513035845"/>
      <w:r w:rsidR="00E4384E" w:rsidRPr="004C5F43">
        <w:rPr>
          <w:rStyle w:val="FootnoteReference"/>
          <w:rFonts w:ascii="Garamond" w:hAnsi="Garamond"/>
        </w:rPr>
        <w:footnoteReference w:id="10"/>
      </w:r>
      <w:bookmarkEnd w:id="9"/>
      <w:r w:rsidRPr="004C5F43">
        <w:rPr>
          <w:rFonts w:ascii="Garamond" w:hAnsi="Garamond"/>
        </w:rPr>
        <w:t xml:space="preserve"> Evidence suggests that differentials in nominal wages</w:t>
      </w:r>
      <w:r w:rsidRPr="004C5F43">
        <w:rPr>
          <w:rStyle w:val="FootnoteReference"/>
          <w:rFonts w:ascii="Garamond" w:hAnsi="Garamond"/>
        </w:rPr>
        <w:footnoteReference w:id="11"/>
      </w:r>
      <w:r w:rsidRPr="004C5F43">
        <w:rPr>
          <w:rFonts w:ascii="Garamond" w:hAnsi="Garamond"/>
        </w:rPr>
        <w:t xml:space="preserve"> across metropolitan areas of Brazil have declined during the last 15 years. While this trend points to an improvement in the spatial allocation of workers across metro areas, Brazilian cities still lag all comparator countries. A shortage in affordable housing in the most productive metro areas has been raised as a probable explanation.</w:t>
      </w:r>
      <w:r w:rsidR="00D41424">
        <w:rPr>
          <w:rFonts w:ascii="Garamond" w:hAnsi="Garamond"/>
        </w:rPr>
        <w:t xml:space="preserve"> In </w:t>
      </w:r>
      <w:r w:rsidR="00D41424" w:rsidRPr="00D41424">
        <w:rPr>
          <w:rFonts w:ascii="Garamond" w:hAnsi="Garamond" w:cs="Times New Roman"/>
        </w:rPr>
        <w:t xml:space="preserve">the largest metropolitan regions, during 2000-2010, slums consistently grew in the outskirts </w:t>
      </w:r>
      <w:r w:rsidR="00D41424">
        <w:rPr>
          <w:rFonts w:ascii="Garamond" w:hAnsi="Garamond" w:cs="Times New Roman"/>
        </w:rPr>
        <w:t>of urban areas</w:t>
      </w:r>
      <w:r w:rsidR="00D41424" w:rsidRPr="00D41424">
        <w:rPr>
          <w:rFonts w:ascii="Garamond" w:hAnsi="Garamond" w:cs="Times New Roman"/>
        </w:rPr>
        <w:t xml:space="preserve">. For example, part of the more visible growth of slum areas in metropolitan São Paulo </w:t>
      </w:r>
      <w:r w:rsidR="00D41424" w:rsidRPr="00D41424">
        <w:rPr>
          <w:rFonts w:ascii="Garamond" w:hAnsi="Garamond" w:cs="Times New Roman"/>
        </w:rPr>
        <w:lastRenderedPageBreak/>
        <w:t xml:space="preserve">in this period is located in the western zone, while existing slums in the capital (which grew from 8 percent to 10 percent) and adjacent areas such as ABC and Guarulhos have shown persistent or low growth rates. </w:t>
      </w:r>
      <w:r w:rsidR="00D41424" w:rsidRPr="00D41424">
        <w:rPr>
          <w:rFonts w:ascii="Garamond" w:hAnsi="Garamond"/>
        </w:rPr>
        <w:t xml:space="preserve"> In the Metropolitan Area of San Salvador and Santa Ana, roughly 45</w:t>
      </w:r>
      <w:r w:rsidR="00D41424">
        <w:rPr>
          <w:rFonts w:ascii="Garamond" w:hAnsi="Garamond"/>
        </w:rPr>
        <w:t xml:space="preserve"> percent</w:t>
      </w:r>
      <w:r w:rsidR="00D41424" w:rsidRPr="00D41424">
        <w:rPr>
          <w:rFonts w:ascii="Garamond" w:hAnsi="Garamond"/>
        </w:rPr>
        <w:t xml:space="preserve"> of the new urban land incorporated from 2001 to 2010 corresponds to informal settlements.</w:t>
      </w:r>
      <w:r w:rsidR="00D41424">
        <w:rPr>
          <w:rStyle w:val="FootnoteReference"/>
          <w:rFonts w:ascii="Garamond" w:hAnsi="Garamond"/>
        </w:rPr>
        <w:footnoteReference w:id="12"/>
      </w:r>
      <w:r w:rsidR="00D41424" w:rsidRPr="00D41424">
        <w:rPr>
          <w:rFonts w:ascii="Garamond" w:hAnsi="Garamond"/>
        </w:rPr>
        <w:t xml:space="preserve"> </w:t>
      </w:r>
      <w:r w:rsidRPr="004C5F43">
        <w:rPr>
          <w:rFonts w:ascii="Garamond" w:hAnsi="Garamond"/>
        </w:rPr>
        <w:t xml:space="preserve"> </w:t>
      </w:r>
      <w:r w:rsidR="00E4384E" w:rsidRPr="004C5F43">
        <w:rPr>
          <w:rFonts w:ascii="Garamond" w:hAnsi="Garamond"/>
        </w:rPr>
        <w:t>On average, housing deficits have risen more in high-wage than in low-wage metropolitan areas. Although informal housing presumably filled the gap for some migrants to high-wage metro areas, the poor quality of such housing may have deterred would-be migrants, thereby keeping them “trapped” in less productive cities.</w:t>
      </w:r>
      <w:r w:rsidR="00E4384E" w:rsidRPr="004C5F43">
        <w:rPr>
          <w:rStyle w:val="FootnoteReference"/>
          <w:rFonts w:ascii="Garamond" w:hAnsi="Garamond"/>
        </w:rPr>
        <w:footnoteReference w:id="13"/>
      </w:r>
      <w:r w:rsidR="004C5F43" w:rsidRPr="004C5F43">
        <w:rPr>
          <w:rFonts w:ascii="Garamond" w:hAnsi="Garamond"/>
        </w:rPr>
        <w:t xml:space="preserve"> Lack of adequate market access is another explanation. In a well-integrated system of cities, the flow of goods, people, and resources across cities closes productivity gaps among cities and maximizes the contribution of the system of cities.</w:t>
      </w:r>
    </w:p>
    <w:p w14:paraId="02645B74" w14:textId="77777777" w:rsidR="00E92E1B" w:rsidRDefault="00E92E1B" w:rsidP="00DE6DBD">
      <w:pPr>
        <w:spacing w:after="0" w:line="240" w:lineRule="auto"/>
        <w:jc w:val="both"/>
        <w:rPr>
          <w:rFonts w:ascii="Garamond" w:hAnsi="Garamond"/>
          <w:b/>
          <w:smallCaps/>
          <w:color w:val="C00000"/>
          <w:sz w:val="24"/>
        </w:rPr>
      </w:pPr>
    </w:p>
    <w:p w14:paraId="0E71DCA8" w14:textId="6457D664" w:rsidR="0050337E" w:rsidRPr="004110C3" w:rsidRDefault="004E3AF5" w:rsidP="00DE6DBD">
      <w:pPr>
        <w:spacing w:after="0" w:line="240" w:lineRule="auto"/>
        <w:jc w:val="both"/>
        <w:rPr>
          <w:rFonts w:ascii="Garamond" w:hAnsi="Garamond"/>
          <w:b/>
          <w:smallCaps/>
          <w:color w:val="C00000"/>
          <w:sz w:val="24"/>
        </w:rPr>
      </w:pPr>
      <w:r>
        <w:rPr>
          <w:rFonts w:ascii="Garamond" w:hAnsi="Garamond"/>
          <w:b/>
          <w:smallCaps/>
          <w:color w:val="C00000"/>
          <w:sz w:val="24"/>
        </w:rPr>
        <w:t xml:space="preserve">But stronger </w:t>
      </w:r>
      <w:r w:rsidR="00BF5A44" w:rsidRPr="00A52195">
        <w:rPr>
          <w:rFonts w:ascii="Garamond" w:hAnsi="Garamond"/>
          <w:b/>
          <w:smallCaps/>
          <w:color w:val="C00000"/>
          <w:sz w:val="24"/>
        </w:rPr>
        <w:t xml:space="preserve">skills, </w:t>
      </w:r>
      <w:r>
        <w:rPr>
          <w:rFonts w:ascii="Garamond" w:hAnsi="Garamond"/>
          <w:b/>
          <w:smallCaps/>
          <w:color w:val="C00000"/>
          <w:sz w:val="24"/>
        </w:rPr>
        <w:t xml:space="preserve">managed </w:t>
      </w:r>
      <w:r w:rsidR="00BF5A44" w:rsidRPr="00A52195">
        <w:rPr>
          <w:rFonts w:ascii="Garamond" w:hAnsi="Garamond"/>
          <w:b/>
          <w:smallCaps/>
          <w:color w:val="C00000"/>
          <w:sz w:val="24"/>
        </w:rPr>
        <w:t>densit</w:t>
      </w:r>
      <w:r>
        <w:rPr>
          <w:rFonts w:ascii="Garamond" w:hAnsi="Garamond"/>
          <w:b/>
          <w:smallCaps/>
          <w:color w:val="C00000"/>
          <w:sz w:val="24"/>
        </w:rPr>
        <w:t>ies</w:t>
      </w:r>
      <w:r w:rsidR="00BF5A44" w:rsidRPr="00A52195">
        <w:rPr>
          <w:rFonts w:ascii="Garamond" w:hAnsi="Garamond"/>
          <w:b/>
          <w:smallCaps/>
          <w:color w:val="C00000"/>
          <w:sz w:val="24"/>
        </w:rPr>
        <w:t xml:space="preserve"> &amp; </w:t>
      </w:r>
      <w:r>
        <w:rPr>
          <w:rFonts w:ascii="Garamond" w:hAnsi="Garamond"/>
          <w:b/>
          <w:smallCaps/>
          <w:color w:val="C00000"/>
          <w:sz w:val="24"/>
        </w:rPr>
        <w:t xml:space="preserve">better </w:t>
      </w:r>
      <w:r w:rsidR="00BF5A44" w:rsidRPr="00A52195">
        <w:rPr>
          <w:rFonts w:ascii="Garamond" w:hAnsi="Garamond"/>
          <w:b/>
          <w:smallCaps/>
          <w:color w:val="C00000"/>
          <w:sz w:val="24"/>
        </w:rPr>
        <w:t>market acces</w:t>
      </w:r>
      <w:r w:rsidR="00A52195" w:rsidRPr="00A52195">
        <w:rPr>
          <w:rFonts w:ascii="Garamond" w:hAnsi="Garamond"/>
          <w:b/>
          <w:smallCaps/>
          <w:color w:val="C00000"/>
          <w:sz w:val="24"/>
        </w:rPr>
        <w:t>s</w:t>
      </w:r>
      <w:r w:rsidR="00541B41">
        <w:rPr>
          <w:rFonts w:ascii="Garamond" w:hAnsi="Garamond"/>
          <w:b/>
          <w:smallCaps/>
          <w:color w:val="C00000"/>
          <w:sz w:val="24"/>
        </w:rPr>
        <w:t xml:space="preserve"> could play a larger role </w:t>
      </w:r>
      <w:r w:rsidR="004C5F43">
        <w:rPr>
          <w:rFonts w:ascii="Garamond" w:hAnsi="Garamond"/>
          <w:b/>
          <w:smallCaps/>
          <w:color w:val="C00000"/>
          <w:sz w:val="24"/>
        </w:rPr>
        <w:t xml:space="preserve">in </w:t>
      </w:r>
      <w:r w:rsidR="00541B41">
        <w:rPr>
          <w:rFonts w:ascii="Garamond" w:hAnsi="Garamond"/>
          <w:b/>
          <w:smallCaps/>
          <w:color w:val="C00000"/>
          <w:sz w:val="24"/>
        </w:rPr>
        <w:t>foster</w:t>
      </w:r>
      <w:r w:rsidR="004C5F43">
        <w:rPr>
          <w:rFonts w:ascii="Garamond" w:hAnsi="Garamond"/>
          <w:b/>
          <w:smallCaps/>
          <w:color w:val="C00000"/>
          <w:sz w:val="24"/>
        </w:rPr>
        <w:t>ing</w:t>
      </w:r>
      <w:r w:rsidR="00541B41">
        <w:rPr>
          <w:rFonts w:ascii="Garamond" w:hAnsi="Garamond"/>
          <w:b/>
          <w:smallCaps/>
          <w:color w:val="C00000"/>
          <w:sz w:val="24"/>
        </w:rPr>
        <w:t xml:space="preserve"> agglomeration economies</w:t>
      </w:r>
      <w:r w:rsidR="00A52195" w:rsidRPr="00A52195">
        <w:rPr>
          <w:rFonts w:ascii="Garamond" w:hAnsi="Garamond"/>
          <w:b/>
          <w:smallCaps/>
          <w:color w:val="C00000"/>
          <w:sz w:val="24"/>
        </w:rPr>
        <w:t>.</w:t>
      </w:r>
    </w:p>
    <w:p w14:paraId="4DC186F0" w14:textId="7631D16F" w:rsidR="004867CD" w:rsidRDefault="004867CD" w:rsidP="00DE6DBD">
      <w:pPr>
        <w:spacing w:after="0" w:line="240" w:lineRule="auto"/>
        <w:jc w:val="both"/>
        <w:rPr>
          <w:rFonts w:ascii="Garamond" w:hAnsi="Garamond"/>
          <w:b/>
          <w:smallCaps/>
          <w:color w:val="C00000"/>
          <w:sz w:val="24"/>
        </w:rPr>
      </w:pPr>
    </w:p>
    <w:p w14:paraId="0665510D" w14:textId="361E21A2" w:rsidR="008F09E9" w:rsidRDefault="00585960" w:rsidP="00DE6DBD">
      <w:pPr>
        <w:spacing w:after="0" w:line="240" w:lineRule="auto"/>
        <w:jc w:val="both"/>
        <w:rPr>
          <w:rFonts w:ascii="Garamond" w:hAnsi="Garamond"/>
        </w:rPr>
      </w:pPr>
      <w:r>
        <w:rPr>
          <w:rFonts w:ascii="Garamond" w:hAnsi="Garamond"/>
          <w:b/>
        </w:rPr>
        <w:t>T</w:t>
      </w:r>
      <w:r w:rsidR="00FE1C3A">
        <w:rPr>
          <w:rFonts w:ascii="Garamond" w:hAnsi="Garamond"/>
          <w:b/>
        </w:rPr>
        <w:t>he productivity of Brazilian cities is driven by density, skills and market access</w:t>
      </w:r>
      <w:r>
        <w:rPr>
          <w:rFonts w:ascii="Garamond" w:hAnsi="Garamond"/>
          <w:b/>
        </w:rPr>
        <w:t xml:space="preserve">; but all </w:t>
      </w:r>
      <w:r w:rsidR="007A2A87">
        <w:rPr>
          <w:rFonts w:ascii="Garamond" w:hAnsi="Garamond"/>
          <w:b/>
        </w:rPr>
        <w:t>three forces are below potential</w:t>
      </w:r>
      <w:r>
        <w:rPr>
          <w:rFonts w:ascii="Garamond" w:hAnsi="Garamond"/>
          <w:b/>
        </w:rPr>
        <w:t>.</w:t>
      </w:r>
      <w:r w:rsidR="00FE1C3A">
        <w:rPr>
          <w:rFonts w:ascii="Garamond" w:hAnsi="Garamond"/>
          <w:b/>
        </w:rPr>
        <w:t xml:space="preserve"> </w:t>
      </w:r>
      <w:r w:rsidR="00FE1C3A" w:rsidRPr="00FE1C3A">
        <w:rPr>
          <w:rFonts w:ascii="Garamond" w:hAnsi="Garamond"/>
        </w:rPr>
        <w:t>Positive agglomeration effects are present in LAC countries.</w:t>
      </w:r>
      <w:r w:rsidR="00955ABB">
        <w:rPr>
          <w:rFonts w:ascii="Garamond" w:hAnsi="Garamond"/>
        </w:rPr>
        <w:t xml:space="preserve"> Yet, t</w:t>
      </w:r>
      <w:r w:rsidR="00FE1C3A" w:rsidRPr="00FE1C3A">
        <w:rPr>
          <w:rFonts w:ascii="Garamond" w:hAnsi="Garamond"/>
        </w:rPr>
        <w:t>hese effects are driven</w:t>
      </w:r>
      <w:r w:rsidR="00955ABB">
        <w:rPr>
          <w:rFonts w:ascii="Garamond" w:hAnsi="Garamond"/>
        </w:rPr>
        <w:t xml:space="preserve"> mostly by skills, </w:t>
      </w:r>
      <w:r w:rsidR="00FE1C3A" w:rsidRPr="00FE1C3A">
        <w:rPr>
          <w:rFonts w:ascii="Garamond" w:hAnsi="Garamond"/>
        </w:rPr>
        <w:t>with a lesser role for market access</w:t>
      </w:r>
      <w:r w:rsidR="00955ABB">
        <w:rPr>
          <w:rFonts w:ascii="Garamond" w:hAnsi="Garamond"/>
        </w:rPr>
        <w:t xml:space="preserve"> and seemingly no positive influence of</w:t>
      </w:r>
      <w:r w:rsidR="00FE1C3A" w:rsidRPr="00FE1C3A">
        <w:rPr>
          <w:rFonts w:ascii="Garamond" w:hAnsi="Garamond"/>
        </w:rPr>
        <w:t xml:space="preserve"> population density. </w:t>
      </w:r>
      <w:r w:rsidR="00955ABB">
        <w:rPr>
          <w:rFonts w:ascii="Garamond" w:hAnsi="Garamond"/>
        </w:rPr>
        <w:t xml:space="preserve">This is not true in Brazil where all three factors are positively </w:t>
      </w:r>
      <w:r>
        <w:rPr>
          <w:rFonts w:ascii="Garamond" w:hAnsi="Garamond"/>
        </w:rPr>
        <w:t>correlated</w:t>
      </w:r>
      <w:r w:rsidR="00955ABB">
        <w:rPr>
          <w:rFonts w:ascii="Garamond" w:hAnsi="Garamond"/>
        </w:rPr>
        <w:t xml:space="preserve"> with underlying productivity</w:t>
      </w:r>
      <w:r w:rsidR="008F09E9">
        <w:rPr>
          <w:rFonts w:ascii="Garamond" w:hAnsi="Garamond"/>
        </w:rPr>
        <w:t xml:space="preserve">. While Brazil, next to Ecuador, is the only country in LAC where all three forces are </w:t>
      </w:r>
      <w:r w:rsidR="006F1145">
        <w:rPr>
          <w:rFonts w:ascii="Garamond" w:hAnsi="Garamond"/>
        </w:rPr>
        <w:t xml:space="preserve">exerting </w:t>
      </w:r>
      <w:r w:rsidR="00A66E32">
        <w:rPr>
          <w:rFonts w:ascii="Garamond" w:hAnsi="Garamond"/>
        </w:rPr>
        <w:t xml:space="preserve">a </w:t>
      </w:r>
      <w:r w:rsidR="008F09E9">
        <w:rPr>
          <w:rFonts w:ascii="Garamond" w:hAnsi="Garamond"/>
        </w:rPr>
        <w:t>positive</w:t>
      </w:r>
      <w:r w:rsidR="006F1145">
        <w:rPr>
          <w:rFonts w:ascii="Garamond" w:hAnsi="Garamond"/>
        </w:rPr>
        <w:t xml:space="preserve"> effect on agglomeration economies</w:t>
      </w:r>
      <w:r w:rsidR="008F09E9">
        <w:rPr>
          <w:rFonts w:ascii="Garamond" w:hAnsi="Garamond"/>
        </w:rPr>
        <w:t xml:space="preserve">, the size of </w:t>
      </w:r>
      <w:r w:rsidR="000F22E3">
        <w:rPr>
          <w:rFonts w:ascii="Garamond" w:hAnsi="Garamond"/>
        </w:rPr>
        <w:t>their</w:t>
      </w:r>
      <w:r w:rsidR="008F09E9">
        <w:rPr>
          <w:rFonts w:ascii="Garamond" w:hAnsi="Garamond"/>
        </w:rPr>
        <w:t xml:space="preserve"> contribution is small</w:t>
      </w:r>
      <w:r w:rsidR="007A2A87">
        <w:rPr>
          <w:rFonts w:ascii="Garamond" w:hAnsi="Garamond"/>
        </w:rPr>
        <w:t xml:space="preserve"> (Figure </w:t>
      </w:r>
      <w:r w:rsidR="007238D7">
        <w:rPr>
          <w:rFonts w:ascii="Garamond" w:hAnsi="Garamond"/>
        </w:rPr>
        <w:t>5</w:t>
      </w:r>
      <w:r w:rsidR="007A2A87">
        <w:rPr>
          <w:rFonts w:ascii="Garamond" w:hAnsi="Garamond"/>
        </w:rPr>
        <w:t>)</w:t>
      </w:r>
      <w:r w:rsidR="007238D7">
        <w:rPr>
          <w:rFonts w:ascii="Garamond" w:hAnsi="Garamond"/>
        </w:rPr>
        <w:t xml:space="preserve"> with elasticities </w:t>
      </w:r>
      <w:r w:rsidR="00AC7706">
        <w:rPr>
          <w:rFonts w:ascii="Garamond" w:hAnsi="Garamond"/>
        </w:rPr>
        <w:t>always below 0.5 and even smaller than 0.1 for population density and market access</w:t>
      </w:r>
      <w:r>
        <w:rPr>
          <w:rFonts w:ascii="Garamond" w:hAnsi="Garamond"/>
        </w:rPr>
        <w:t>;</w:t>
      </w:r>
      <w:r w:rsidR="008F09E9">
        <w:rPr>
          <w:rFonts w:ascii="Garamond" w:hAnsi="Garamond"/>
        </w:rPr>
        <w:t xml:space="preserve"> supporting the view that negative externalities may still be hampering </w:t>
      </w:r>
      <w:r>
        <w:rPr>
          <w:rFonts w:ascii="Garamond" w:hAnsi="Garamond"/>
        </w:rPr>
        <w:t>cities from reaching the productivity frontier</w:t>
      </w:r>
      <w:r w:rsidR="008F09E9">
        <w:rPr>
          <w:rFonts w:ascii="Garamond" w:hAnsi="Garamond"/>
        </w:rPr>
        <w:t>.</w:t>
      </w:r>
      <w:r w:rsidR="00600F1F">
        <w:rPr>
          <w:rFonts w:ascii="Garamond" w:hAnsi="Garamond"/>
        </w:rPr>
        <w:t xml:space="preserve"> </w:t>
      </w:r>
    </w:p>
    <w:p w14:paraId="1D1F0706" w14:textId="77777777" w:rsidR="001822A4" w:rsidRDefault="001822A4" w:rsidP="00DE6DBD">
      <w:pPr>
        <w:spacing w:after="0" w:line="240" w:lineRule="auto"/>
        <w:jc w:val="both"/>
        <w:rPr>
          <w:rFonts w:ascii="Garamond" w:hAnsi="Garamond"/>
        </w:rPr>
      </w:pPr>
    </w:p>
    <w:p w14:paraId="35C4251D" w14:textId="287A03D8" w:rsidR="00703DA1" w:rsidRDefault="00703DA1">
      <w:pPr>
        <w:pStyle w:val="Title1"/>
        <w:jc w:val="center"/>
        <w:rPr>
          <w:rFonts w:ascii="Garamond" w:eastAsia="Calibri" w:hAnsi="Garamond"/>
          <w:sz w:val="20"/>
        </w:rPr>
      </w:pPr>
      <w:bookmarkStart w:id="10" w:name="_Ref494192624"/>
      <w:bookmarkStart w:id="11" w:name="_Toc499118412"/>
      <w:r w:rsidRPr="0009003A">
        <w:rPr>
          <w:rFonts w:ascii="Garamond" w:hAnsi="Garamond"/>
          <w:sz w:val="20"/>
        </w:rPr>
        <w:t xml:space="preserve">Figure </w:t>
      </w:r>
      <w:bookmarkEnd w:id="10"/>
      <w:r w:rsidR="007238D7">
        <w:rPr>
          <w:rFonts w:ascii="Garamond" w:hAnsi="Garamond"/>
          <w:sz w:val="20"/>
        </w:rPr>
        <w:t>5</w:t>
      </w:r>
      <w:r w:rsidRPr="0009003A">
        <w:rPr>
          <w:rFonts w:ascii="Garamond" w:hAnsi="Garamond"/>
          <w:sz w:val="20"/>
        </w:rPr>
        <w:t xml:space="preserve">. </w:t>
      </w:r>
      <w:r w:rsidRPr="0009003A">
        <w:rPr>
          <w:rFonts w:ascii="Garamond" w:eastAsia="Calibri" w:hAnsi="Garamond"/>
          <w:sz w:val="20"/>
        </w:rPr>
        <w:t>Cross-country heterogeneity in estimated elasticities of underlying productivity with respect to: (a) population density; (b) average years of schooling; and (c) market access</w:t>
      </w:r>
      <w:bookmarkEnd w:id="11"/>
    </w:p>
    <w:tbl>
      <w:tblPr>
        <w:tblStyle w:val="TableGrid"/>
        <w:tblW w:w="1053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35"/>
        <w:gridCol w:w="5395"/>
      </w:tblGrid>
      <w:tr w:rsidR="007238D7" w:rsidRPr="007A2A87" w14:paraId="2CE5CF92" w14:textId="77777777" w:rsidTr="00DC4845">
        <w:trPr>
          <w:trHeight w:val="288"/>
        </w:trPr>
        <w:tc>
          <w:tcPr>
            <w:tcW w:w="5135" w:type="dxa"/>
            <w:vAlign w:val="center"/>
          </w:tcPr>
          <w:p w14:paraId="33548E33" w14:textId="77777777" w:rsidR="007238D7" w:rsidRDefault="007238D7" w:rsidP="007238D7">
            <w:pPr>
              <w:pStyle w:val="Title2"/>
              <w:jc w:val="center"/>
              <w:rPr>
                <w:rFonts w:ascii="Garamond" w:hAnsi="Garamond"/>
                <w:sz w:val="20"/>
              </w:rPr>
            </w:pPr>
          </w:p>
          <w:p w14:paraId="2DAAC140" w14:textId="60583776" w:rsidR="007238D7" w:rsidRPr="007A2A87" w:rsidRDefault="007238D7" w:rsidP="007238D7">
            <w:pPr>
              <w:pStyle w:val="Title2"/>
              <w:jc w:val="center"/>
              <w:rPr>
                <w:rFonts w:ascii="Garamond" w:hAnsi="Garamond"/>
                <w:sz w:val="20"/>
              </w:rPr>
            </w:pPr>
            <w:r w:rsidRPr="007A2A87">
              <w:rPr>
                <w:rFonts w:ascii="Garamond" w:hAnsi="Garamond"/>
                <w:sz w:val="20"/>
              </w:rPr>
              <w:t>a. Population density</w:t>
            </w:r>
          </w:p>
        </w:tc>
        <w:tc>
          <w:tcPr>
            <w:tcW w:w="5395" w:type="dxa"/>
            <w:vAlign w:val="center"/>
          </w:tcPr>
          <w:p w14:paraId="0AC46F13" w14:textId="77777777" w:rsidR="007238D7" w:rsidRPr="007A2A87" w:rsidRDefault="007238D7" w:rsidP="007238D7">
            <w:pPr>
              <w:pStyle w:val="Title2"/>
              <w:jc w:val="center"/>
              <w:rPr>
                <w:rFonts w:ascii="Garamond" w:hAnsi="Garamond"/>
                <w:sz w:val="20"/>
              </w:rPr>
            </w:pPr>
            <w:r w:rsidRPr="007A2A87">
              <w:rPr>
                <w:rFonts w:ascii="Garamond" w:hAnsi="Garamond"/>
                <w:sz w:val="20"/>
              </w:rPr>
              <w:t>b. Average years of schooling</w:t>
            </w:r>
          </w:p>
        </w:tc>
      </w:tr>
      <w:tr w:rsidR="007238D7" w:rsidRPr="00AD2802" w14:paraId="0ACF987D" w14:textId="77777777" w:rsidTr="007238D7">
        <w:trPr>
          <w:trHeight w:val="288"/>
        </w:trPr>
        <w:tc>
          <w:tcPr>
            <w:tcW w:w="5135" w:type="dxa"/>
            <w:vAlign w:val="center"/>
          </w:tcPr>
          <w:p w14:paraId="40D0A3E6" w14:textId="79D84C9B" w:rsidR="00703DA1" w:rsidRPr="007A2A87" w:rsidRDefault="001822A4" w:rsidP="007238D7">
            <w:pPr>
              <w:contextualSpacing/>
              <w:jc w:val="center"/>
              <w:rPr>
                <w:rFonts w:ascii="Garamond" w:eastAsia="Calibri" w:hAnsi="Garamond" w:cs="Times New Roman"/>
              </w:rPr>
            </w:pPr>
            <w:r>
              <w:rPr>
                <w:noProof/>
              </w:rPr>
              <mc:AlternateContent>
                <mc:Choice Requires="wps">
                  <w:drawing>
                    <wp:anchor distT="0" distB="0" distL="114300" distR="114300" simplePos="0" relativeHeight="251660800" behindDoc="0" locked="0" layoutInCell="1" allowOverlap="1" wp14:anchorId="011749EF" wp14:editId="115221E5">
                      <wp:simplePos x="0" y="0"/>
                      <wp:positionH relativeFrom="column">
                        <wp:posOffset>874395</wp:posOffset>
                      </wp:positionH>
                      <wp:positionV relativeFrom="paragraph">
                        <wp:posOffset>1684655</wp:posOffset>
                      </wp:positionV>
                      <wp:extent cx="203200" cy="132715"/>
                      <wp:effectExtent l="0" t="0" r="0" b="0"/>
                      <wp:wrapNone/>
                      <wp:docPr id="59" name="Rectangle 59"/>
                      <wp:cNvGraphicFramePr/>
                      <a:graphic xmlns:a="http://schemas.openxmlformats.org/drawingml/2006/main">
                        <a:graphicData uri="http://schemas.microsoft.com/office/word/2010/wordprocessingShape">
                          <wps:wsp>
                            <wps:cNvSpPr/>
                            <wps:spPr>
                              <a:xfrm rot="19852505">
                                <a:off x="0" y="0"/>
                                <a:ext cx="203200" cy="1327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5A3DC" id="Rectangle 59" o:spid="_x0000_s1026" style="position:absolute;margin-left:68.85pt;margin-top:132.65pt;width:16pt;height:10.45pt;rotation:-1908731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" filled="f" strokecolor="red" strokeweight="1pt"/>
                  </w:pict>
                </mc:Fallback>
              </mc:AlternateContent>
            </w:r>
            <w:r>
              <w:rPr>
                <w:rFonts w:ascii="Garamond" w:eastAsia="Calibri" w:hAnsi="Garamond" w:cs="Times New Roman"/>
                <w:noProof/>
              </w:rPr>
              <w:drawing>
                <wp:inline distT="0" distB="0" distL="0" distR="0" wp14:anchorId="21BACDBE" wp14:editId="2D13116F">
                  <wp:extent cx="2995606" cy="2246379"/>
                  <wp:effectExtent l="0" t="0" r="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422" cy="2252990"/>
                          </a:xfrm>
                          <a:prstGeom prst="rect">
                            <a:avLst/>
                          </a:prstGeom>
                          <a:noFill/>
                        </pic:spPr>
                      </pic:pic>
                    </a:graphicData>
                  </a:graphic>
                </wp:inline>
              </w:drawing>
            </w:r>
          </w:p>
        </w:tc>
        <w:tc>
          <w:tcPr>
            <w:tcW w:w="5395" w:type="dxa"/>
            <w:vAlign w:val="center"/>
          </w:tcPr>
          <w:p w14:paraId="1F2C8AA5" w14:textId="58020EB1" w:rsidR="00703DA1" w:rsidRPr="00AD2802" w:rsidRDefault="001822A4" w:rsidP="007238D7">
            <w:pPr>
              <w:contextualSpacing/>
              <w:jc w:val="center"/>
              <w:rPr>
                <w:rFonts w:ascii="Cambria" w:eastAsia="Calibri" w:hAnsi="Cambria" w:cs="Times New Roman"/>
              </w:rPr>
            </w:pPr>
            <w:r>
              <w:rPr>
                <w:noProof/>
              </w:rPr>
              <mc:AlternateContent>
                <mc:Choice Requires="wps">
                  <w:drawing>
                    <wp:anchor distT="0" distB="0" distL="114300" distR="114300" simplePos="0" relativeHeight="251659776" behindDoc="0" locked="0" layoutInCell="1" allowOverlap="1" wp14:anchorId="55000FC4" wp14:editId="64D03589">
                      <wp:simplePos x="0" y="0"/>
                      <wp:positionH relativeFrom="column">
                        <wp:posOffset>1058545</wp:posOffset>
                      </wp:positionH>
                      <wp:positionV relativeFrom="paragraph">
                        <wp:posOffset>1863090</wp:posOffset>
                      </wp:positionV>
                      <wp:extent cx="231775" cy="114300"/>
                      <wp:effectExtent l="38100" t="76200" r="15875" b="76200"/>
                      <wp:wrapNone/>
                      <wp:docPr id="57" name="Rectangle 57"/>
                      <wp:cNvGraphicFramePr/>
                      <a:graphic xmlns:a="http://schemas.openxmlformats.org/drawingml/2006/main">
                        <a:graphicData uri="http://schemas.microsoft.com/office/word/2010/wordprocessingShape">
                          <wps:wsp>
                            <wps:cNvSpPr/>
                            <wps:spPr>
                              <a:xfrm rot="19852505">
                                <a:off x="0" y="0"/>
                                <a:ext cx="231775" cy="114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5C0C5" id="Rectangle 57" o:spid="_x0000_s1026" style="position:absolute;margin-left:83.35pt;margin-top:146.7pt;width:18.25pt;height:9pt;rotation:-1908731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" filled="f" strokecolor="red" strokeweight="1pt"/>
                  </w:pict>
                </mc:Fallback>
              </mc:AlternateContent>
            </w:r>
            <w:r w:rsidR="007238D7">
              <w:rPr>
                <w:rFonts w:ascii="Cambria" w:eastAsia="Calibri" w:hAnsi="Cambria" w:cs="Times New Roman"/>
                <w:noProof/>
              </w:rPr>
              <w:drawing>
                <wp:inline distT="0" distB="0" distL="0" distR="0" wp14:anchorId="09811310" wp14:editId="4A10CF04">
                  <wp:extent cx="3019647" cy="2418183"/>
                  <wp:effectExtent l="0" t="0" r="9525"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9647" cy="2418183"/>
                          </a:xfrm>
                          <a:prstGeom prst="rect">
                            <a:avLst/>
                          </a:prstGeom>
                          <a:noFill/>
                        </pic:spPr>
                      </pic:pic>
                    </a:graphicData>
                  </a:graphic>
                </wp:inline>
              </w:drawing>
            </w:r>
          </w:p>
        </w:tc>
      </w:tr>
    </w:tbl>
    <w:p w14:paraId="5AADA6E3" w14:textId="2407C171" w:rsidR="007238D7" w:rsidRDefault="007238D7" w:rsidP="00DE6DBD">
      <w:pPr>
        <w:spacing w:before="240" w:after="0" w:line="240" w:lineRule="auto"/>
        <w:jc w:val="center"/>
        <w:rPr>
          <w:rFonts w:ascii="Garamond" w:hAnsi="Garamond" w:cs="Times New Roman"/>
          <w:i/>
          <w:noProof/>
          <w:sz w:val="18"/>
          <w:szCs w:val="20"/>
        </w:rPr>
      </w:pPr>
    </w:p>
    <w:p w14:paraId="5894C046" w14:textId="565B4DB6" w:rsidR="007238D7" w:rsidRDefault="007238D7" w:rsidP="00DE6DBD">
      <w:pPr>
        <w:spacing w:before="240" w:after="0" w:line="240" w:lineRule="auto"/>
        <w:jc w:val="center"/>
        <w:rPr>
          <w:rFonts w:ascii="Garamond" w:hAnsi="Garamond" w:cs="Times New Roman"/>
          <w:i/>
          <w:noProof/>
          <w:sz w:val="18"/>
          <w:szCs w:val="20"/>
        </w:rPr>
      </w:pPr>
    </w:p>
    <w:p w14:paraId="07C11A4F" w14:textId="1214FD1F" w:rsidR="007238D7" w:rsidRDefault="007238D7" w:rsidP="00DE6DBD">
      <w:pPr>
        <w:spacing w:before="240" w:after="0" w:line="240" w:lineRule="auto"/>
        <w:jc w:val="center"/>
        <w:rPr>
          <w:rFonts w:ascii="Garamond" w:hAnsi="Garamond" w:cs="Times New Roman"/>
          <w:i/>
          <w:noProof/>
          <w:sz w:val="18"/>
          <w:szCs w:val="20"/>
        </w:rPr>
      </w:pPr>
    </w:p>
    <w:p w14:paraId="4A3F56DE" w14:textId="4FCF3898" w:rsidR="007238D7" w:rsidRDefault="007238D7" w:rsidP="00DE6DBD">
      <w:pPr>
        <w:spacing w:before="240" w:after="0" w:line="240" w:lineRule="auto"/>
        <w:jc w:val="center"/>
        <w:rPr>
          <w:rFonts w:ascii="Garamond" w:hAnsi="Garamond" w:cs="Times New Roman"/>
          <w:i/>
          <w:noProof/>
          <w:sz w:val="18"/>
          <w:szCs w:val="20"/>
        </w:rPr>
      </w:pPr>
    </w:p>
    <w:p w14:paraId="5BBAFA2E" w14:textId="081853F4" w:rsidR="007238D7" w:rsidRDefault="007238D7" w:rsidP="00DE6DBD">
      <w:pPr>
        <w:spacing w:before="240" w:after="0" w:line="240" w:lineRule="auto"/>
        <w:jc w:val="center"/>
        <w:rPr>
          <w:rFonts w:ascii="Garamond" w:hAnsi="Garamond" w:cs="Times New Roman"/>
          <w:i/>
          <w:noProof/>
          <w:sz w:val="18"/>
          <w:szCs w:val="20"/>
        </w:rPr>
      </w:pPr>
    </w:p>
    <w:p w14:paraId="28596041" w14:textId="575FE6FE" w:rsidR="007238D7" w:rsidRDefault="007238D7" w:rsidP="00DE6DBD">
      <w:pPr>
        <w:spacing w:before="240" w:after="0" w:line="240" w:lineRule="auto"/>
        <w:jc w:val="center"/>
        <w:rPr>
          <w:rFonts w:ascii="Garamond" w:hAnsi="Garamond" w:cs="Times New Roman"/>
          <w:i/>
          <w:noProof/>
          <w:sz w:val="18"/>
          <w:szCs w:val="20"/>
        </w:rPr>
      </w:pPr>
    </w:p>
    <w:p w14:paraId="152D727F" w14:textId="44FD0790" w:rsidR="00CF57E3" w:rsidRDefault="00CF57E3" w:rsidP="00DE6DBD">
      <w:pPr>
        <w:spacing w:before="240" w:after="0" w:line="240" w:lineRule="auto"/>
        <w:jc w:val="center"/>
        <w:rPr>
          <w:rFonts w:ascii="Garamond" w:hAnsi="Garamond" w:cs="Times New Roman"/>
          <w:i/>
          <w:noProof/>
          <w:sz w:val="18"/>
          <w:szCs w:val="20"/>
        </w:rPr>
      </w:pPr>
    </w:p>
    <w:p w14:paraId="7CF77428" w14:textId="3F02F0A7" w:rsidR="00AC7706" w:rsidRDefault="007238D7" w:rsidP="00DE6DBD">
      <w:pPr>
        <w:spacing w:before="240" w:after="0" w:line="240" w:lineRule="auto"/>
        <w:jc w:val="center"/>
        <w:rPr>
          <w:rFonts w:ascii="Garamond" w:hAnsi="Garamond" w:cs="Times New Roman"/>
          <w:i/>
          <w:noProof/>
          <w:sz w:val="18"/>
          <w:szCs w:val="20"/>
        </w:rPr>
      </w:pPr>
      <w:r>
        <w:rPr>
          <w:rFonts w:ascii="Garamond" w:hAnsi="Garamond"/>
          <w:sz w:val="20"/>
        </w:rPr>
        <w:t>c</w:t>
      </w:r>
      <w:r w:rsidRPr="007A2A87">
        <w:rPr>
          <w:rFonts w:ascii="Garamond" w:hAnsi="Garamond"/>
          <w:sz w:val="20"/>
        </w:rPr>
        <w:t xml:space="preserve">. </w:t>
      </w:r>
      <w:r>
        <w:rPr>
          <w:rFonts w:ascii="Garamond" w:hAnsi="Garamond"/>
          <w:sz w:val="20"/>
        </w:rPr>
        <w:t>Market Access</w:t>
      </w:r>
    </w:p>
    <w:p w14:paraId="43623DB4" w14:textId="45D691E8" w:rsidR="00703DA1" w:rsidRPr="007A2A87" w:rsidRDefault="007238D7" w:rsidP="00DC4845">
      <w:pPr>
        <w:spacing w:after="0" w:line="240" w:lineRule="auto"/>
        <w:jc w:val="center"/>
        <w:rPr>
          <w:rFonts w:ascii="Garamond" w:hAnsi="Garamond" w:cs="Times New Roman"/>
          <w:i/>
          <w:sz w:val="18"/>
          <w:szCs w:val="20"/>
        </w:rPr>
      </w:pPr>
      <w:r>
        <w:rPr>
          <w:noProof/>
        </w:rPr>
        <mc:AlternateContent>
          <mc:Choice Requires="wps">
            <w:drawing>
              <wp:anchor distT="0" distB="0" distL="114300" distR="114300" simplePos="0" relativeHeight="251654656" behindDoc="0" locked="0" layoutInCell="1" allowOverlap="1" wp14:anchorId="54C3834C" wp14:editId="33CEB41A">
                <wp:simplePos x="0" y="0"/>
                <wp:positionH relativeFrom="column">
                  <wp:posOffset>1793210</wp:posOffset>
                </wp:positionH>
                <wp:positionV relativeFrom="paragraph">
                  <wp:posOffset>1675396</wp:posOffset>
                </wp:positionV>
                <wp:extent cx="203200" cy="132715"/>
                <wp:effectExtent l="0" t="0" r="0" b="0"/>
                <wp:wrapNone/>
                <wp:docPr id="62" name="Rectangle 62"/>
                <wp:cNvGraphicFramePr/>
                <a:graphic xmlns:a="http://schemas.openxmlformats.org/drawingml/2006/main">
                  <a:graphicData uri="http://schemas.microsoft.com/office/word/2010/wordprocessingShape">
                    <wps:wsp>
                      <wps:cNvSpPr/>
                      <wps:spPr>
                        <a:xfrm rot="19852505">
                          <a:off x="0" y="0"/>
                          <a:ext cx="203200" cy="1327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D10CD" id="Rectangle 62" o:spid="_x0000_s1026" style="position:absolute;margin-left:141.2pt;margin-top:131.9pt;width:16pt;height:10.45pt;rotation:-1908731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" filled="f" strokecolor="red" strokeweight="1pt"/>
            </w:pict>
          </mc:Fallback>
        </mc:AlternateContent>
      </w:r>
      <w:r w:rsidR="001822A4">
        <w:rPr>
          <w:rFonts w:ascii="Garamond" w:hAnsi="Garamond" w:cs="Times New Roman"/>
          <w:i/>
          <w:noProof/>
          <w:sz w:val="18"/>
          <w:szCs w:val="20"/>
        </w:rPr>
        <w:drawing>
          <wp:inline distT="0" distB="0" distL="0" distR="0" wp14:anchorId="1C9F9484" wp14:editId="280B7B2F">
            <wp:extent cx="3682922" cy="2218291"/>
            <wp:effectExtent l="0" t="0" r="63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2922" cy="2218291"/>
                    </a:xfrm>
                    <a:prstGeom prst="rect">
                      <a:avLst/>
                    </a:prstGeom>
                    <a:noFill/>
                  </pic:spPr>
                </pic:pic>
              </a:graphicData>
            </a:graphic>
          </wp:inline>
        </w:drawing>
      </w:r>
    </w:p>
    <w:p w14:paraId="60504B05" w14:textId="77777777" w:rsidR="001822A4" w:rsidRDefault="001822A4" w:rsidP="00DE6DBD">
      <w:pPr>
        <w:pStyle w:val="footnotefigure"/>
        <w:rPr>
          <w:rFonts w:ascii="Garamond" w:hAnsi="Garamond"/>
          <w:b/>
          <w:i/>
          <w:sz w:val="16"/>
        </w:rPr>
      </w:pPr>
    </w:p>
    <w:p w14:paraId="4FE78FAD" w14:textId="0A88AA31" w:rsidR="007238D7" w:rsidRDefault="007238D7" w:rsidP="00DE6DBD">
      <w:pPr>
        <w:pStyle w:val="footnotefigure"/>
        <w:rPr>
          <w:rFonts w:ascii="Garamond" w:hAnsi="Garamond"/>
          <w:i/>
          <w:sz w:val="16"/>
        </w:rPr>
      </w:pPr>
    </w:p>
    <w:p w14:paraId="5204CC62" w14:textId="185D5737" w:rsidR="00703DA1" w:rsidRPr="007238D7" w:rsidRDefault="00703DA1" w:rsidP="00DC4845">
      <w:pPr>
        <w:pStyle w:val="footnotefigure"/>
        <w:rPr>
          <w:rFonts w:ascii="Garamond" w:hAnsi="Garamond"/>
          <w:sz w:val="16"/>
        </w:rPr>
      </w:pPr>
      <w:r w:rsidRPr="007238D7">
        <w:rPr>
          <w:rFonts w:ascii="Garamond" w:hAnsi="Garamond"/>
          <w:i/>
          <w:sz w:val="16"/>
        </w:rPr>
        <w:t>Source</w:t>
      </w:r>
      <w:r w:rsidRPr="007238D7">
        <w:rPr>
          <w:rFonts w:ascii="Garamond" w:hAnsi="Garamond"/>
          <w:sz w:val="16"/>
        </w:rPr>
        <w:t>: Quintero and Roberts (2017), background paper.</w:t>
      </w:r>
    </w:p>
    <w:p w14:paraId="1D21B1E2" w14:textId="77777777" w:rsidR="00703DA1" w:rsidRPr="00544108" w:rsidRDefault="00703DA1" w:rsidP="00DC4845">
      <w:pPr>
        <w:pStyle w:val="footnotefigure"/>
        <w:rPr>
          <w:rFonts w:ascii="Garamond" w:hAnsi="Garamond"/>
          <w:sz w:val="16"/>
          <w:lang w:val="es-CO"/>
        </w:rPr>
      </w:pPr>
      <w:r w:rsidRPr="007238D7">
        <w:rPr>
          <w:rFonts w:ascii="Garamond" w:hAnsi="Garamond"/>
          <w:i/>
          <w:sz w:val="16"/>
        </w:rPr>
        <w:t xml:space="preserve">Note: </w:t>
      </w:r>
      <w:r w:rsidRPr="007238D7">
        <w:rPr>
          <w:rFonts w:ascii="Garamond" w:hAnsi="Garamond"/>
          <w:sz w:val="16"/>
        </w:rPr>
        <w:t xml:space="preserve">Figures show the estimated elasticities for each country derived from regressing—in individual country-level regressions—estimated subnational underlying productivity (measured in natural logs) on the variables shown in column 3 of </w:t>
      </w:r>
      <w:r w:rsidRPr="007238D7">
        <w:rPr>
          <w:rFonts w:ascii="Garamond" w:hAnsi="Garamond"/>
          <w:sz w:val="16"/>
        </w:rPr>
        <w:fldChar w:fldCharType="begin"/>
      </w:r>
      <w:r w:rsidRPr="007238D7">
        <w:rPr>
          <w:rFonts w:ascii="Garamond" w:hAnsi="Garamond"/>
          <w:sz w:val="16"/>
        </w:rPr>
        <w:instrText xml:space="preserve"> REF _Ref494192365 \h  \* MERGEFORMAT </w:instrText>
      </w:r>
      <w:r w:rsidRPr="007238D7">
        <w:rPr>
          <w:rFonts w:ascii="Garamond" w:hAnsi="Garamond"/>
          <w:sz w:val="16"/>
        </w:rPr>
      </w:r>
      <w:r w:rsidRPr="007238D7">
        <w:rPr>
          <w:rFonts w:ascii="Garamond" w:hAnsi="Garamond"/>
          <w:sz w:val="16"/>
        </w:rPr>
        <w:fldChar w:fldCharType="separate"/>
      </w:r>
      <w:r w:rsidRPr="007238D7">
        <w:rPr>
          <w:rFonts w:ascii="Garamond" w:hAnsi="Garamond"/>
          <w:sz w:val="16"/>
        </w:rPr>
        <w:t xml:space="preserve">Table </w:t>
      </w:r>
      <w:r w:rsidRPr="007238D7">
        <w:rPr>
          <w:rFonts w:ascii="Garamond" w:hAnsi="Garamond"/>
          <w:noProof/>
          <w:sz w:val="16"/>
        </w:rPr>
        <w:t>3</w:t>
      </w:r>
      <w:r w:rsidRPr="007238D7">
        <w:rPr>
          <w:rFonts w:ascii="Garamond" w:hAnsi="Garamond"/>
          <w:sz w:val="16"/>
        </w:rPr>
        <w:t>.</w:t>
      </w:r>
      <w:r w:rsidRPr="007238D7">
        <w:rPr>
          <w:rFonts w:ascii="Garamond" w:hAnsi="Garamond"/>
          <w:noProof/>
          <w:sz w:val="16"/>
        </w:rPr>
        <w:t>2</w:t>
      </w:r>
      <w:r w:rsidRPr="007238D7">
        <w:rPr>
          <w:rFonts w:ascii="Garamond" w:hAnsi="Garamond"/>
          <w:sz w:val="16"/>
        </w:rPr>
        <w:fldChar w:fldCharType="end"/>
      </w:r>
      <w:r w:rsidRPr="007238D7">
        <w:rPr>
          <w:rFonts w:ascii="Garamond" w:hAnsi="Garamond"/>
          <w:sz w:val="16"/>
        </w:rPr>
        <w:t xml:space="preserve">. The squares represent the point estimates, while the upper and lower caps indicate the upper and lower bounds of the 95 percent confidence intervals. </w:t>
      </w:r>
      <w:r w:rsidRPr="00544108">
        <w:rPr>
          <w:rFonts w:ascii="Garamond" w:hAnsi="Garamond"/>
          <w:sz w:val="16"/>
          <w:lang w:val="es-CO"/>
        </w:rPr>
        <w:t>ARG = Argentina, BOL = Bolivia, BRA = Brazil, CHL = Chile, COL = Colombia, CRI = Costa Rica, DOM = Dominican Republic, ECU = Ecuador, GTM = Guatemala, HND = Honduras, MEX = Mexico, NIC = Nicaragua, PER = Peru, SLV = El Salvador, URY = Uruguay.</w:t>
      </w:r>
    </w:p>
    <w:p w14:paraId="5FACDCB6" w14:textId="77777777" w:rsidR="008861BF" w:rsidRPr="00544108" w:rsidRDefault="008861BF" w:rsidP="00DC4845">
      <w:pPr>
        <w:spacing w:line="240" w:lineRule="auto"/>
        <w:rPr>
          <w:rFonts w:ascii="Garamond" w:hAnsi="Garamond"/>
          <w:lang w:val="es-CO"/>
        </w:rPr>
      </w:pPr>
    </w:p>
    <w:p w14:paraId="0F27D980" w14:textId="34599902" w:rsidR="007550FE" w:rsidRDefault="00FA6312" w:rsidP="00DE6DBD">
      <w:pPr>
        <w:spacing w:line="240" w:lineRule="auto"/>
        <w:jc w:val="both"/>
        <w:rPr>
          <w:rFonts w:ascii="Garamond" w:hAnsi="Garamond"/>
          <w:szCs w:val="24"/>
        </w:rPr>
      </w:pPr>
      <w:r w:rsidRPr="00FA6312">
        <w:rPr>
          <w:rFonts w:ascii="Garamond" w:hAnsi="Garamond"/>
          <w:b/>
        </w:rPr>
        <w:t>Brazilian cities</w:t>
      </w:r>
      <w:r w:rsidR="008F09E9" w:rsidRPr="00FA6312">
        <w:rPr>
          <w:rFonts w:ascii="Garamond" w:hAnsi="Garamond"/>
          <w:b/>
        </w:rPr>
        <w:t xml:space="preserve"> </w:t>
      </w:r>
      <w:r w:rsidRPr="00FA6312">
        <w:rPr>
          <w:rFonts w:ascii="Garamond" w:hAnsi="Garamond"/>
          <w:b/>
        </w:rPr>
        <w:t xml:space="preserve">boast </w:t>
      </w:r>
      <w:r w:rsidR="005F700E">
        <w:rPr>
          <w:rFonts w:ascii="Garamond" w:hAnsi="Garamond"/>
          <w:b/>
        </w:rPr>
        <w:t>high</w:t>
      </w:r>
      <w:r w:rsidR="008861BF">
        <w:rPr>
          <w:rFonts w:ascii="Garamond" w:hAnsi="Garamond"/>
          <w:b/>
        </w:rPr>
        <w:t xml:space="preserve"> skill</w:t>
      </w:r>
      <w:r w:rsidR="008F09E9" w:rsidRPr="00FA6312">
        <w:rPr>
          <w:rFonts w:ascii="Garamond" w:hAnsi="Garamond"/>
          <w:b/>
        </w:rPr>
        <w:t xml:space="preserve"> inequalities</w:t>
      </w:r>
      <w:r w:rsidR="005D17C6">
        <w:rPr>
          <w:rFonts w:ascii="Garamond" w:hAnsi="Garamond"/>
          <w:b/>
        </w:rPr>
        <w:t>, leading to large disparities in income</w:t>
      </w:r>
      <w:r w:rsidR="008861BF">
        <w:rPr>
          <w:rFonts w:ascii="Garamond" w:hAnsi="Garamond"/>
          <w:b/>
        </w:rPr>
        <w:t>.</w:t>
      </w:r>
      <w:r w:rsidR="008B5653" w:rsidRPr="00FA6312">
        <w:rPr>
          <w:rFonts w:ascii="Garamond" w:hAnsi="Garamond"/>
          <w:b/>
          <w:color w:val="C00000"/>
          <w:sz w:val="28"/>
        </w:rPr>
        <w:t xml:space="preserve"> </w:t>
      </w:r>
      <w:r w:rsidR="00703DA1" w:rsidRPr="00703DA1">
        <w:rPr>
          <w:rFonts w:ascii="Garamond" w:hAnsi="Garamond"/>
          <w:szCs w:val="24"/>
        </w:rPr>
        <w:t>Skills have been found to be one of the major contributors to cities productivity in LAC. Holding density and access constant, a 1-percent increase in skill (measured as average years of schooling) is associated with a 0.57 percent increase in productivity across LAC cities. While the contribution of skill to productivity varies across countries, it is significantly different from zero and positive for all LAC countries.</w:t>
      </w:r>
      <w:r w:rsidR="00703DA1">
        <w:rPr>
          <w:rFonts w:ascii="Garamond" w:hAnsi="Garamond"/>
          <w:szCs w:val="24"/>
        </w:rPr>
        <w:t xml:space="preserve"> </w:t>
      </w:r>
      <w:r w:rsidR="00EA5796" w:rsidRPr="00FA6312">
        <w:rPr>
          <w:rFonts w:ascii="Garamond" w:hAnsi="Garamond"/>
          <w:szCs w:val="24"/>
        </w:rPr>
        <w:t>Skilled individuals sort very strongly into large cities across LAC</w:t>
      </w:r>
      <w:r w:rsidR="00705C90" w:rsidRPr="00FA6312">
        <w:rPr>
          <w:rFonts w:ascii="Garamond" w:hAnsi="Garamond"/>
          <w:szCs w:val="24"/>
        </w:rPr>
        <w:t>.</w:t>
      </w:r>
      <w:r w:rsidR="00EA5796" w:rsidRPr="00FA6312">
        <w:rPr>
          <w:rFonts w:ascii="Garamond" w:hAnsi="Garamond"/>
          <w:szCs w:val="24"/>
        </w:rPr>
        <w:t xml:space="preserve"> This sorting is stronger in </w:t>
      </w:r>
      <w:r w:rsidR="00703DA1">
        <w:rPr>
          <w:rFonts w:ascii="Garamond" w:hAnsi="Garamond"/>
          <w:szCs w:val="24"/>
        </w:rPr>
        <w:t>the region</w:t>
      </w:r>
      <w:r w:rsidR="00EA5796" w:rsidRPr="00FA6312">
        <w:rPr>
          <w:rFonts w:ascii="Garamond" w:hAnsi="Garamond"/>
          <w:szCs w:val="24"/>
        </w:rPr>
        <w:t xml:space="preserve"> compared to countries such as the United States. For instance, in the latter a 10-percent increase in a city’s population is associated with a 1.2 percent increase in the share of the city’s population that is skilled, but the associated increase is 2.9 percent in LAC. </w:t>
      </w:r>
      <w:r w:rsidR="00500B61" w:rsidRPr="00500B61">
        <w:rPr>
          <w:rFonts w:ascii="Garamond" w:hAnsi="Garamond"/>
          <w:szCs w:val="24"/>
        </w:rPr>
        <w:t xml:space="preserve">This may </w:t>
      </w:r>
      <w:r w:rsidR="005A475C">
        <w:rPr>
          <w:rFonts w:ascii="Garamond" w:hAnsi="Garamond"/>
          <w:szCs w:val="24"/>
        </w:rPr>
        <w:t>partly</w:t>
      </w:r>
      <w:r w:rsidR="00500B61" w:rsidRPr="00500B61">
        <w:rPr>
          <w:rFonts w:ascii="Garamond" w:hAnsi="Garamond"/>
          <w:szCs w:val="24"/>
        </w:rPr>
        <w:t xml:space="preserve"> reflect a more unequal distribution of amenities and public services -which serve to attract skilled people- across cities in LAC. </w:t>
      </w:r>
      <w:r w:rsidR="00521DAC" w:rsidRPr="00FA6312">
        <w:rPr>
          <w:rFonts w:ascii="Garamond" w:hAnsi="Garamond"/>
          <w:szCs w:val="24"/>
        </w:rPr>
        <w:t>T</w:t>
      </w:r>
      <w:r w:rsidR="00EA5796" w:rsidRPr="00FA6312">
        <w:rPr>
          <w:rFonts w:ascii="Garamond" w:hAnsi="Garamond"/>
          <w:szCs w:val="24"/>
        </w:rPr>
        <w:t xml:space="preserve">he average share of </w:t>
      </w:r>
      <w:r w:rsidR="00A66E32">
        <w:rPr>
          <w:rFonts w:ascii="Garamond" w:hAnsi="Garamond"/>
          <w:szCs w:val="24"/>
        </w:rPr>
        <w:t xml:space="preserve">the </w:t>
      </w:r>
      <w:r w:rsidR="00EA5796" w:rsidRPr="00FA6312">
        <w:rPr>
          <w:rFonts w:ascii="Garamond" w:hAnsi="Garamond"/>
          <w:szCs w:val="24"/>
        </w:rPr>
        <w:t>skilled adult population</w:t>
      </w:r>
      <w:r w:rsidR="009A2920" w:rsidRPr="00FA6312">
        <w:rPr>
          <w:rFonts w:ascii="Garamond" w:hAnsi="Garamond"/>
          <w:szCs w:val="24"/>
        </w:rPr>
        <w:t xml:space="preserve"> in the region</w:t>
      </w:r>
      <w:r w:rsidR="00EA5796" w:rsidRPr="00FA6312">
        <w:rPr>
          <w:rFonts w:ascii="Garamond" w:hAnsi="Garamond"/>
          <w:szCs w:val="24"/>
        </w:rPr>
        <w:t xml:space="preserve"> is 13 percent; </w:t>
      </w:r>
      <w:r w:rsidR="00600F1F" w:rsidRPr="00FA6312">
        <w:rPr>
          <w:rFonts w:ascii="Garamond" w:hAnsi="Garamond"/>
          <w:szCs w:val="24"/>
        </w:rPr>
        <w:t xml:space="preserve">Brazil is below average with that number just </w:t>
      </w:r>
      <w:r w:rsidR="008F09E9" w:rsidRPr="00FA6312">
        <w:rPr>
          <w:rFonts w:ascii="Garamond" w:hAnsi="Garamond"/>
          <w:szCs w:val="24"/>
        </w:rPr>
        <w:t>above</w:t>
      </w:r>
      <w:r w:rsidR="00EA5796" w:rsidRPr="00FA6312">
        <w:rPr>
          <w:rFonts w:ascii="Garamond" w:hAnsi="Garamond"/>
          <w:szCs w:val="24"/>
        </w:rPr>
        <w:t xml:space="preserve"> </w:t>
      </w:r>
      <w:r w:rsidR="008F09E9" w:rsidRPr="00FA6312">
        <w:rPr>
          <w:rFonts w:ascii="Garamond" w:hAnsi="Garamond"/>
          <w:szCs w:val="24"/>
        </w:rPr>
        <w:t xml:space="preserve">10 percent. </w:t>
      </w:r>
      <w:r w:rsidR="00F422DF">
        <w:rPr>
          <w:rFonts w:ascii="Garamond" w:hAnsi="Garamond"/>
          <w:szCs w:val="24"/>
        </w:rPr>
        <w:t xml:space="preserve">Yet, </w:t>
      </w:r>
      <w:r w:rsidR="00500B61">
        <w:rPr>
          <w:rFonts w:ascii="Garamond" w:hAnsi="Garamond"/>
          <w:szCs w:val="24"/>
        </w:rPr>
        <w:t>there are</w:t>
      </w:r>
      <w:r w:rsidR="006D0C7D" w:rsidRPr="00FA6312">
        <w:rPr>
          <w:rFonts w:ascii="Garamond" w:hAnsi="Garamond"/>
          <w:szCs w:val="24"/>
        </w:rPr>
        <w:t xml:space="preserve"> </w:t>
      </w:r>
      <w:r w:rsidR="00F422DF">
        <w:rPr>
          <w:rFonts w:ascii="Garamond" w:hAnsi="Garamond"/>
          <w:szCs w:val="24"/>
        </w:rPr>
        <w:t>important</w:t>
      </w:r>
      <w:r w:rsidR="006D0C7D" w:rsidRPr="00FA6312">
        <w:rPr>
          <w:rFonts w:ascii="Garamond" w:hAnsi="Garamond"/>
          <w:szCs w:val="24"/>
        </w:rPr>
        <w:t xml:space="preserve"> regional disparities</w:t>
      </w:r>
      <w:r w:rsidR="005C0D8A">
        <w:rPr>
          <w:rFonts w:ascii="Garamond" w:hAnsi="Garamond"/>
          <w:szCs w:val="24"/>
        </w:rPr>
        <w:t xml:space="preserve">. </w:t>
      </w:r>
      <w:r w:rsidR="00C63430">
        <w:rPr>
          <w:rFonts w:ascii="Garamond" w:hAnsi="Garamond"/>
          <w:szCs w:val="24"/>
        </w:rPr>
        <w:t>In Brazil, c</w:t>
      </w:r>
      <w:r w:rsidR="005C0D8A">
        <w:rPr>
          <w:rFonts w:ascii="Garamond" w:hAnsi="Garamond"/>
          <w:szCs w:val="24"/>
        </w:rPr>
        <w:t>ollege-educated workers tend to</w:t>
      </w:r>
      <w:r>
        <w:rPr>
          <w:rFonts w:ascii="Garamond" w:hAnsi="Garamond"/>
          <w:szCs w:val="24"/>
        </w:rPr>
        <w:t xml:space="preserve"> gravitate towards larger cities with already high college shares</w:t>
      </w:r>
      <w:r w:rsidR="00703DA1">
        <w:rPr>
          <w:rFonts w:ascii="Garamond" w:hAnsi="Garamond"/>
          <w:szCs w:val="24"/>
        </w:rPr>
        <w:t xml:space="preserve"> and other locational attributes. Evid</w:t>
      </w:r>
      <w:r>
        <w:rPr>
          <w:rFonts w:ascii="Garamond" w:hAnsi="Garamond"/>
          <w:szCs w:val="24"/>
        </w:rPr>
        <w:t xml:space="preserve">ence suggests that </w:t>
      </w:r>
      <w:r w:rsidR="00703DA1">
        <w:rPr>
          <w:rFonts w:ascii="Garamond" w:hAnsi="Garamond"/>
          <w:szCs w:val="24"/>
        </w:rPr>
        <w:t xml:space="preserve">Brazilian </w:t>
      </w:r>
      <w:r w:rsidRPr="00FA6312">
        <w:rPr>
          <w:rFonts w:ascii="Garamond" w:hAnsi="Garamond"/>
          <w:szCs w:val="24"/>
        </w:rPr>
        <w:t>workers of all educational attainments value college-</w:t>
      </w:r>
      <w:r w:rsidRPr="00FA6312">
        <w:rPr>
          <w:rFonts w:ascii="Garamond" w:hAnsi="Garamond"/>
          <w:szCs w:val="24"/>
        </w:rPr>
        <w:lastRenderedPageBreak/>
        <w:t>educated neighbors and intercity connectivity. They value density only to the extent that it raises the share of college-educated neighbors</w:t>
      </w:r>
      <w:r w:rsidR="00A66E32">
        <w:rPr>
          <w:rFonts w:ascii="Garamond" w:hAnsi="Garamond"/>
          <w:szCs w:val="24"/>
        </w:rPr>
        <w:t>.</w:t>
      </w:r>
      <w:r w:rsidR="009946BC">
        <w:rPr>
          <w:rStyle w:val="FootnoteReference"/>
          <w:rFonts w:ascii="Garamond" w:hAnsi="Garamond"/>
          <w:szCs w:val="24"/>
        </w:rPr>
        <w:footnoteReference w:id="14"/>
      </w:r>
      <w:r w:rsidR="005A475C">
        <w:rPr>
          <w:rFonts w:ascii="Garamond" w:hAnsi="Garamond"/>
          <w:szCs w:val="24"/>
        </w:rPr>
        <w:t xml:space="preserve"> </w:t>
      </w:r>
    </w:p>
    <w:p w14:paraId="2145374A" w14:textId="3D0E4F60" w:rsidR="009946BC" w:rsidRDefault="00AC7706" w:rsidP="00DE6DBD">
      <w:pPr>
        <w:spacing w:line="240" w:lineRule="auto"/>
        <w:jc w:val="both"/>
        <w:rPr>
          <w:rFonts w:ascii="Garamond" w:hAnsi="Garamond"/>
        </w:rPr>
      </w:pPr>
      <w:r>
        <w:rPr>
          <w:rFonts w:ascii="Garamond" w:hAnsi="Garamond"/>
          <w:b/>
          <w:szCs w:val="24"/>
        </w:rPr>
        <w:t>More than in other LAC country, Brazilian h</w:t>
      </w:r>
      <w:r w:rsidRPr="009021F0">
        <w:rPr>
          <w:rFonts w:ascii="Garamond" w:hAnsi="Garamond"/>
          <w:b/>
          <w:szCs w:val="24"/>
        </w:rPr>
        <w:t xml:space="preserve">igh-skill individuals sort in large cities. </w:t>
      </w:r>
      <w:r w:rsidR="00C63430">
        <w:rPr>
          <w:rFonts w:ascii="Garamond" w:hAnsi="Garamond"/>
          <w:szCs w:val="24"/>
        </w:rPr>
        <w:t xml:space="preserve">The sorting of high-skill and higher earning individuals in large cities </w:t>
      </w:r>
      <w:r w:rsidR="00635DC6">
        <w:rPr>
          <w:rFonts w:ascii="Garamond" w:hAnsi="Garamond"/>
          <w:szCs w:val="24"/>
        </w:rPr>
        <w:t>contributes to the high-level of income inequalities within these cities</w:t>
      </w:r>
      <w:r w:rsidR="00C63430">
        <w:rPr>
          <w:rFonts w:ascii="Garamond" w:hAnsi="Garamond"/>
          <w:szCs w:val="24"/>
        </w:rPr>
        <w:t xml:space="preserve">. </w:t>
      </w:r>
      <w:r w:rsidR="008861BF" w:rsidRPr="00D0695D">
        <w:rPr>
          <w:rFonts w:ascii="Garamond" w:hAnsi="Garamond"/>
        </w:rPr>
        <w:t>On average, in LAC a 10-percent point increase in city population is associated with a 0.29-percent increase in income inequality, measured by the Gini coefficient. The corresponding increase in the United States is lower (0.12 percent)</w:t>
      </w:r>
      <w:r w:rsidR="005D17C6">
        <w:rPr>
          <w:rFonts w:ascii="Garamond" w:hAnsi="Garamond"/>
        </w:rPr>
        <w:t xml:space="preserve">. </w:t>
      </w:r>
      <w:r w:rsidR="008861BF" w:rsidRPr="00D0695D">
        <w:rPr>
          <w:rFonts w:ascii="Garamond" w:hAnsi="Garamond"/>
        </w:rPr>
        <w:t xml:space="preserve">Brazilian cities are among LAC’s most unequal. This is true independent of their size even if larger cities display even higher levels of inequalities (Figure </w:t>
      </w:r>
      <w:r w:rsidR="00146DDE">
        <w:rPr>
          <w:rFonts w:ascii="Garamond" w:hAnsi="Garamond"/>
        </w:rPr>
        <w:t>6</w:t>
      </w:r>
      <w:r w:rsidR="008861BF" w:rsidRPr="00D0695D">
        <w:rPr>
          <w:rFonts w:ascii="Garamond" w:hAnsi="Garamond"/>
        </w:rPr>
        <w:t>).</w:t>
      </w:r>
      <w:r w:rsidR="008861BF">
        <w:rPr>
          <w:rFonts w:ascii="Garamond" w:hAnsi="Garamond"/>
        </w:rPr>
        <w:t xml:space="preserve"> </w:t>
      </w:r>
    </w:p>
    <w:p w14:paraId="6ED31B89" w14:textId="0B2D8EC9" w:rsidR="008861BF" w:rsidRDefault="006F5F4A" w:rsidP="00DE6DBD">
      <w:pPr>
        <w:keepNext/>
        <w:keepLines/>
        <w:spacing w:line="240" w:lineRule="auto"/>
        <w:jc w:val="center"/>
        <w:rPr>
          <w:rFonts w:ascii="Garamond" w:hAnsi="Garamond"/>
          <w:b/>
          <w:smallCaps/>
          <w:color w:val="C00000"/>
          <w:sz w:val="24"/>
        </w:rPr>
      </w:pPr>
      <w:r>
        <w:rPr>
          <w:noProof/>
        </w:rPr>
        <mc:AlternateContent>
          <mc:Choice Requires="wps">
            <w:drawing>
              <wp:anchor distT="0" distB="0" distL="114300" distR="114300" simplePos="0" relativeHeight="251662848" behindDoc="0" locked="0" layoutInCell="1" allowOverlap="1" wp14:anchorId="2CE09A58" wp14:editId="44E79470">
                <wp:simplePos x="0" y="0"/>
                <wp:positionH relativeFrom="column">
                  <wp:posOffset>1095153</wp:posOffset>
                </wp:positionH>
                <wp:positionV relativeFrom="paragraph">
                  <wp:posOffset>244550</wp:posOffset>
                </wp:positionV>
                <wp:extent cx="254635" cy="1456468"/>
                <wp:effectExtent l="0" t="0" r="12065" b="10795"/>
                <wp:wrapNone/>
                <wp:docPr id="7" name="Rectangle 7"/>
                <wp:cNvGraphicFramePr/>
                <a:graphic xmlns:a="http://schemas.openxmlformats.org/drawingml/2006/main">
                  <a:graphicData uri="http://schemas.microsoft.com/office/word/2010/wordprocessingShape">
                    <wps:wsp>
                      <wps:cNvSpPr/>
                      <wps:spPr>
                        <a:xfrm>
                          <a:off x="0" y="0"/>
                          <a:ext cx="254635" cy="145646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75CAB" id="Rectangle 7" o:spid="_x0000_s1026" style="position:absolute;margin-left:86.25pt;margin-top:19.25pt;width:20.05pt;height:1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" filled="f" strokecolor="red" strokeweight="1pt"/>
            </w:pict>
          </mc:Fallback>
        </mc:AlternateContent>
      </w:r>
      <w:r w:rsidR="008861BF" w:rsidRPr="004B723F">
        <w:rPr>
          <w:rFonts w:ascii="Garamond" w:hAnsi="Garamond" w:cstheme="minorHAnsi"/>
          <w:b/>
          <w:sz w:val="20"/>
        </w:rPr>
        <w:t xml:space="preserve">Figure </w:t>
      </w:r>
      <w:r w:rsidR="00146DDE">
        <w:rPr>
          <w:rFonts w:ascii="Garamond" w:hAnsi="Garamond" w:cstheme="minorHAnsi"/>
          <w:b/>
          <w:sz w:val="20"/>
        </w:rPr>
        <w:t>6</w:t>
      </w:r>
      <w:r w:rsidR="008861BF" w:rsidRPr="004B723F">
        <w:rPr>
          <w:rFonts w:ascii="Garamond" w:hAnsi="Garamond" w:cstheme="minorHAnsi"/>
          <w:b/>
          <w:sz w:val="20"/>
        </w:rPr>
        <w:t xml:space="preserve">. </w:t>
      </w:r>
      <w:r w:rsidR="008861BF">
        <w:rPr>
          <w:rFonts w:ascii="Garamond" w:hAnsi="Garamond" w:cstheme="minorHAnsi"/>
          <w:b/>
          <w:sz w:val="20"/>
        </w:rPr>
        <w:t>Average Gini coefficient by area size (2014)</w:t>
      </w:r>
    </w:p>
    <w:p w14:paraId="33D4381A" w14:textId="036D1790" w:rsidR="008861BF" w:rsidRDefault="008861BF" w:rsidP="00DE6DBD">
      <w:pPr>
        <w:autoSpaceDE w:val="0"/>
        <w:autoSpaceDN w:val="0"/>
        <w:adjustRightInd w:val="0"/>
        <w:spacing w:after="0" w:line="240" w:lineRule="auto"/>
        <w:jc w:val="center"/>
        <w:rPr>
          <w:rFonts w:ascii="Garamond" w:hAnsi="Garamond"/>
          <w:b/>
          <w:smallCaps/>
          <w:color w:val="C00000"/>
          <w:sz w:val="24"/>
        </w:rPr>
      </w:pPr>
      <w:r w:rsidRPr="00D0695D">
        <w:rPr>
          <w:noProof/>
        </w:rPr>
        <w:drawing>
          <wp:inline distT="0" distB="0" distL="0" distR="0" wp14:anchorId="17307A51" wp14:editId="39D1295A">
            <wp:extent cx="4818185" cy="2169728"/>
            <wp:effectExtent l="0" t="0" r="190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21790" cy="2171351"/>
                    </a:xfrm>
                    <a:prstGeom prst="rect">
                      <a:avLst/>
                    </a:prstGeom>
                  </pic:spPr>
                </pic:pic>
              </a:graphicData>
            </a:graphic>
          </wp:inline>
        </w:drawing>
      </w:r>
    </w:p>
    <w:p w14:paraId="6F79157C" w14:textId="77777777" w:rsidR="008861BF" w:rsidRDefault="008861BF" w:rsidP="00DE6DBD">
      <w:pPr>
        <w:pStyle w:val="footnotefigure"/>
        <w:ind w:left="243" w:right="333"/>
        <w:rPr>
          <w:rFonts w:eastAsia="Times New Roman"/>
          <w:b/>
          <w:i/>
          <w:color w:val="000000"/>
          <w:sz w:val="16"/>
        </w:rPr>
      </w:pPr>
    </w:p>
    <w:p w14:paraId="133A204C" w14:textId="77777777" w:rsidR="008861BF" w:rsidRDefault="008861BF" w:rsidP="00DE6DBD">
      <w:pPr>
        <w:pStyle w:val="footnotefigure"/>
        <w:ind w:left="243" w:right="333"/>
        <w:rPr>
          <w:sz w:val="16"/>
        </w:rPr>
      </w:pPr>
      <w:r w:rsidRPr="005057F5">
        <w:rPr>
          <w:rFonts w:eastAsia="Times New Roman"/>
          <w:b/>
          <w:i/>
          <w:color w:val="000000"/>
          <w:sz w:val="16"/>
        </w:rPr>
        <w:t>Source:</w:t>
      </w:r>
      <w:r w:rsidRPr="005057F5">
        <w:rPr>
          <w:rFonts w:eastAsia="Times New Roman"/>
          <w:b/>
          <w:color w:val="000000"/>
          <w:sz w:val="16"/>
        </w:rPr>
        <w:t xml:space="preserve"> </w:t>
      </w:r>
      <w:r>
        <w:rPr>
          <w:rFonts w:eastAsia="Times New Roman"/>
          <w:color w:val="000000"/>
          <w:sz w:val="16"/>
        </w:rPr>
        <w:t>World Bank calculations using SEDLAC</w:t>
      </w:r>
      <w:r>
        <w:rPr>
          <w:sz w:val="16"/>
        </w:rPr>
        <w:t xml:space="preserve"> (for countries other than Brazil) and IPUMS for Brazil. </w:t>
      </w:r>
    </w:p>
    <w:p w14:paraId="37F5CCF7" w14:textId="77777777" w:rsidR="008861BF" w:rsidRPr="005057F5" w:rsidRDefault="008861BF" w:rsidP="00DE6DBD">
      <w:pPr>
        <w:pStyle w:val="footnotefigure"/>
        <w:ind w:left="243" w:right="333"/>
        <w:rPr>
          <w:sz w:val="16"/>
        </w:rPr>
      </w:pPr>
      <w:r>
        <w:rPr>
          <w:rFonts w:eastAsia="Times New Roman"/>
          <w:b/>
          <w:i/>
          <w:color w:val="000000"/>
          <w:sz w:val="16"/>
        </w:rPr>
        <w:t xml:space="preserve">Notes: </w:t>
      </w:r>
      <w:r w:rsidRPr="0050337E">
        <w:rPr>
          <w:rFonts w:eastAsia="Times New Roman"/>
          <w:color w:val="000000"/>
          <w:sz w:val="16"/>
        </w:rPr>
        <w:t>The figure displays average Gini coefficient by area size (weighted average by size); area size calculations follow country-specific threshold</w:t>
      </w:r>
    </w:p>
    <w:p w14:paraId="6BC4F2E6" w14:textId="77777777" w:rsidR="008861BF" w:rsidRPr="0050337E" w:rsidRDefault="008861BF" w:rsidP="00DE6DBD">
      <w:pPr>
        <w:pStyle w:val="footnotefigure"/>
        <w:ind w:left="243" w:right="333"/>
        <w:rPr>
          <w:sz w:val="16"/>
        </w:rPr>
      </w:pPr>
    </w:p>
    <w:p w14:paraId="7DA75338" w14:textId="77777777" w:rsidR="008861BF" w:rsidRDefault="008861BF" w:rsidP="00DE6DBD">
      <w:pPr>
        <w:spacing w:after="0" w:line="240" w:lineRule="auto"/>
        <w:jc w:val="both"/>
        <w:rPr>
          <w:rFonts w:ascii="Garamond" w:hAnsi="Garamond"/>
          <w:b/>
          <w:smallCaps/>
          <w:color w:val="C00000"/>
          <w:sz w:val="24"/>
        </w:rPr>
      </w:pPr>
    </w:p>
    <w:p w14:paraId="0A3DF8CA" w14:textId="34EDFA34" w:rsidR="00F73FC9" w:rsidRDefault="00C735EF" w:rsidP="00DE6DBD">
      <w:pPr>
        <w:spacing w:line="240" w:lineRule="auto"/>
        <w:jc w:val="both"/>
        <w:rPr>
          <w:rFonts w:ascii="Garamond" w:hAnsi="Garamond"/>
          <w:szCs w:val="24"/>
        </w:rPr>
      </w:pPr>
      <w:r>
        <w:rPr>
          <w:rFonts w:ascii="Garamond" w:hAnsi="Garamond"/>
          <w:b/>
          <w:szCs w:val="24"/>
        </w:rPr>
        <w:t>C</w:t>
      </w:r>
      <w:r w:rsidR="00803051" w:rsidRPr="007A2A87">
        <w:rPr>
          <w:rFonts w:ascii="Garamond" w:hAnsi="Garamond"/>
          <w:b/>
          <w:szCs w:val="24"/>
        </w:rPr>
        <w:t>ities are poorly connected</w:t>
      </w:r>
      <w:r w:rsidR="006C095C">
        <w:rPr>
          <w:rFonts w:ascii="Garamond" w:hAnsi="Garamond"/>
          <w:b/>
          <w:szCs w:val="24"/>
        </w:rPr>
        <w:t xml:space="preserve"> and</w:t>
      </w:r>
      <w:r w:rsidR="00803051" w:rsidRPr="007A2A87">
        <w:rPr>
          <w:rFonts w:ascii="Garamond" w:hAnsi="Garamond"/>
          <w:b/>
          <w:szCs w:val="24"/>
        </w:rPr>
        <w:t xml:space="preserve"> investment in infrastructure is low</w:t>
      </w:r>
      <w:r w:rsidR="00DC4845">
        <w:rPr>
          <w:rFonts w:ascii="Garamond" w:hAnsi="Garamond"/>
          <w:b/>
          <w:szCs w:val="24"/>
        </w:rPr>
        <w:t>,</w:t>
      </w:r>
      <w:r>
        <w:rPr>
          <w:rFonts w:ascii="Garamond" w:hAnsi="Garamond"/>
          <w:b/>
          <w:szCs w:val="24"/>
        </w:rPr>
        <w:t xml:space="preserve"> weakening agglomeration economies.</w:t>
      </w:r>
      <w:r w:rsidR="00755C44" w:rsidRPr="007A2A87">
        <w:rPr>
          <w:rFonts w:ascii="Garamond" w:hAnsi="Garamond"/>
          <w:b/>
          <w:szCs w:val="24"/>
        </w:rPr>
        <w:t xml:space="preserve"> </w:t>
      </w:r>
      <w:r w:rsidR="00F73FC9" w:rsidRPr="007A2A87">
        <w:rPr>
          <w:rFonts w:ascii="Garamond" w:hAnsi="Garamond"/>
          <w:szCs w:val="24"/>
        </w:rPr>
        <w:t>LAC</w:t>
      </w:r>
      <w:r w:rsidR="00F73FC9" w:rsidRPr="00755C44">
        <w:rPr>
          <w:rFonts w:ascii="Garamond" w:hAnsi="Garamond"/>
          <w:szCs w:val="24"/>
        </w:rPr>
        <w:t xml:space="preserve"> countries have poor road networks limiting cities connectivity and increasing transport costs.</w:t>
      </w:r>
      <w:r w:rsidR="003F6334">
        <w:rPr>
          <w:rFonts w:ascii="Garamond" w:hAnsi="Garamond"/>
          <w:szCs w:val="24"/>
        </w:rPr>
        <w:t xml:space="preserve"> For instance,</w:t>
      </w:r>
      <w:r w:rsidR="00F73FC9" w:rsidRPr="00755C44">
        <w:rPr>
          <w:rFonts w:ascii="Garamond" w:hAnsi="Garamond"/>
          <w:szCs w:val="24"/>
        </w:rPr>
        <w:t xml:space="preserve"> </w:t>
      </w:r>
      <w:r w:rsidR="003F6334" w:rsidRPr="003F6334">
        <w:rPr>
          <w:rFonts w:ascii="Garamond" w:hAnsi="Garamond"/>
          <w:szCs w:val="24"/>
        </w:rPr>
        <w:t>LAC tends to exhibit higher transport costs than developed countries</w:t>
      </w:r>
      <w:r w:rsidR="003F6334">
        <w:rPr>
          <w:rFonts w:ascii="Garamond" w:hAnsi="Garamond"/>
          <w:szCs w:val="24"/>
        </w:rPr>
        <w:t>.</w:t>
      </w:r>
      <w:r w:rsidR="003F6334" w:rsidRPr="003F6334">
        <w:rPr>
          <w:rFonts w:ascii="Garamond" w:hAnsi="Garamond"/>
          <w:szCs w:val="24"/>
        </w:rPr>
        <w:t xml:space="preserve"> </w:t>
      </w:r>
      <w:r w:rsidR="001560C7">
        <w:rPr>
          <w:rFonts w:ascii="Garamond" w:hAnsi="Garamond"/>
          <w:szCs w:val="24"/>
        </w:rPr>
        <w:t>They</w:t>
      </w:r>
      <w:r w:rsidR="00F73FC9" w:rsidRPr="00755C44">
        <w:rPr>
          <w:rFonts w:ascii="Garamond" w:hAnsi="Garamond"/>
          <w:szCs w:val="24"/>
        </w:rPr>
        <w:t xml:space="preserve"> rely increasingly on roads as th</w:t>
      </w:r>
      <w:r w:rsidR="00F73FC9" w:rsidRPr="008369D1">
        <w:rPr>
          <w:rFonts w:ascii="Garamond" w:hAnsi="Garamond"/>
          <w:szCs w:val="24"/>
        </w:rPr>
        <w:t xml:space="preserve">e main mode of passenger transport and surface freight. The region has the highest road occupancy rate in the world with more </w:t>
      </w:r>
      <w:r w:rsidR="00F73FC9" w:rsidRPr="0063482B">
        <w:rPr>
          <w:rFonts w:ascii="Garamond" w:hAnsi="Garamond"/>
          <w:szCs w:val="24"/>
        </w:rPr>
        <w:t xml:space="preserve">than 800,000 vehicle-km to paved lane–km, and with 80 percent of total surface freight transport by roads. </w:t>
      </w:r>
      <w:r w:rsidR="0063482B" w:rsidRPr="0063482B">
        <w:rPr>
          <w:rFonts w:ascii="Garamond" w:hAnsi="Garamond"/>
          <w:szCs w:val="24"/>
        </w:rPr>
        <w:t>While in countries like Argentina and Uruguay, this number is close t</w:t>
      </w:r>
      <w:r w:rsidR="0063482B">
        <w:rPr>
          <w:rFonts w:ascii="Garamond" w:hAnsi="Garamond"/>
          <w:szCs w:val="24"/>
        </w:rPr>
        <w:t>o 100</w:t>
      </w:r>
      <w:r w:rsidR="0063482B" w:rsidRPr="0063482B">
        <w:rPr>
          <w:rFonts w:ascii="Garamond" w:hAnsi="Garamond"/>
          <w:szCs w:val="24"/>
        </w:rPr>
        <w:t>, i</w:t>
      </w:r>
      <w:r w:rsidR="00F73FC9" w:rsidRPr="0063482B">
        <w:rPr>
          <w:rFonts w:ascii="Garamond" w:hAnsi="Garamond"/>
          <w:szCs w:val="24"/>
        </w:rPr>
        <w:t xml:space="preserve">n </w:t>
      </w:r>
      <w:r w:rsidR="0063482B" w:rsidRPr="0063482B">
        <w:rPr>
          <w:rFonts w:ascii="Garamond" w:hAnsi="Garamond"/>
          <w:szCs w:val="24"/>
        </w:rPr>
        <w:t xml:space="preserve">Brazil </w:t>
      </w:r>
      <w:r w:rsidR="00CD6734">
        <w:rPr>
          <w:rFonts w:ascii="Garamond" w:hAnsi="Garamond"/>
          <w:szCs w:val="24"/>
        </w:rPr>
        <w:t>railways</w:t>
      </w:r>
      <w:r w:rsidR="0063482B" w:rsidRPr="0063482B">
        <w:rPr>
          <w:rFonts w:ascii="Garamond" w:hAnsi="Garamond"/>
          <w:szCs w:val="24"/>
        </w:rPr>
        <w:t xml:space="preserve"> </w:t>
      </w:r>
      <w:r w:rsidR="00D41424">
        <w:rPr>
          <w:rFonts w:ascii="Garamond" w:hAnsi="Garamond"/>
          <w:szCs w:val="24"/>
        </w:rPr>
        <w:t xml:space="preserve">represents </w:t>
      </w:r>
      <w:r w:rsidR="0063482B" w:rsidRPr="0063482B">
        <w:rPr>
          <w:rFonts w:ascii="Garamond" w:hAnsi="Garamond"/>
          <w:szCs w:val="24"/>
        </w:rPr>
        <w:t>close to 20 percent of the country’s surface freight</w:t>
      </w:r>
      <w:r w:rsidR="00F73FC9" w:rsidRPr="008369D1">
        <w:rPr>
          <w:rFonts w:ascii="Garamond" w:hAnsi="Garamond"/>
          <w:szCs w:val="24"/>
        </w:rPr>
        <w:t>.</w:t>
      </w:r>
      <w:r w:rsidR="00D41424">
        <w:rPr>
          <w:rFonts w:ascii="Garamond" w:hAnsi="Garamond"/>
          <w:szCs w:val="24"/>
        </w:rPr>
        <w:t xml:space="preserve"> The number however is small when compared to India or China were freight transported by </w:t>
      </w:r>
      <w:r w:rsidR="00176F85">
        <w:rPr>
          <w:rFonts w:ascii="Garamond" w:hAnsi="Garamond"/>
          <w:szCs w:val="24"/>
        </w:rPr>
        <w:t>truck only represents</w:t>
      </w:r>
      <w:r w:rsidR="00D41424">
        <w:rPr>
          <w:rFonts w:ascii="Garamond" w:hAnsi="Garamond"/>
          <w:szCs w:val="24"/>
        </w:rPr>
        <w:t xml:space="preserve"> is </w:t>
      </w:r>
      <w:r w:rsidR="00176F85">
        <w:rPr>
          <w:rFonts w:ascii="Garamond" w:hAnsi="Garamond"/>
          <w:szCs w:val="24"/>
        </w:rPr>
        <w:t>39</w:t>
      </w:r>
      <w:r w:rsidR="00D41424">
        <w:rPr>
          <w:rFonts w:ascii="Garamond" w:hAnsi="Garamond"/>
          <w:szCs w:val="24"/>
        </w:rPr>
        <w:t xml:space="preserve"> and </w:t>
      </w:r>
      <w:r w:rsidR="00176F85">
        <w:rPr>
          <w:rFonts w:ascii="Garamond" w:hAnsi="Garamond"/>
          <w:szCs w:val="24"/>
        </w:rPr>
        <w:t>21 percent</w:t>
      </w:r>
      <w:r w:rsidR="00D41424">
        <w:rPr>
          <w:rFonts w:ascii="Garamond" w:hAnsi="Garamond"/>
          <w:szCs w:val="24"/>
        </w:rPr>
        <w:t xml:space="preserve"> respectively.</w:t>
      </w:r>
      <w:r w:rsidR="00F73FC9" w:rsidRPr="008369D1">
        <w:rPr>
          <w:rFonts w:ascii="Garamond" w:hAnsi="Garamond"/>
          <w:szCs w:val="24"/>
        </w:rPr>
        <w:t xml:space="preserve"> </w:t>
      </w:r>
      <w:r w:rsidR="0063482B" w:rsidRPr="0063482B">
        <w:rPr>
          <w:rFonts w:ascii="Garamond" w:hAnsi="Garamond"/>
          <w:szCs w:val="24"/>
        </w:rPr>
        <w:t>I</w:t>
      </w:r>
      <w:r w:rsidR="00F73FC9" w:rsidRPr="0063482B">
        <w:rPr>
          <w:rFonts w:ascii="Garamond" w:hAnsi="Garamond"/>
          <w:szCs w:val="24"/>
        </w:rPr>
        <w:t xml:space="preserve">nvestment in transport </w:t>
      </w:r>
      <w:r w:rsidR="00F73FC9" w:rsidRPr="00803051">
        <w:rPr>
          <w:rFonts w:ascii="Garamond" w:hAnsi="Garamond"/>
          <w:szCs w:val="24"/>
        </w:rPr>
        <w:t xml:space="preserve">infrastructure </w:t>
      </w:r>
      <w:r w:rsidR="0063482B" w:rsidRPr="00803051">
        <w:rPr>
          <w:rFonts w:ascii="Garamond" w:hAnsi="Garamond"/>
          <w:szCs w:val="24"/>
        </w:rPr>
        <w:t>has</w:t>
      </w:r>
      <w:r w:rsidR="00803051" w:rsidRPr="00803051">
        <w:rPr>
          <w:rFonts w:ascii="Garamond" w:hAnsi="Garamond"/>
          <w:szCs w:val="24"/>
        </w:rPr>
        <w:t xml:space="preserve"> historically</w:t>
      </w:r>
      <w:r w:rsidR="00F422DF">
        <w:rPr>
          <w:rFonts w:ascii="Garamond" w:hAnsi="Garamond"/>
          <w:szCs w:val="24"/>
        </w:rPr>
        <w:t xml:space="preserve"> lagged in LAC.</w:t>
      </w:r>
      <w:r w:rsidR="00F73FC9" w:rsidRPr="00803051">
        <w:rPr>
          <w:rFonts w:ascii="Garamond" w:hAnsi="Garamond"/>
          <w:szCs w:val="24"/>
        </w:rPr>
        <w:t xml:space="preserve"> While transport spending as a share of regional GDP went up from a mere 0.4 percent in 2003 to about </w:t>
      </w:r>
      <w:r w:rsidR="00803051" w:rsidRPr="00803051">
        <w:rPr>
          <w:rFonts w:ascii="Garamond" w:hAnsi="Garamond"/>
          <w:szCs w:val="24"/>
        </w:rPr>
        <w:t>2</w:t>
      </w:r>
      <w:r w:rsidR="00F73FC9" w:rsidRPr="00803051">
        <w:rPr>
          <w:rFonts w:ascii="Garamond" w:hAnsi="Garamond"/>
          <w:szCs w:val="24"/>
        </w:rPr>
        <w:t>.</w:t>
      </w:r>
      <w:r w:rsidR="00803051" w:rsidRPr="00803051">
        <w:rPr>
          <w:rFonts w:ascii="Garamond" w:hAnsi="Garamond"/>
          <w:szCs w:val="24"/>
        </w:rPr>
        <w:t>7</w:t>
      </w:r>
      <w:r w:rsidR="00F73FC9" w:rsidRPr="00803051">
        <w:rPr>
          <w:rFonts w:ascii="Garamond" w:hAnsi="Garamond"/>
          <w:szCs w:val="24"/>
        </w:rPr>
        <w:t xml:space="preserve"> percent in 20</w:t>
      </w:r>
      <w:r w:rsidR="00803051" w:rsidRPr="00803051">
        <w:rPr>
          <w:rFonts w:ascii="Garamond" w:hAnsi="Garamond"/>
          <w:szCs w:val="24"/>
        </w:rPr>
        <w:t>13</w:t>
      </w:r>
      <w:r w:rsidR="00F73FC9" w:rsidRPr="00803051">
        <w:rPr>
          <w:rFonts w:ascii="Garamond" w:hAnsi="Garamond"/>
          <w:szCs w:val="24"/>
        </w:rPr>
        <w:t xml:space="preserve">, there are significant variations between countries. </w:t>
      </w:r>
      <w:r w:rsidR="0063482B" w:rsidRPr="00803051">
        <w:rPr>
          <w:rFonts w:ascii="Garamond" w:hAnsi="Garamond"/>
          <w:szCs w:val="24"/>
        </w:rPr>
        <w:t>Brazil</w:t>
      </w:r>
      <w:r w:rsidR="00F73FC9" w:rsidRPr="00803051">
        <w:rPr>
          <w:rFonts w:ascii="Garamond" w:hAnsi="Garamond"/>
          <w:szCs w:val="24"/>
        </w:rPr>
        <w:t xml:space="preserve"> </w:t>
      </w:r>
      <w:r w:rsidR="00201EDF" w:rsidRPr="00803051">
        <w:rPr>
          <w:rFonts w:ascii="Garamond" w:hAnsi="Garamond"/>
          <w:szCs w:val="24"/>
        </w:rPr>
        <w:t>actually experienced a sli</w:t>
      </w:r>
      <w:r w:rsidR="00803051" w:rsidRPr="00803051">
        <w:rPr>
          <w:rFonts w:ascii="Garamond" w:hAnsi="Garamond"/>
          <w:szCs w:val="24"/>
        </w:rPr>
        <w:t xml:space="preserve">ght decline of close to 0.25 percent </w:t>
      </w:r>
      <w:r w:rsidR="00201EDF" w:rsidRPr="00803051">
        <w:rPr>
          <w:rFonts w:ascii="Garamond" w:hAnsi="Garamond"/>
          <w:szCs w:val="24"/>
        </w:rPr>
        <w:t xml:space="preserve">between 2008 and 2015, </w:t>
      </w:r>
      <w:r w:rsidR="00803051" w:rsidRPr="00803051">
        <w:rPr>
          <w:rFonts w:ascii="Garamond" w:hAnsi="Garamond"/>
          <w:szCs w:val="24"/>
        </w:rPr>
        <w:t xml:space="preserve">displaying one of the lowest </w:t>
      </w:r>
      <w:r w:rsidR="00F422DF">
        <w:rPr>
          <w:rFonts w:ascii="Garamond" w:hAnsi="Garamond"/>
          <w:szCs w:val="24"/>
        </w:rPr>
        <w:t>levels</w:t>
      </w:r>
      <w:r w:rsidR="00803051" w:rsidRPr="00803051">
        <w:rPr>
          <w:rFonts w:ascii="Garamond" w:hAnsi="Garamond"/>
          <w:szCs w:val="24"/>
        </w:rPr>
        <w:t xml:space="preserve"> in LAC</w:t>
      </w:r>
      <w:r w:rsidR="00F73FC9" w:rsidRPr="00803051">
        <w:rPr>
          <w:rFonts w:ascii="Garamond" w:hAnsi="Garamond"/>
          <w:szCs w:val="24"/>
        </w:rPr>
        <w:t xml:space="preserve"> fo</w:t>
      </w:r>
      <w:r w:rsidR="00803051" w:rsidRPr="00803051">
        <w:rPr>
          <w:rFonts w:ascii="Garamond" w:hAnsi="Garamond"/>
          <w:szCs w:val="24"/>
        </w:rPr>
        <w:t>r the period 2008-2015 (only 1.06</w:t>
      </w:r>
      <w:r w:rsidR="00F73FC9" w:rsidRPr="00803051">
        <w:rPr>
          <w:rFonts w:ascii="Garamond" w:hAnsi="Garamond"/>
          <w:szCs w:val="24"/>
        </w:rPr>
        <w:t xml:space="preserve"> percent of GDP).</w:t>
      </w:r>
      <w:r w:rsidR="00F73FC9" w:rsidRPr="008369D1">
        <w:rPr>
          <w:rFonts w:ascii="Garamond" w:hAnsi="Garamond"/>
          <w:szCs w:val="24"/>
        </w:rPr>
        <w:t xml:space="preserve"> </w:t>
      </w:r>
      <w:r w:rsidR="00176F85" w:rsidRPr="00176F85">
        <w:rPr>
          <w:rFonts w:ascii="Garamond" w:hAnsi="Garamond"/>
          <w:szCs w:val="24"/>
        </w:rPr>
        <w:t>Only 12.3</w:t>
      </w:r>
      <w:r w:rsidR="00176F85">
        <w:rPr>
          <w:rFonts w:ascii="Garamond" w:hAnsi="Garamond"/>
          <w:szCs w:val="24"/>
        </w:rPr>
        <w:t xml:space="preserve"> percent</w:t>
      </w:r>
      <w:r w:rsidR="00176F85" w:rsidRPr="00176F85">
        <w:rPr>
          <w:rFonts w:ascii="Garamond" w:hAnsi="Garamond"/>
          <w:szCs w:val="24"/>
        </w:rPr>
        <w:t xml:space="preserve"> of roads in Brazil are paved, and 44</w:t>
      </w:r>
      <w:r w:rsidR="00176F85">
        <w:rPr>
          <w:rFonts w:ascii="Garamond" w:hAnsi="Garamond"/>
          <w:szCs w:val="24"/>
        </w:rPr>
        <w:t xml:space="preserve"> percent</w:t>
      </w:r>
      <w:r w:rsidR="00176F85" w:rsidRPr="00176F85">
        <w:rPr>
          <w:rFonts w:ascii="Garamond" w:hAnsi="Garamond"/>
          <w:szCs w:val="24"/>
        </w:rPr>
        <w:t xml:space="preserve"> of the network faces deficiencies such as the need for rehabilitation, widening to accommodate additional traffic, and paving. In Brazil, it was estimated that poor road conditions (including pavement, signaling and geometries) were on average responsible for close to 25</w:t>
      </w:r>
      <w:r w:rsidR="00176F85">
        <w:rPr>
          <w:rFonts w:ascii="Garamond" w:hAnsi="Garamond"/>
          <w:szCs w:val="24"/>
        </w:rPr>
        <w:t xml:space="preserve"> percent</w:t>
      </w:r>
      <w:r w:rsidR="00176F85" w:rsidRPr="00176F85">
        <w:rPr>
          <w:rFonts w:ascii="Garamond" w:hAnsi="Garamond"/>
          <w:szCs w:val="24"/>
        </w:rPr>
        <w:t xml:space="preserve"> higher operational costs, but could increase operational costs by up to 90</w:t>
      </w:r>
      <w:r w:rsidR="00176F85">
        <w:rPr>
          <w:rFonts w:ascii="Garamond" w:hAnsi="Garamond"/>
          <w:szCs w:val="24"/>
        </w:rPr>
        <w:t xml:space="preserve"> percent</w:t>
      </w:r>
      <w:r w:rsidR="00176F85" w:rsidRPr="00176F85">
        <w:rPr>
          <w:rFonts w:ascii="Garamond" w:hAnsi="Garamond"/>
          <w:szCs w:val="24"/>
        </w:rPr>
        <w:t>.</w:t>
      </w:r>
      <w:r w:rsidR="00176F85" w:rsidRPr="00176F85">
        <w:rPr>
          <w:rFonts w:ascii="Garamond" w:hAnsi="Garamond"/>
          <w:szCs w:val="24"/>
          <w:vertAlign w:val="superscript"/>
        </w:rPr>
        <w:footnoteReference w:id="15"/>
      </w:r>
      <w:r w:rsidR="00176F85" w:rsidRPr="00176F85">
        <w:rPr>
          <w:rFonts w:ascii="Garamond" w:hAnsi="Garamond"/>
          <w:szCs w:val="24"/>
        </w:rPr>
        <w:t xml:space="preserve"> </w:t>
      </w:r>
      <w:r w:rsidR="00402077">
        <w:rPr>
          <w:rFonts w:ascii="Garamond" w:hAnsi="Garamond"/>
          <w:szCs w:val="24"/>
        </w:rPr>
        <w:t xml:space="preserve">At the same time, most of the transport infrastructure investments are </w:t>
      </w:r>
      <w:r w:rsidR="00402077" w:rsidRPr="00402077">
        <w:rPr>
          <w:rFonts w:ascii="Garamond" w:hAnsi="Garamond"/>
          <w:szCs w:val="24"/>
        </w:rPr>
        <w:t>in road</w:t>
      </w:r>
      <w:r w:rsidR="00402077">
        <w:rPr>
          <w:rFonts w:ascii="Garamond" w:hAnsi="Garamond"/>
          <w:szCs w:val="24"/>
        </w:rPr>
        <w:t>,</w:t>
      </w:r>
      <w:r w:rsidR="00402077" w:rsidRPr="00402077">
        <w:rPr>
          <w:rFonts w:ascii="Garamond" w:hAnsi="Garamond"/>
          <w:szCs w:val="24"/>
        </w:rPr>
        <w:t xml:space="preserve"> with nonroad spending in rail, air, and water </w:t>
      </w:r>
      <w:r w:rsidR="00402077" w:rsidRPr="00402077">
        <w:rPr>
          <w:rFonts w:ascii="Garamond" w:hAnsi="Garamond"/>
          <w:szCs w:val="24"/>
        </w:rPr>
        <w:lastRenderedPageBreak/>
        <w:t>transport</w:t>
      </w:r>
      <w:r w:rsidR="00402077">
        <w:rPr>
          <w:rFonts w:ascii="Garamond" w:hAnsi="Garamond"/>
          <w:szCs w:val="24"/>
        </w:rPr>
        <w:t xml:space="preserve"> very low</w:t>
      </w:r>
      <w:r w:rsidR="00402077" w:rsidRPr="00402077">
        <w:rPr>
          <w:rFonts w:ascii="Garamond" w:hAnsi="Garamond"/>
          <w:szCs w:val="24"/>
        </w:rPr>
        <w:t xml:space="preserve">. </w:t>
      </w:r>
      <w:r w:rsidR="00F73FC9" w:rsidRPr="008369D1">
        <w:rPr>
          <w:rFonts w:ascii="Garamond" w:hAnsi="Garamond"/>
          <w:szCs w:val="24"/>
        </w:rPr>
        <w:t>Further, LAC cities appear to have limited access to improved road infrastructure</w:t>
      </w:r>
      <w:r w:rsidR="00442C55">
        <w:rPr>
          <w:rFonts w:ascii="Garamond" w:hAnsi="Garamond"/>
          <w:szCs w:val="24"/>
        </w:rPr>
        <w:t xml:space="preserve">. </w:t>
      </w:r>
      <w:r w:rsidR="00E82195">
        <w:rPr>
          <w:rFonts w:ascii="Garamond" w:hAnsi="Garamond"/>
          <w:szCs w:val="24"/>
        </w:rPr>
        <w:t>They</w:t>
      </w:r>
      <w:r w:rsidR="00442C55">
        <w:rPr>
          <w:rFonts w:ascii="Garamond" w:hAnsi="Garamond"/>
          <w:szCs w:val="24"/>
        </w:rPr>
        <w:t xml:space="preserve"> are only </w:t>
      </w:r>
      <w:r w:rsidR="00B77C04">
        <w:rPr>
          <w:rFonts w:ascii="Garamond" w:hAnsi="Garamond"/>
          <w:szCs w:val="24"/>
        </w:rPr>
        <w:t>better than</w:t>
      </w:r>
      <w:r w:rsidR="00442C55">
        <w:rPr>
          <w:rFonts w:ascii="Garamond" w:hAnsi="Garamond"/>
          <w:szCs w:val="24"/>
        </w:rPr>
        <w:t xml:space="preserve"> Sub-Saharan Africa (SSA) in terms of the </w:t>
      </w:r>
      <w:r w:rsidR="00F73FC9" w:rsidRPr="008369D1">
        <w:rPr>
          <w:rFonts w:ascii="Garamond" w:hAnsi="Garamond"/>
          <w:szCs w:val="24"/>
        </w:rPr>
        <w:t>average cumulative length of primary roads within a 100-km radius of cities with at least 1 million inhabitants</w:t>
      </w:r>
      <w:r w:rsidR="00442C55">
        <w:rPr>
          <w:rFonts w:ascii="Garamond" w:hAnsi="Garamond"/>
          <w:szCs w:val="24"/>
        </w:rPr>
        <w:t xml:space="preserve">. </w:t>
      </w:r>
      <w:r w:rsidR="00803051">
        <w:rPr>
          <w:rFonts w:ascii="Garamond" w:hAnsi="Garamond"/>
          <w:szCs w:val="24"/>
        </w:rPr>
        <w:t>Brazil</w:t>
      </w:r>
      <w:r w:rsidR="00F73FC9" w:rsidRPr="008369D1">
        <w:rPr>
          <w:rFonts w:ascii="Garamond" w:hAnsi="Garamond"/>
          <w:szCs w:val="24"/>
        </w:rPr>
        <w:t xml:space="preserve"> (</w:t>
      </w:r>
      <w:r w:rsidR="00803051">
        <w:rPr>
          <w:rFonts w:ascii="Garamond" w:hAnsi="Garamond"/>
          <w:szCs w:val="24"/>
        </w:rPr>
        <w:t>34</w:t>
      </w:r>
      <w:r w:rsidR="00F73FC9" w:rsidRPr="008369D1">
        <w:rPr>
          <w:rFonts w:ascii="Garamond" w:hAnsi="Garamond"/>
          <w:szCs w:val="24"/>
        </w:rPr>
        <w:t xml:space="preserve">8 km) is </w:t>
      </w:r>
      <w:r w:rsidR="00803051">
        <w:rPr>
          <w:rFonts w:ascii="Garamond" w:hAnsi="Garamond"/>
          <w:szCs w:val="24"/>
        </w:rPr>
        <w:t xml:space="preserve">well </w:t>
      </w:r>
      <w:r w:rsidR="00F73FC9" w:rsidRPr="008369D1">
        <w:rPr>
          <w:rFonts w:ascii="Garamond" w:hAnsi="Garamond"/>
          <w:szCs w:val="24"/>
        </w:rPr>
        <w:t>below the region’s average (500km)</w:t>
      </w:r>
      <w:r w:rsidR="00E82195">
        <w:rPr>
          <w:rFonts w:ascii="Garamond" w:hAnsi="Garamond"/>
          <w:szCs w:val="24"/>
        </w:rPr>
        <w:t xml:space="preserve">, see </w:t>
      </w:r>
      <w:r w:rsidR="00E82195" w:rsidRPr="005D6AE6">
        <w:rPr>
          <w:rFonts w:ascii="Garamond" w:hAnsi="Garamond"/>
          <w:szCs w:val="24"/>
        </w:rPr>
        <w:t xml:space="preserve">Figure </w:t>
      </w:r>
      <w:r w:rsidR="00146DDE">
        <w:rPr>
          <w:rFonts w:ascii="Garamond" w:hAnsi="Garamond"/>
          <w:szCs w:val="24"/>
        </w:rPr>
        <w:t>7</w:t>
      </w:r>
      <w:r w:rsidR="00F73FC9" w:rsidRPr="005D6AE6">
        <w:rPr>
          <w:rFonts w:ascii="Garamond" w:hAnsi="Garamond"/>
          <w:szCs w:val="24"/>
        </w:rPr>
        <w:t>. Poor road networks can have large effects on local development and productivity, as they often obstruct access to</w:t>
      </w:r>
      <w:r w:rsidR="00F73FC9" w:rsidRPr="008369D1">
        <w:rPr>
          <w:rFonts w:ascii="Garamond" w:hAnsi="Garamond"/>
          <w:szCs w:val="24"/>
        </w:rPr>
        <w:t xml:space="preserve"> markets and economic opportunities.</w:t>
      </w:r>
      <w:r w:rsidR="00146DDE">
        <w:rPr>
          <w:rFonts w:ascii="Garamond" w:hAnsi="Garamond"/>
          <w:szCs w:val="24"/>
        </w:rPr>
        <w:t xml:space="preserve"> These issues are particularly important given that market access is an important determinant of productivity in Brazil.</w:t>
      </w:r>
    </w:p>
    <w:p w14:paraId="75A5F779" w14:textId="0AEF878A" w:rsidR="00BA06F8" w:rsidRPr="00E82195" w:rsidRDefault="00BA06F8" w:rsidP="00DE6DBD">
      <w:pPr>
        <w:pStyle w:val="Title1"/>
        <w:jc w:val="center"/>
        <w:rPr>
          <w:rFonts w:ascii="Garamond" w:hAnsi="Garamond"/>
          <w:sz w:val="20"/>
        </w:rPr>
      </w:pPr>
      <w:bookmarkStart w:id="12" w:name="_Ref494391309"/>
      <w:bookmarkStart w:id="13" w:name="_Toc499118423"/>
      <w:r w:rsidRPr="00E82195">
        <w:rPr>
          <w:rFonts w:ascii="Garamond" w:hAnsi="Garamond"/>
          <w:sz w:val="20"/>
        </w:rPr>
        <w:t xml:space="preserve">Figure </w:t>
      </w:r>
      <w:bookmarkEnd w:id="12"/>
      <w:r w:rsidR="00146DDE">
        <w:rPr>
          <w:rFonts w:ascii="Garamond" w:hAnsi="Garamond"/>
          <w:sz w:val="20"/>
        </w:rPr>
        <w:t>7</w:t>
      </w:r>
      <w:r w:rsidR="00E82195">
        <w:rPr>
          <w:rFonts w:ascii="Garamond" w:hAnsi="Garamond"/>
          <w:sz w:val="20"/>
        </w:rPr>
        <w:t>.</w:t>
      </w:r>
      <w:r w:rsidRPr="00E82195">
        <w:rPr>
          <w:rFonts w:ascii="Garamond" w:hAnsi="Garamond"/>
          <w:sz w:val="20"/>
        </w:rPr>
        <w:t xml:space="preserve"> Average road length in a 100km radius around cities with at least a million inhabitants</w:t>
      </w:r>
      <w:bookmarkEnd w:id="13"/>
    </w:p>
    <w:p w14:paraId="7B13CBFF" w14:textId="77777777" w:rsidR="00BA06F8" w:rsidRPr="00AD2802" w:rsidRDefault="00BA06F8" w:rsidP="00DE6DBD">
      <w:pPr>
        <w:spacing w:after="0" w:line="240" w:lineRule="auto"/>
        <w:jc w:val="center"/>
        <w:rPr>
          <w:rFonts w:ascii="Times New Roman" w:eastAsia="Calibri" w:hAnsi="Times New Roman" w:cs="Times New Roman"/>
          <w:sz w:val="24"/>
          <w:szCs w:val="24"/>
        </w:rPr>
      </w:pPr>
      <w:r w:rsidRPr="00AD2802">
        <w:rPr>
          <w:noProof/>
        </w:rPr>
        <w:drawing>
          <wp:inline distT="0" distB="0" distL="0" distR="0" wp14:anchorId="606F8A9E" wp14:editId="4178EB54">
            <wp:extent cx="4255135" cy="3566356"/>
            <wp:effectExtent l="0" t="0" r="0" b="0"/>
            <wp:docPr id="64" name="Chart 64">
              <a:extLst xmlns:a="http://schemas.openxmlformats.org/drawingml/2006/main">
                <a:ext uri="{FF2B5EF4-FFF2-40B4-BE49-F238E27FC236}">
                  <a16:creationId xmlns:a16="http://schemas.microsoft.com/office/drawing/2014/main" id="{FF990275-8E56-482D-8807-A1A0B96A37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547DEB" w14:textId="4CBFE545" w:rsidR="00BA06F8" w:rsidRPr="009021F0" w:rsidRDefault="00BA06F8" w:rsidP="00DE6DBD">
      <w:pPr>
        <w:pStyle w:val="footnotefigure"/>
        <w:rPr>
          <w:rFonts w:ascii="Garamond" w:hAnsi="Garamond"/>
          <w:b/>
          <w:i/>
        </w:rPr>
      </w:pPr>
      <w:r w:rsidRPr="009021F0">
        <w:rPr>
          <w:rFonts w:ascii="Garamond" w:hAnsi="Garamond"/>
          <w:i/>
        </w:rPr>
        <w:t>Source</w:t>
      </w:r>
      <w:r w:rsidRPr="009021F0">
        <w:rPr>
          <w:rFonts w:ascii="Garamond" w:hAnsi="Garamond"/>
        </w:rPr>
        <w:t>: Calculations based on DeLorme database (2015) and Blankespoor et al. (2017b).</w:t>
      </w:r>
      <w:r w:rsidR="00146DDE">
        <w:rPr>
          <w:rFonts w:ascii="Garamond" w:hAnsi="Garamond"/>
          <w:i/>
        </w:rPr>
        <w:t xml:space="preserve"> </w:t>
      </w:r>
      <w:r w:rsidRPr="009021F0">
        <w:rPr>
          <w:rFonts w:ascii="Garamond" w:hAnsi="Garamond"/>
          <w:i/>
        </w:rPr>
        <w:t>Note</w:t>
      </w:r>
      <w:r w:rsidRPr="009021F0">
        <w:rPr>
          <w:rFonts w:ascii="Garamond" w:hAnsi="Garamond"/>
        </w:rPr>
        <w:t>: Road length within 100km radius of a city’s centroid does not measure density as effective land area may vary, for instance, in the presence of water surface.</w:t>
      </w:r>
    </w:p>
    <w:p w14:paraId="5B162335" w14:textId="77777777" w:rsidR="00F27803" w:rsidRDefault="00F27803" w:rsidP="00DE6DBD">
      <w:pPr>
        <w:spacing w:line="240" w:lineRule="auto"/>
        <w:jc w:val="both"/>
        <w:rPr>
          <w:rFonts w:ascii="Garamond" w:hAnsi="Garamond"/>
          <w:b/>
          <w:szCs w:val="24"/>
        </w:rPr>
      </w:pPr>
    </w:p>
    <w:p w14:paraId="1B6996E1" w14:textId="262F6EBC" w:rsidR="00C774D5" w:rsidRDefault="00F27803" w:rsidP="00DE6DBD">
      <w:pPr>
        <w:spacing w:line="240" w:lineRule="auto"/>
        <w:jc w:val="both"/>
        <w:rPr>
          <w:rFonts w:ascii="Garamond" w:hAnsi="Garamond"/>
          <w:szCs w:val="24"/>
        </w:rPr>
      </w:pPr>
      <w:r w:rsidRPr="00163778">
        <w:rPr>
          <w:rFonts w:ascii="Garamond" w:hAnsi="Garamond"/>
          <w:b/>
          <w:szCs w:val="24"/>
        </w:rPr>
        <w:t>Six Brazilian cities are among the 100 most</w:t>
      </w:r>
      <w:r w:rsidR="00B03EC5" w:rsidRPr="00163778">
        <w:rPr>
          <w:rFonts w:ascii="Garamond" w:hAnsi="Garamond"/>
          <w:b/>
          <w:szCs w:val="24"/>
        </w:rPr>
        <w:t xml:space="preserve"> congested in the world</w:t>
      </w:r>
      <w:r w:rsidRPr="00163778">
        <w:rPr>
          <w:rFonts w:ascii="Garamond" w:hAnsi="Garamond"/>
          <w:b/>
          <w:szCs w:val="24"/>
        </w:rPr>
        <w:t>; one is among</w:t>
      </w:r>
      <w:r w:rsidR="00F422DF">
        <w:rPr>
          <w:rFonts w:ascii="Garamond" w:hAnsi="Garamond"/>
          <w:b/>
          <w:szCs w:val="24"/>
        </w:rPr>
        <w:t xml:space="preserve"> the</w:t>
      </w:r>
      <w:r w:rsidRPr="00163778">
        <w:rPr>
          <w:rFonts w:ascii="Garamond" w:hAnsi="Garamond"/>
          <w:b/>
          <w:szCs w:val="24"/>
        </w:rPr>
        <w:t xml:space="preserve"> top 10 and 3 among </w:t>
      </w:r>
      <w:r w:rsidR="00F422DF">
        <w:rPr>
          <w:rFonts w:ascii="Garamond" w:hAnsi="Garamond"/>
          <w:b/>
          <w:szCs w:val="24"/>
        </w:rPr>
        <w:t xml:space="preserve">the </w:t>
      </w:r>
      <w:r w:rsidRPr="00163778">
        <w:rPr>
          <w:rFonts w:ascii="Garamond" w:hAnsi="Garamond"/>
          <w:b/>
          <w:szCs w:val="24"/>
        </w:rPr>
        <w:t>top 50.</w:t>
      </w:r>
      <w:r w:rsidR="00B03EC5" w:rsidRPr="00163778">
        <w:rPr>
          <w:rFonts w:ascii="Garamond" w:hAnsi="Garamond"/>
          <w:b/>
          <w:szCs w:val="24"/>
        </w:rPr>
        <w:t xml:space="preserve"> </w:t>
      </w:r>
      <w:r w:rsidR="00F73FC9" w:rsidRPr="00163778">
        <w:rPr>
          <w:rFonts w:ascii="Garamond" w:hAnsi="Garamond"/>
          <w:szCs w:val="24"/>
        </w:rPr>
        <w:t>In LAC cities, transport is associated with high congestion</w:t>
      </w:r>
      <w:r w:rsidR="00B03EC5" w:rsidRPr="00163778">
        <w:rPr>
          <w:rFonts w:ascii="Garamond" w:hAnsi="Garamond"/>
          <w:szCs w:val="24"/>
        </w:rPr>
        <w:t>.</w:t>
      </w:r>
      <w:r w:rsidR="00F73FC9" w:rsidRPr="00163778">
        <w:rPr>
          <w:rFonts w:ascii="Garamond" w:hAnsi="Garamond"/>
          <w:b/>
          <w:szCs w:val="24"/>
        </w:rPr>
        <w:t xml:space="preserve"> </w:t>
      </w:r>
      <w:r w:rsidR="00F73FC9" w:rsidRPr="00163778">
        <w:rPr>
          <w:rFonts w:ascii="Garamond" w:hAnsi="Garamond"/>
          <w:szCs w:val="24"/>
        </w:rPr>
        <w:t xml:space="preserve">Although regional rates of motorization in LAC (about 100–300 vehicles per 1,000 people) fall short of existing rates in developed nations (about 500–700 in the United States, Europe, and Canada), they are nonetheless linked to congestion, accidents, and pollution that are among the highest in the world. On congestion, the 2016 TomTom traffic index shows that Mexico City, is the most congested city in the world. </w:t>
      </w:r>
      <w:r w:rsidR="00442C55" w:rsidRPr="00163778">
        <w:rPr>
          <w:rFonts w:ascii="Garamond" w:hAnsi="Garamond"/>
          <w:szCs w:val="24"/>
        </w:rPr>
        <w:t>8</w:t>
      </w:r>
      <w:r w:rsidR="00F73FC9" w:rsidRPr="00163778">
        <w:rPr>
          <w:rFonts w:ascii="Garamond" w:hAnsi="Garamond"/>
          <w:szCs w:val="24"/>
        </w:rPr>
        <w:t xml:space="preserve"> other LAC cities are among the world’s top 100 congested places,</w:t>
      </w:r>
      <w:r w:rsidR="00803051" w:rsidRPr="00163778">
        <w:rPr>
          <w:rFonts w:ascii="Garamond" w:hAnsi="Garamond"/>
          <w:szCs w:val="24"/>
        </w:rPr>
        <w:t xml:space="preserve"> 6 of which are in Brazil. Rio de Janeiro is among the top 10 </w:t>
      </w:r>
      <w:r w:rsidR="00F73FC9" w:rsidRPr="00163778">
        <w:rPr>
          <w:rFonts w:ascii="Garamond" w:hAnsi="Garamond"/>
          <w:szCs w:val="24"/>
        </w:rPr>
        <w:t>(#</w:t>
      </w:r>
      <w:r w:rsidR="00803051" w:rsidRPr="00163778">
        <w:rPr>
          <w:rFonts w:ascii="Garamond" w:hAnsi="Garamond"/>
          <w:szCs w:val="24"/>
        </w:rPr>
        <w:t>8</w:t>
      </w:r>
      <w:r w:rsidR="00F73FC9" w:rsidRPr="00163778">
        <w:rPr>
          <w:rFonts w:ascii="Garamond" w:hAnsi="Garamond"/>
          <w:szCs w:val="24"/>
        </w:rPr>
        <w:t>)</w:t>
      </w:r>
      <w:r w:rsidR="00E30A06" w:rsidRPr="00163778">
        <w:rPr>
          <w:rFonts w:ascii="Garamond" w:hAnsi="Garamond"/>
          <w:szCs w:val="24"/>
        </w:rPr>
        <w:t xml:space="preserve"> (Table 2)</w:t>
      </w:r>
      <w:r w:rsidR="00F73FC9" w:rsidRPr="00163778">
        <w:rPr>
          <w:rFonts w:ascii="Garamond" w:hAnsi="Garamond"/>
          <w:szCs w:val="24"/>
        </w:rPr>
        <w:t>. High congestion and related social and environmental challenges can be extremely expensive for LAC’s regional economy. Bull and Thomson (2002), estimate that the costs of negative externalities linked to traffic congestion in large cities are nearly 3.5</w:t>
      </w:r>
      <w:r w:rsidR="00C774D5" w:rsidRPr="00163778">
        <w:rPr>
          <w:rFonts w:ascii="Garamond" w:hAnsi="Garamond"/>
          <w:szCs w:val="24"/>
        </w:rPr>
        <w:t xml:space="preserve"> percent of LAC’s aggregate GDP</w:t>
      </w:r>
      <w:r w:rsidR="004F0096" w:rsidRPr="00163778">
        <w:rPr>
          <w:rFonts w:ascii="Garamond" w:hAnsi="Garamond"/>
          <w:szCs w:val="24"/>
        </w:rPr>
        <w:t>.</w:t>
      </w:r>
    </w:p>
    <w:p w14:paraId="476AA90D" w14:textId="3D59B209" w:rsidR="007F7FE5" w:rsidRDefault="00245298" w:rsidP="00DE6DBD">
      <w:pPr>
        <w:pStyle w:val="Title1"/>
        <w:spacing w:after="120"/>
        <w:rPr>
          <w:rFonts w:ascii="Garamond" w:hAnsi="Garamond"/>
          <w:sz w:val="20"/>
        </w:rPr>
      </w:pPr>
      <w:bookmarkStart w:id="14" w:name="_Ref494391414"/>
      <w:bookmarkStart w:id="15" w:name="_Toc499118458"/>
      <w:r w:rsidRPr="00E30A06">
        <w:rPr>
          <w:rFonts w:ascii="Garamond" w:eastAsiaTheme="minorHAnsi" w:hAnsi="Garamond" w:cstheme="minorBidi"/>
          <w:b w:val="0"/>
          <w:color w:val="4472C4" w:themeColor="accent1"/>
          <w:sz w:val="20"/>
          <w:szCs w:val="24"/>
        </w:rPr>
        <w:tab/>
      </w:r>
      <w:r w:rsidRPr="00E30A06">
        <w:rPr>
          <w:rFonts w:ascii="Garamond" w:eastAsiaTheme="minorHAnsi" w:hAnsi="Garamond" w:cstheme="minorBidi"/>
          <w:b w:val="0"/>
          <w:color w:val="4472C4" w:themeColor="accent1"/>
          <w:sz w:val="20"/>
          <w:szCs w:val="24"/>
        </w:rPr>
        <w:tab/>
      </w:r>
      <w:r w:rsidRPr="00E30A06">
        <w:rPr>
          <w:rFonts w:ascii="Garamond" w:hAnsi="Garamond"/>
          <w:sz w:val="20"/>
        </w:rPr>
        <w:t xml:space="preserve">Table </w:t>
      </w:r>
      <w:bookmarkEnd w:id="14"/>
      <w:r w:rsidRPr="00E30A06">
        <w:rPr>
          <w:rFonts w:ascii="Garamond" w:hAnsi="Garamond"/>
          <w:sz w:val="20"/>
        </w:rPr>
        <w:t>2 LAC cities among the top 100 congested places in the world</w:t>
      </w:r>
      <w:bookmarkEnd w:id="15"/>
    </w:p>
    <w:tbl>
      <w:tblPr>
        <w:tblW w:w="3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1335"/>
        <w:gridCol w:w="1354"/>
        <w:gridCol w:w="1010"/>
        <w:gridCol w:w="1211"/>
        <w:gridCol w:w="1211"/>
        <w:gridCol w:w="1211"/>
      </w:tblGrid>
      <w:tr w:rsidR="00245298" w:rsidRPr="00BE2277" w14:paraId="6215576D" w14:textId="77777777" w:rsidTr="00BE2277">
        <w:trPr>
          <w:trHeight w:val="248"/>
          <w:tblHeader/>
          <w:jc w:val="center"/>
        </w:trPr>
        <w:tc>
          <w:tcPr>
            <w:tcW w:w="910" w:type="pct"/>
            <w:shd w:val="clear" w:color="auto" w:fill="D9D9D9" w:themeFill="background1" w:themeFillShade="D9"/>
            <w:noWrap/>
            <w:vAlign w:val="center"/>
            <w:hideMark/>
          </w:tcPr>
          <w:p w14:paraId="106D84A0" w14:textId="77777777" w:rsidR="00245298" w:rsidRPr="00BE2277" w:rsidRDefault="00245298" w:rsidP="00DE6DBD">
            <w:pPr>
              <w:spacing w:after="0" w:line="240" w:lineRule="auto"/>
              <w:rPr>
                <w:rFonts w:ascii="Times New Roman" w:eastAsia="Times New Roman" w:hAnsi="Times New Roman" w:cs="Times New Roman"/>
                <w:b/>
                <w:sz w:val="18"/>
                <w:szCs w:val="20"/>
                <w:lang w:eastAsia="ko-KR"/>
              </w:rPr>
            </w:pPr>
            <w:r w:rsidRPr="00BE2277">
              <w:rPr>
                <w:rFonts w:ascii="Times New Roman" w:eastAsia="Times New Roman" w:hAnsi="Times New Roman" w:cs="Times New Roman"/>
                <w:b/>
                <w:sz w:val="18"/>
                <w:szCs w:val="20"/>
                <w:lang w:eastAsia="ko-KR"/>
              </w:rPr>
              <w:t>World Rank</w:t>
            </w:r>
          </w:p>
        </w:tc>
        <w:tc>
          <w:tcPr>
            <w:tcW w:w="923" w:type="pct"/>
            <w:shd w:val="clear" w:color="auto" w:fill="D9D9D9" w:themeFill="background1" w:themeFillShade="D9"/>
            <w:noWrap/>
            <w:vAlign w:val="center"/>
            <w:hideMark/>
          </w:tcPr>
          <w:p w14:paraId="548598E8" w14:textId="77777777" w:rsidR="00245298" w:rsidRPr="00BE2277" w:rsidRDefault="00245298" w:rsidP="00DE6DBD">
            <w:pPr>
              <w:spacing w:after="0" w:line="240" w:lineRule="auto"/>
              <w:rPr>
                <w:rFonts w:ascii="Times New Roman" w:eastAsia="Times New Roman" w:hAnsi="Times New Roman" w:cs="Times New Roman"/>
                <w:b/>
                <w:sz w:val="18"/>
                <w:szCs w:val="20"/>
                <w:lang w:eastAsia="ko-KR"/>
              </w:rPr>
            </w:pPr>
            <w:r w:rsidRPr="00BE2277">
              <w:rPr>
                <w:rFonts w:ascii="Times New Roman" w:eastAsia="Times New Roman" w:hAnsi="Times New Roman" w:cs="Times New Roman"/>
                <w:b/>
                <w:sz w:val="18"/>
                <w:szCs w:val="20"/>
                <w:lang w:eastAsia="ko-KR"/>
              </w:rPr>
              <w:t>City</w:t>
            </w:r>
          </w:p>
        </w:tc>
        <w:tc>
          <w:tcPr>
            <w:tcW w:w="689" w:type="pct"/>
            <w:shd w:val="clear" w:color="auto" w:fill="D9D9D9" w:themeFill="background1" w:themeFillShade="D9"/>
            <w:noWrap/>
            <w:vAlign w:val="center"/>
            <w:hideMark/>
          </w:tcPr>
          <w:p w14:paraId="2447F19F" w14:textId="77777777" w:rsidR="00245298" w:rsidRPr="00BE2277" w:rsidRDefault="00245298" w:rsidP="00DE6DBD">
            <w:pPr>
              <w:spacing w:after="0" w:line="240" w:lineRule="auto"/>
              <w:rPr>
                <w:rFonts w:ascii="Times New Roman" w:eastAsia="Times New Roman" w:hAnsi="Times New Roman" w:cs="Times New Roman"/>
                <w:b/>
                <w:sz w:val="18"/>
                <w:szCs w:val="20"/>
                <w:lang w:eastAsia="ko-KR"/>
              </w:rPr>
            </w:pPr>
            <w:r w:rsidRPr="00BE2277">
              <w:rPr>
                <w:rFonts w:ascii="Times New Roman" w:eastAsia="Times New Roman" w:hAnsi="Times New Roman" w:cs="Times New Roman"/>
                <w:b/>
                <w:sz w:val="18"/>
                <w:szCs w:val="20"/>
                <w:lang w:eastAsia="ko-KR"/>
              </w:rPr>
              <w:t>Country</w:t>
            </w:r>
          </w:p>
        </w:tc>
        <w:tc>
          <w:tcPr>
            <w:tcW w:w="826" w:type="pct"/>
            <w:shd w:val="clear" w:color="auto" w:fill="D9D9D9" w:themeFill="background1" w:themeFillShade="D9"/>
            <w:noWrap/>
            <w:vAlign w:val="center"/>
            <w:hideMark/>
          </w:tcPr>
          <w:p w14:paraId="770D2578" w14:textId="77777777" w:rsidR="00245298" w:rsidRPr="00BE2277" w:rsidRDefault="00245298" w:rsidP="00DE6DBD">
            <w:pPr>
              <w:spacing w:after="0" w:line="240" w:lineRule="auto"/>
              <w:jc w:val="center"/>
              <w:rPr>
                <w:rFonts w:ascii="Times New Roman" w:eastAsia="Times New Roman" w:hAnsi="Times New Roman" w:cs="Times New Roman"/>
                <w:b/>
                <w:sz w:val="18"/>
                <w:szCs w:val="20"/>
                <w:lang w:eastAsia="ko-KR"/>
              </w:rPr>
            </w:pPr>
            <w:r w:rsidRPr="00BE2277">
              <w:rPr>
                <w:rFonts w:ascii="Times New Roman" w:eastAsia="Times New Roman" w:hAnsi="Times New Roman" w:cs="Times New Roman"/>
                <w:b/>
                <w:sz w:val="18"/>
                <w:szCs w:val="20"/>
                <w:lang w:eastAsia="ko-KR"/>
              </w:rPr>
              <w:t>Congestion</w:t>
            </w:r>
          </w:p>
        </w:tc>
        <w:tc>
          <w:tcPr>
            <w:tcW w:w="826" w:type="pct"/>
            <w:shd w:val="clear" w:color="auto" w:fill="D9D9D9" w:themeFill="background1" w:themeFillShade="D9"/>
            <w:noWrap/>
            <w:vAlign w:val="center"/>
            <w:hideMark/>
          </w:tcPr>
          <w:p w14:paraId="4E635C16" w14:textId="77777777" w:rsidR="00245298" w:rsidRPr="00BE2277" w:rsidRDefault="00245298" w:rsidP="00DE6DBD">
            <w:pPr>
              <w:spacing w:after="0" w:line="240" w:lineRule="auto"/>
              <w:jc w:val="center"/>
              <w:rPr>
                <w:rFonts w:ascii="Times New Roman" w:eastAsia="Times New Roman" w:hAnsi="Times New Roman" w:cs="Times New Roman"/>
                <w:b/>
                <w:sz w:val="18"/>
                <w:szCs w:val="20"/>
                <w:lang w:eastAsia="ko-KR"/>
              </w:rPr>
            </w:pPr>
            <w:r w:rsidRPr="00BE2277">
              <w:rPr>
                <w:rFonts w:ascii="Times New Roman" w:eastAsia="Times New Roman" w:hAnsi="Times New Roman" w:cs="Times New Roman"/>
                <w:b/>
                <w:sz w:val="18"/>
                <w:szCs w:val="20"/>
                <w:lang w:eastAsia="ko-KR"/>
              </w:rPr>
              <w:t>Morning Peak</w:t>
            </w:r>
          </w:p>
        </w:tc>
        <w:tc>
          <w:tcPr>
            <w:tcW w:w="826" w:type="pct"/>
            <w:shd w:val="clear" w:color="auto" w:fill="D9D9D9" w:themeFill="background1" w:themeFillShade="D9"/>
          </w:tcPr>
          <w:p w14:paraId="54D09C9F" w14:textId="77777777" w:rsidR="00245298" w:rsidRPr="00BE2277" w:rsidRDefault="00245298" w:rsidP="00DE6DBD">
            <w:pPr>
              <w:spacing w:after="0" w:line="240" w:lineRule="auto"/>
              <w:jc w:val="center"/>
              <w:rPr>
                <w:rFonts w:ascii="Times New Roman" w:eastAsia="Times New Roman" w:hAnsi="Times New Roman" w:cs="Times New Roman"/>
                <w:b/>
                <w:sz w:val="18"/>
                <w:szCs w:val="20"/>
                <w:lang w:eastAsia="ko-KR"/>
              </w:rPr>
            </w:pPr>
            <w:r w:rsidRPr="00BE2277">
              <w:rPr>
                <w:rFonts w:ascii="Times New Roman" w:eastAsia="Times New Roman" w:hAnsi="Times New Roman" w:cs="Times New Roman"/>
                <w:b/>
                <w:sz w:val="18"/>
                <w:szCs w:val="20"/>
                <w:lang w:eastAsia="ko-KR"/>
              </w:rPr>
              <w:t>Evening Peak</w:t>
            </w:r>
          </w:p>
        </w:tc>
      </w:tr>
      <w:tr w:rsidR="00245298" w:rsidRPr="00BE2277" w14:paraId="75E28636" w14:textId="77777777" w:rsidTr="00BE2277">
        <w:trPr>
          <w:trHeight w:val="248"/>
          <w:jc w:val="center"/>
        </w:trPr>
        <w:tc>
          <w:tcPr>
            <w:tcW w:w="910" w:type="pct"/>
            <w:noWrap/>
            <w:vAlign w:val="center"/>
            <w:hideMark/>
          </w:tcPr>
          <w:p w14:paraId="67C7DE5E" w14:textId="77777777" w:rsidR="00245298" w:rsidRPr="00BE2277" w:rsidRDefault="00245298" w:rsidP="00DE6DBD">
            <w:pPr>
              <w:spacing w:after="0" w:line="240" w:lineRule="auto"/>
              <w:rPr>
                <w:rFonts w:ascii="Times New Roman" w:eastAsia="Times New Roman" w:hAnsi="Times New Roman" w:cs="Times New Roman"/>
                <w:sz w:val="18"/>
                <w:szCs w:val="20"/>
                <w:lang w:eastAsia="ko-KR"/>
              </w:rPr>
            </w:pPr>
            <w:r w:rsidRPr="00BE2277">
              <w:rPr>
                <w:rFonts w:ascii="Times New Roman" w:eastAsia="Times New Roman" w:hAnsi="Times New Roman" w:cs="Times New Roman"/>
                <w:sz w:val="18"/>
                <w:szCs w:val="20"/>
                <w:lang w:eastAsia="ko-KR"/>
              </w:rPr>
              <w:t>1</w:t>
            </w:r>
          </w:p>
        </w:tc>
        <w:tc>
          <w:tcPr>
            <w:tcW w:w="923" w:type="pct"/>
            <w:noWrap/>
            <w:vAlign w:val="center"/>
            <w:hideMark/>
          </w:tcPr>
          <w:p w14:paraId="79AA99F5" w14:textId="77777777" w:rsidR="00245298" w:rsidRPr="00BE2277" w:rsidRDefault="00245298" w:rsidP="00DE6DBD">
            <w:pPr>
              <w:spacing w:after="0" w:line="240" w:lineRule="auto"/>
              <w:rPr>
                <w:rFonts w:ascii="Times New Roman" w:eastAsia="Times New Roman" w:hAnsi="Times New Roman" w:cs="Times New Roman"/>
                <w:sz w:val="18"/>
                <w:szCs w:val="20"/>
                <w:lang w:eastAsia="ko-KR"/>
              </w:rPr>
            </w:pPr>
            <w:r w:rsidRPr="00BE2277">
              <w:rPr>
                <w:rFonts w:ascii="Times New Roman" w:eastAsia="Times New Roman" w:hAnsi="Times New Roman" w:cs="Times New Roman"/>
                <w:sz w:val="18"/>
                <w:szCs w:val="20"/>
                <w:lang w:eastAsia="ko-KR"/>
              </w:rPr>
              <w:t>Mexico City</w:t>
            </w:r>
          </w:p>
        </w:tc>
        <w:tc>
          <w:tcPr>
            <w:tcW w:w="689" w:type="pct"/>
            <w:noWrap/>
            <w:vAlign w:val="center"/>
            <w:hideMark/>
          </w:tcPr>
          <w:p w14:paraId="20E135BB" w14:textId="77777777" w:rsidR="00245298" w:rsidRPr="00BE2277" w:rsidRDefault="00245298" w:rsidP="00DE6DBD">
            <w:pPr>
              <w:spacing w:after="0" w:line="240" w:lineRule="auto"/>
              <w:ind w:right="216"/>
              <w:rPr>
                <w:rFonts w:ascii="Times New Roman" w:eastAsia="Times New Roman" w:hAnsi="Times New Roman" w:cs="Times New Roman"/>
                <w:sz w:val="18"/>
                <w:szCs w:val="20"/>
                <w:lang w:eastAsia="ko-KR"/>
              </w:rPr>
            </w:pPr>
            <w:r w:rsidRPr="00BE2277">
              <w:rPr>
                <w:rFonts w:ascii="Times New Roman" w:eastAsia="Times New Roman" w:hAnsi="Times New Roman" w:cs="Times New Roman"/>
                <w:sz w:val="18"/>
                <w:szCs w:val="20"/>
                <w:lang w:eastAsia="ko-KR"/>
              </w:rPr>
              <w:t>Mexico</w:t>
            </w:r>
          </w:p>
        </w:tc>
        <w:tc>
          <w:tcPr>
            <w:tcW w:w="826" w:type="pct"/>
            <w:noWrap/>
            <w:vAlign w:val="center"/>
            <w:hideMark/>
          </w:tcPr>
          <w:p w14:paraId="7AD705CC" w14:textId="77777777" w:rsidR="00245298" w:rsidRPr="00BE2277" w:rsidRDefault="00245298" w:rsidP="00DE6DBD">
            <w:pPr>
              <w:spacing w:after="0" w:line="240" w:lineRule="auto"/>
              <w:ind w:right="216"/>
              <w:jc w:val="center"/>
              <w:rPr>
                <w:rFonts w:ascii="Times New Roman" w:eastAsia="Times New Roman" w:hAnsi="Times New Roman" w:cs="Times New Roman"/>
                <w:sz w:val="18"/>
                <w:szCs w:val="20"/>
                <w:lang w:eastAsia="ko-KR"/>
              </w:rPr>
            </w:pPr>
            <w:r w:rsidRPr="00BE2277">
              <w:rPr>
                <w:rFonts w:ascii="Times New Roman" w:eastAsia="Times New Roman" w:hAnsi="Times New Roman" w:cs="Times New Roman"/>
                <w:sz w:val="18"/>
                <w:szCs w:val="20"/>
                <w:lang w:eastAsia="ko-KR"/>
              </w:rPr>
              <w:t>66</w:t>
            </w:r>
          </w:p>
        </w:tc>
        <w:tc>
          <w:tcPr>
            <w:tcW w:w="826" w:type="pct"/>
            <w:noWrap/>
            <w:vAlign w:val="center"/>
            <w:hideMark/>
          </w:tcPr>
          <w:p w14:paraId="26064C29" w14:textId="77777777" w:rsidR="00245298" w:rsidRPr="00BE2277" w:rsidRDefault="00245298" w:rsidP="00DE6DBD">
            <w:pPr>
              <w:spacing w:after="0" w:line="240" w:lineRule="auto"/>
              <w:ind w:right="216"/>
              <w:jc w:val="center"/>
              <w:rPr>
                <w:rFonts w:ascii="Times New Roman" w:eastAsia="Times New Roman" w:hAnsi="Times New Roman" w:cs="Times New Roman"/>
                <w:sz w:val="18"/>
                <w:szCs w:val="20"/>
                <w:lang w:eastAsia="ko-KR"/>
              </w:rPr>
            </w:pPr>
            <w:r w:rsidRPr="00BE2277">
              <w:rPr>
                <w:rFonts w:ascii="Times New Roman" w:eastAsia="Times New Roman" w:hAnsi="Times New Roman" w:cs="Times New Roman"/>
                <w:sz w:val="18"/>
                <w:szCs w:val="20"/>
                <w:lang w:eastAsia="ko-KR"/>
              </w:rPr>
              <w:t>96</w:t>
            </w:r>
          </w:p>
        </w:tc>
        <w:tc>
          <w:tcPr>
            <w:tcW w:w="826" w:type="pct"/>
          </w:tcPr>
          <w:p w14:paraId="5AA48DD8" w14:textId="77777777" w:rsidR="00245298" w:rsidRPr="00BE2277" w:rsidRDefault="00245298" w:rsidP="00DE6DBD">
            <w:pPr>
              <w:spacing w:after="0" w:line="240" w:lineRule="auto"/>
              <w:ind w:right="216"/>
              <w:jc w:val="center"/>
              <w:rPr>
                <w:rFonts w:ascii="Times New Roman" w:eastAsia="Times New Roman" w:hAnsi="Times New Roman" w:cs="Times New Roman"/>
                <w:sz w:val="18"/>
                <w:szCs w:val="20"/>
                <w:lang w:eastAsia="ko-KR"/>
              </w:rPr>
            </w:pPr>
            <w:r w:rsidRPr="00BE2277">
              <w:rPr>
                <w:rFonts w:ascii="Times New Roman" w:eastAsia="Times New Roman" w:hAnsi="Times New Roman" w:cs="Times New Roman"/>
                <w:sz w:val="18"/>
                <w:szCs w:val="20"/>
                <w:lang w:eastAsia="ko-KR"/>
              </w:rPr>
              <w:t>101</w:t>
            </w:r>
          </w:p>
        </w:tc>
      </w:tr>
      <w:tr w:rsidR="00245298" w:rsidRPr="00BE2277" w14:paraId="4B769257" w14:textId="77777777" w:rsidTr="00BE2277">
        <w:trPr>
          <w:trHeight w:val="248"/>
          <w:jc w:val="center"/>
        </w:trPr>
        <w:tc>
          <w:tcPr>
            <w:tcW w:w="910" w:type="pct"/>
            <w:noWrap/>
            <w:vAlign w:val="center"/>
            <w:hideMark/>
          </w:tcPr>
          <w:p w14:paraId="0E43B14B" w14:textId="77777777" w:rsidR="00245298" w:rsidRPr="00F27803" w:rsidRDefault="00245298" w:rsidP="00DE6DBD">
            <w:pPr>
              <w:spacing w:after="0" w:line="240" w:lineRule="auto"/>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8</w:t>
            </w:r>
          </w:p>
        </w:tc>
        <w:tc>
          <w:tcPr>
            <w:tcW w:w="923" w:type="pct"/>
            <w:noWrap/>
            <w:vAlign w:val="center"/>
            <w:hideMark/>
          </w:tcPr>
          <w:p w14:paraId="55F53E78" w14:textId="77777777" w:rsidR="00245298" w:rsidRPr="00F27803" w:rsidRDefault="00245298" w:rsidP="00DE6DBD">
            <w:pPr>
              <w:spacing w:after="0" w:line="240" w:lineRule="auto"/>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Rio de Janeiro</w:t>
            </w:r>
          </w:p>
        </w:tc>
        <w:tc>
          <w:tcPr>
            <w:tcW w:w="689" w:type="pct"/>
            <w:noWrap/>
            <w:vAlign w:val="center"/>
            <w:hideMark/>
          </w:tcPr>
          <w:p w14:paraId="3C6A7296" w14:textId="77777777" w:rsidR="00245298" w:rsidRPr="00F27803" w:rsidRDefault="00245298" w:rsidP="00DE6DBD">
            <w:pPr>
              <w:spacing w:after="0" w:line="240" w:lineRule="auto"/>
              <w:ind w:right="216"/>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Brazil</w:t>
            </w:r>
          </w:p>
        </w:tc>
        <w:tc>
          <w:tcPr>
            <w:tcW w:w="826" w:type="pct"/>
            <w:noWrap/>
            <w:vAlign w:val="center"/>
            <w:hideMark/>
          </w:tcPr>
          <w:p w14:paraId="5ABABB08"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47</w:t>
            </w:r>
          </w:p>
        </w:tc>
        <w:tc>
          <w:tcPr>
            <w:tcW w:w="826" w:type="pct"/>
            <w:noWrap/>
            <w:vAlign w:val="center"/>
            <w:hideMark/>
          </w:tcPr>
          <w:p w14:paraId="48A61A3E"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63</w:t>
            </w:r>
          </w:p>
        </w:tc>
        <w:tc>
          <w:tcPr>
            <w:tcW w:w="826" w:type="pct"/>
          </w:tcPr>
          <w:p w14:paraId="27498B6D"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81</w:t>
            </w:r>
          </w:p>
        </w:tc>
      </w:tr>
      <w:tr w:rsidR="00245298" w:rsidRPr="00BE2277" w14:paraId="46A007B3" w14:textId="77777777" w:rsidTr="00BE2277">
        <w:trPr>
          <w:trHeight w:val="248"/>
          <w:jc w:val="center"/>
        </w:trPr>
        <w:tc>
          <w:tcPr>
            <w:tcW w:w="910" w:type="pct"/>
            <w:noWrap/>
            <w:vAlign w:val="center"/>
            <w:hideMark/>
          </w:tcPr>
          <w:p w14:paraId="1ED8E0DC" w14:textId="77777777" w:rsidR="00245298" w:rsidRPr="00BE2277" w:rsidRDefault="00245298" w:rsidP="00DE6DBD">
            <w:pPr>
              <w:spacing w:after="0" w:line="240" w:lineRule="auto"/>
              <w:rPr>
                <w:rFonts w:ascii="Times New Roman" w:eastAsia="Times New Roman" w:hAnsi="Times New Roman" w:cs="Times New Roman"/>
                <w:sz w:val="18"/>
                <w:szCs w:val="20"/>
                <w:lang w:eastAsia="ko-KR"/>
              </w:rPr>
            </w:pPr>
            <w:r w:rsidRPr="00BE2277">
              <w:rPr>
                <w:rFonts w:ascii="Times New Roman" w:eastAsia="Times New Roman" w:hAnsi="Times New Roman" w:cs="Times New Roman"/>
                <w:sz w:val="18"/>
                <w:szCs w:val="20"/>
                <w:lang w:eastAsia="ko-KR"/>
              </w:rPr>
              <w:lastRenderedPageBreak/>
              <w:t>17</w:t>
            </w:r>
          </w:p>
        </w:tc>
        <w:tc>
          <w:tcPr>
            <w:tcW w:w="923" w:type="pct"/>
            <w:noWrap/>
            <w:vAlign w:val="center"/>
            <w:hideMark/>
          </w:tcPr>
          <w:p w14:paraId="013715D1" w14:textId="77777777" w:rsidR="00245298" w:rsidRPr="00BE2277" w:rsidRDefault="00245298" w:rsidP="00DE6DBD">
            <w:pPr>
              <w:spacing w:after="0" w:line="240" w:lineRule="auto"/>
              <w:rPr>
                <w:rFonts w:ascii="Times New Roman" w:eastAsia="Times New Roman" w:hAnsi="Times New Roman" w:cs="Times New Roman"/>
                <w:sz w:val="18"/>
                <w:szCs w:val="20"/>
                <w:lang w:eastAsia="ko-KR"/>
              </w:rPr>
            </w:pPr>
            <w:r w:rsidRPr="00BE2277">
              <w:rPr>
                <w:rFonts w:ascii="Times New Roman" w:eastAsia="Times New Roman" w:hAnsi="Times New Roman" w:cs="Times New Roman"/>
                <w:sz w:val="18"/>
                <w:szCs w:val="20"/>
                <w:lang w:eastAsia="ko-KR"/>
              </w:rPr>
              <w:t>Santiago de Chile</w:t>
            </w:r>
          </w:p>
        </w:tc>
        <w:tc>
          <w:tcPr>
            <w:tcW w:w="689" w:type="pct"/>
            <w:noWrap/>
            <w:vAlign w:val="center"/>
            <w:hideMark/>
          </w:tcPr>
          <w:p w14:paraId="394CA7C0" w14:textId="77777777" w:rsidR="00245298" w:rsidRPr="00BE2277" w:rsidRDefault="00245298" w:rsidP="00DE6DBD">
            <w:pPr>
              <w:spacing w:after="0" w:line="240" w:lineRule="auto"/>
              <w:ind w:right="216"/>
              <w:rPr>
                <w:rFonts w:ascii="Times New Roman" w:eastAsia="Times New Roman" w:hAnsi="Times New Roman" w:cs="Times New Roman"/>
                <w:sz w:val="18"/>
                <w:szCs w:val="20"/>
                <w:lang w:eastAsia="ko-KR"/>
              </w:rPr>
            </w:pPr>
            <w:r w:rsidRPr="00BE2277">
              <w:rPr>
                <w:rFonts w:ascii="Times New Roman" w:eastAsia="Times New Roman" w:hAnsi="Times New Roman" w:cs="Times New Roman"/>
                <w:sz w:val="18"/>
                <w:szCs w:val="20"/>
                <w:lang w:eastAsia="ko-KR"/>
              </w:rPr>
              <w:t>Chile</w:t>
            </w:r>
          </w:p>
        </w:tc>
        <w:tc>
          <w:tcPr>
            <w:tcW w:w="826" w:type="pct"/>
            <w:noWrap/>
            <w:vAlign w:val="center"/>
            <w:hideMark/>
          </w:tcPr>
          <w:p w14:paraId="4CCC4CC3" w14:textId="77777777" w:rsidR="00245298" w:rsidRPr="00BE2277" w:rsidRDefault="00245298" w:rsidP="00DE6DBD">
            <w:pPr>
              <w:spacing w:after="0" w:line="240" w:lineRule="auto"/>
              <w:ind w:right="216"/>
              <w:jc w:val="center"/>
              <w:rPr>
                <w:rFonts w:ascii="Times New Roman" w:eastAsia="Times New Roman" w:hAnsi="Times New Roman" w:cs="Times New Roman"/>
                <w:sz w:val="18"/>
                <w:szCs w:val="20"/>
                <w:lang w:eastAsia="ko-KR"/>
              </w:rPr>
            </w:pPr>
            <w:r w:rsidRPr="00BE2277">
              <w:rPr>
                <w:rFonts w:ascii="Times New Roman" w:eastAsia="Times New Roman" w:hAnsi="Times New Roman" w:cs="Times New Roman"/>
                <w:sz w:val="18"/>
                <w:szCs w:val="20"/>
                <w:lang w:eastAsia="ko-KR"/>
              </w:rPr>
              <w:t>43</w:t>
            </w:r>
          </w:p>
        </w:tc>
        <w:tc>
          <w:tcPr>
            <w:tcW w:w="826" w:type="pct"/>
            <w:noWrap/>
            <w:vAlign w:val="center"/>
            <w:hideMark/>
          </w:tcPr>
          <w:p w14:paraId="54A9BC3D" w14:textId="77777777" w:rsidR="00245298" w:rsidRPr="00BE2277" w:rsidRDefault="00245298" w:rsidP="00DE6DBD">
            <w:pPr>
              <w:spacing w:after="0" w:line="240" w:lineRule="auto"/>
              <w:ind w:right="216"/>
              <w:jc w:val="center"/>
              <w:rPr>
                <w:rFonts w:ascii="Times New Roman" w:eastAsia="Times New Roman" w:hAnsi="Times New Roman" w:cs="Times New Roman"/>
                <w:sz w:val="18"/>
                <w:szCs w:val="20"/>
                <w:lang w:eastAsia="ko-KR"/>
              </w:rPr>
            </w:pPr>
            <w:r w:rsidRPr="00BE2277">
              <w:rPr>
                <w:rFonts w:ascii="Times New Roman" w:eastAsia="Times New Roman" w:hAnsi="Times New Roman" w:cs="Times New Roman"/>
                <w:sz w:val="18"/>
                <w:szCs w:val="20"/>
                <w:lang w:eastAsia="ko-KR"/>
              </w:rPr>
              <w:t>73</w:t>
            </w:r>
          </w:p>
        </w:tc>
        <w:tc>
          <w:tcPr>
            <w:tcW w:w="826" w:type="pct"/>
          </w:tcPr>
          <w:p w14:paraId="0EA7637A" w14:textId="77777777" w:rsidR="00245298" w:rsidRPr="00BE2277" w:rsidRDefault="00245298" w:rsidP="00DE6DBD">
            <w:pPr>
              <w:spacing w:after="0" w:line="240" w:lineRule="auto"/>
              <w:ind w:right="216"/>
              <w:jc w:val="center"/>
              <w:rPr>
                <w:rFonts w:ascii="Times New Roman" w:eastAsia="Times New Roman" w:hAnsi="Times New Roman" w:cs="Times New Roman"/>
                <w:sz w:val="18"/>
                <w:szCs w:val="20"/>
                <w:lang w:eastAsia="ko-KR"/>
              </w:rPr>
            </w:pPr>
            <w:r w:rsidRPr="00BE2277">
              <w:rPr>
                <w:rFonts w:ascii="Times New Roman" w:eastAsia="Times New Roman" w:hAnsi="Times New Roman" w:cs="Times New Roman"/>
                <w:sz w:val="18"/>
                <w:szCs w:val="20"/>
                <w:lang w:eastAsia="ko-KR"/>
              </w:rPr>
              <w:t>88</w:t>
            </w:r>
          </w:p>
        </w:tc>
      </w:tr>
      <w:tr w:rsidR="00245298" w:rsidRPr="00BE2277" w14:paraId="3D9E559E" w14:textId="77777777" w:rsidTr="00BE2277">
        <w:trPr>
          <w:trHeight w:val="248"/>
          <w:jc w:val="center"/>
        </w:trPr>
        <w:tc>
          <w:tcPr>
            <w:tcW w:w="910" w:type="pct"/>
            <w:noWrap/>
            <w:vAlign w:val="center"/>
            <w:hideMark/>
          </w:tcPr>
          <w:p w14:paraId="045449B4" w14:textId="77777777" w:rsidR="00245298" w:rsidRPr="00F27803" w:rsidRDefault="00245298" w:rsidP="00DE6DBD">
            <w:pPr>
              <w:spacing w:after="0" w:line="240" w:lineRule="auto"/>
              <w:rPr>
                <w:rFonts w:ascii="Times New Roman" w:eastAsia="Times New Roman" w:hAnsi="Times New Roman" w:cs="Times New Roman"/>
                <w:sz w:val="18"/>
                <w:szCs w:val="20"/>
                <w:lang w:eastAsia="ko-KR"/>
              </w:rPr>
            </w:pPr>
            <w:r w:rsidRPr="00F27803">
              <w:rPr>
                <w:rFonts w:ascii="Times New Roman" w:eastAsia="Times New Roman" w:hAnsi="Times New Roman" w:cs="Times New Roman"/>
                <w:sz w:val="18"/>
                <w:szCs w:val="20"/>
                <w:lang w:eastAsia="ko-KR"/>
              </w:rPr>
              <w:t>19</w:t>
            </w:r>
          </w:p>
        </w:tc>
        <w:tc>
          <w:tcPr>
            <w:tcW w:w="923" w:type="pct"/>
            <w:noWrap/>
            <w:vAlign w:val="center"/>
            <w:hideMark/>
          </w:tcPr>
          <w:p w14:paraId="309C328B" w14:textId="77777777" w:rsidR="00245298" w:rsidRPr="00F27803" w:rsidRDefault="00245298" w:rsidP="00DE6DBD">
            <w:pPr>
              <w:spacing w:after="0" w:line="240" w:lineRule="auto"/>
              <w:rPr>
                <w:rFonts w:ascii="Times New Roman" w:eastAsia="Times New Roman" w:hAnsi="Times New Roman" w:cs="Times New Roman"/>
                <w:sz w:val="18"/>
                <w:szCs w:val="20"/>
                <w:lang w:eastAsia="ko-KR"/>
              </w:rPr>
            </w:pPr>
            <w:r w:rsidRPr="00F27803">
              <w:rPr>
                <w:rFonts w:ascii="Times New Roman" w:eastAsia="Times New Roman" w:hAnsi="Times New Roman" w:cs="Times New Roman"/>
                <w:sz w:val="18"/>
                <w:szCs w:val="20"/>
                <w:lang w:eastAsia="ko-KR"/>
              </w:rPr>
              <w:t>Buenos Aires</w:t>
            </w:r>
          </w:p>
        </w:tc>
        <w:tc>
          <w:tcPr>
            <w:tcW w:w="689" w:type="pct"/>
            <w:noWrap/>
            <w:vAlign w:val="center"/>
            <w:hideMark/>
          </w:tcPr>
          <w:p w14:paraId="734BC227" w14:textId="77777777" w:rsidR="00245298" w:rsidRPr="00F27803" w:rsidRDefault="00245298" w:rsidP="00DE6DBD">
            <w:pPr>
              <w:spacing w:after="0" w:line="240" w:lineRule="auto"/>
              <w:ind w:right="216"/>
              <w:rPr>
                <w:rFonts w:ascii="Times New Roman" w:eastAsia="Times New Roman" w:hAnsi="Times New Roman" w:cs="Times New Roman"/>
                <w:sz w:val="18"/>
                <w:szCs w:val="20"/>
                <w:lang w:eastAsia="ko-KR"/>
              </w:rPr>
            </w:pPr>
            <w:r w:rsidRPr="00F27803">
              <w:rPr>
                <w:rFonts w:ascii="Times New Roman" w:eastAsia="Times New Roman" w:hAnsi="Times New Roman" w:cs="Times New Roman"/>
                <w:sz w:val="18"/>
                <w:szCs w:val="20"/>
                <w:lang w:eastAsia="ko-KR"/>
              </w:rPr>
              <w:t>Argentina</w:t>
            </w:r>
          </w:p>
        </w:tc>
        <w:tc>
          <w:tcPr>
            <w:tcW w:w="826" w:type="pct"/>
            <w:noWrap/>
            <w:vAlign w:val="center"/>
            <w:hideMark/>
          </w:tcPr>
          <w:p w14:paraId="3C645332" w14:textId="77777777" w:rsidR="00245298" w:rsidRPr="00F27803" w:rsidRDefault="00245298" w:rsidP="00DE6DBD">
            <w:pPr>
              <w:spacing w:after="0" w:line="240" w:lineRule="auto"/>
              <w:ind w:right="216"/>
              <w:jc w:val="center"/>
              <w:rPr>
                <w:rFonts w:ascii="Times New Roman" w:eastAsia="Times New Roman" w:hAnsi="Times New Roman" w:cs="Times New Roman"/>
                <w:sz w:val="18"/>
                <w:szCs w:val="20"/>
                <w:lang w:eastAsia="ko-KR"/>
              </w:rPr>
            </w:pPr>
            <w:r w:rsidRPr="00F27803">
              <w:rPr>
                <w:rFonts w:ascii="Times New Roman" w:eastAsia="Times New Roman" w:hAnsi="Times New Roman" w:cs="Times New Roman"/>
                <w:sz w:val="18"/>
                <w:szCs w:val="20"/>
                <w:lang w:eastAsia="ko-KR"/>
              </w:rPr>
              <w:t>42</w:t>
            </w:r>
          </w:p>
        </w:tc>
        <w:tc>
          <w:tcPr>
            <w:tcW w:w="826" w:type="pct"/>
            <w:noWrap/>
            <w:vAlign w:val="center"/>
            <w:hideMark/>
          </w:tcPr>
          <w:p w14:paraId="6FD876E9" w14:textId="77777777" w:rsidR="00245298" w:rsidRPr="00F27803" w:rsidRDefault="00245298" w:rsidP="00DE6DBD">
            <w:pPr>
              <w:spacing w:after="0" w:line="240" w:lineRule="auto"/>
              <w:ind w:right="216"/>
              <w:jc w:val="center"/>
              <w:rPr>
                <w:rFonts w:ascii="Times New Roman" w:eastAsia="Times New Roman" w:hAnsi="Times New Roman" w:cs="Times New Roman"/>
                <w:sz w:val="18"/>
                <w:szCs w:val="20"/>
                <w:lang w:eastAsia="ko-KR"/>
              </w:rPr>
            </w:pPr>
            <w:r w:rsidRPr="00F27803">
              <w:rPr>
                <w:rFonts w:ascii="Times New Roman" w:eastAsia="Times New Roman" w:hAnsi="Times New Roman" w:cs="Times New Roman"/>
                <w:sz w:val="18"/>
                <w:szCs w:val="20"/>
                <w:lang w:eastAsia="ko-KR"/>
              </w:rPr>
              <w:t>64</w:t>
            </w:r>
          </w:p>
        </w:tc>
        <w:tc>
          <w:tcPr>
            <w:tcW w:w="826" w:type="pct"/>
          </w:tcPr>
          <w:p w14:paraId="5E56A900" w14:textId="77777777" w:rsidR="00245298" w:rsidRPr="00F27803" w:rsidRDefault="00245298" w:rsidP="00DE6DBD">
            <w:pPr>
              <w:spacing w:after="0" w:line="240" w:lineRule="auto"/>
              <w:ind w:right="216"/>
              <w:jc w:val="center"/>
              <w:rPr>
                <w:rFonts w:ascii="Times New Roman" w:eastAsia="Times New Roman" w:hAnsi="Times New Roman" w:cs="Times New Roman"/>
                <w:sz w:val="18"/>
                <w:szCs w:val="20"/>
                <w:lang w:eastAsia="ko-KR"/>
              </w:rPr>
            </w:pPr>
            <w:r w:rsidRPr="00F27803">
              <w:rPr>
                <w:rFonts w:ascii="Times New Roman" w:eastAsia="Times New Roman" w:hAnsi="Times New Roman" w:cs="Times New Roman"/>
                <w:sz w:val="18"/>
                <w:szCs w:val="20"/>
                <w:lang w:eastAsia="ko-KR"/>
              </w:rPr>
              <w:t>68</w:t>
            </w:r>
          </w:p>
        </w:tc>
      </w:tr>
      <w:tr w:rsidR="00245298" w:rsidRPr="00BE2277" w14:paraId="410DDE09" w14:textId="77777777" w:rsidTr="00BE2277">
        <w:trPr>
          <w:trHeight w:val="248"/>
          <w:jc w:val="center"/>
        </w:trPr>
        <w:tc>
          <w:tcPr>
            <w:tcW w:w="910" w:type="pct"/>
            <w:noWrap/>
            <w:vAlign w:val="center"/>
            <w:hideMark/>
          </w:tcPr>
          <w:p w14:paraId="7E476875" w14:textId="77777777" w:rsidR="00245298" w:rsidRPr="00F27803" w:rsidRDefault="00245298" w:rsidP="00DE6DBD">
            <w:pPr>
              <w:spacing w:after="0" w:line="240" w:lineRule="auto"/>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28</w:t>
            </w:r>
          </w:p>
        </w:tc>
        <w:tc>
          <w:tcPr>
            <w:tcW w:w="923" w:type="pct"/>
            <w:noWrap/>
            <w:vAlign w:val="center"/>
            <w:hideMark/>
          </w:tcPr>
          <w:p w14:paraId="147F5D72" w14:textId="77777777" w:rsidR="00245298" w:rsidRPr="00F27803" w:rsidRDefault="00245298" w:rsidP="00DE6DBD">
            <w:pPr>
              <w:spacing w:after="0" w:line="240" w:lineRule="auto"/>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Salvador</w:t>
            </w:r>
          </w:p>
        </w:tc>
        <w:tc>
          <w:tcPr>
            <w:tcW w:w="689" w:type="pct"/>
            <w:noWrap/>
            <w:vAlign w:val="center"/>
            <w:hideMark/>
          </w:tcPr>
          <w:p w14:paraId="7530AB83" w14:textId="77777777" w:rsidR="00245298" w:rsidRPr="00F27803" w:rsidRDefault="00245298" w:rsidP="00DE6DBD">
            <w:pPr>
              <w:spacing w:after="0" w:line="240" w:lineRule="auto"/>
              <w:ind w:right="216"/>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Brazil</w:t>
            </w:r>
          </w:p>
        </w:tc>
        <w:tc>
          <w:tcPr>
            <w:tcW w:w="826" w:type="pct"/>
            <w:noWrap/>
            <w:vAlign w:val="center"/>
            <w:hideMark/>
          </w:tcPr>
          <w:p w14:paraId="6730BD45"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40</w:t>
            </w:r>
          </w:p>
        </w:tc>
        <w:tc>
          <w:tcPr>
            <w:tcW w:w="826" w:type="pct"/>
            <w:noWrap/>
            <w:vAlign w:val="center"/>
            <w:hideMark/>
          </w:tcPr>
          <w:p w14:paraId="53D9E37F"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63</w:t>
            </w:r>
          </w:p>
        </w:tc>
        <w:tc>
          <w:tcPr>
            <w:tcW w:w="826" w:type="pct"/>
          </w:tcPr>
          <w:p w14:paraId="68F95A66"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70</w:t>
            </w:r>
          </w:p>
        </w:tc>
      </w:tr>
      <w:tr w:rsidR="00245298" w:rsidRPr="00BE2277" w14:paraId="605C17F4" w14:textId="77777777" w:rsidTr="00BE2277">
        <w:trPr>
          <w:trHeight w:val="248"/>
          <w:jc w:val="center"/>
        </w:trPr>
        <w:tc>
          <w:tcPr>
            <w:tcW w:w="910" w:type="pct"/>
            <w:noWrap/>
            <w:vAlign w:val="center"/>
            <w:hideMark/>
          </w:tcPr>
          <w:p w14:paraId="4C0BD716" w14:textId="77777777" w:rsidR="00245298" w:rsidRPr="00F27803" w:rsidRDefault="00245298" w:rsidP="00DE6DBD">
            <w:pPr>
              <w:spacing w:after="0" w:line="240" w:lineRule="auto"/>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43</w:t>
            </w:r>
          </w:p>
        </w:tc>
        <w:tc>
          <w:tcPr>
            <w:tcW w:w="923" w:type="pct"/>
            <w:noWrap/>
            <w:vAlign w:val="center"/>
            <w:hideMark/>
          </w:tcPr>
          <w:p w14:paraId="7D473C55" w14:textId="77777777" w:rsidR="00245298" w:rsidRPr="00F27803" w:rsidRDefault="00245298" w:rsidP="00DE6DBD">
            <w:pPr>
              <w:spacing w:after="0" w:line="240" w:lineRule="auto"/>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Recife</w:t>
            </w:r>
          </w:p>
        </w:tc>
        <w:tc>
          <w:tcPr>
            <w:tcW w:w="689" w:type="pct"/>
            <w:noWrap/>
            <w:vAlign w:val="center"/>
            <w:hideMark/>
          </w:tcPr>
          <w:p w14:paraId="30E284D0" w14:textId="77777777" w:rsidR="00245298" w:rsidRPr="00F27803" w:rsidRDefault="00245298" w:rsidP="00DE6DBD">
            <w:pPr>
              <w:spacing w:after="0" w:line="240" w:lineRule="auto"/>
              <w:ind w:right="216"/>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Brazil</w:t>
            </w:r>
          </w:p>
        </w:tc>
        <w:tc>
          <w:tcPr>
            <w:tcW w:w="826" w:type="pct"/>
            <w:noWrap/>
            <w:vAlign w:val="center"/>
            <w:hideMark/>
          </w:tcPr>
          <w:p w14:paraId="7D0DE3D2"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37</w:t>
            </w:r>
          </w:p>
        </w:tc>
        <w:tc>
          <w:tcPr>
            <w:tcW w:w="826" w:type="pct"/>
            <w:noWrap/>
            <w:vAlign w:val="center"/>
            <w:hideMark/>
          </w:tcPr>
          <w:p w14:paraId="18E9DB57"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60</w:t>
            </w:r>
          </w:p>
        </w:tc>
        <w:tc>
          <w:tcPr>
            <w:tcW w:w="826" w:type="pct"/>
          </w:tcPr>
          <w:p w14:paraId="5E904962"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65</w:t>
            </w:r>
          </w:p>
        </w:tc>
      </w:tr>
      <w:tr w:rsidR="00245298" w:rsidRPr="00BE2277" w14:paraId="14C5D8B2" w14:textId="77777777" w:rsidTr="00BE2277">
        <w:trPr>
          <w:trHeight w:val="248"/>
          <w:jc w:val="center"/>
        </w:trPr>
        <w:tc>
          <w:tcPr>
            <w:tcW w:w="910" w:type="pct"/>
            <w:noWrap/>
            <w:vAlign w:val="center"/>
            <w:hideMark/>
          </w:tcPr>
          <w:p w14:paraId="480FE64C" w14:textId="77777777" w:rsidR="00245298" w:rsidRPr="00F27803" w:rsidRDefault="00245298" w:rsidP="00DE6DBD">
            <w:pPr>
              <w:spacing w:after="0" w:line="240" w:lineRule="auto"/>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47</w:t>
            </w:r>
          </w:p>
        </w:tc>
        <w:tc>
          <w:tcPr>
            <w:tcW w:w="923" w:type="pct"/>
            <w:noWrap/>
            <w:vAlign w:val="center"/>
            <w:hideMark/>
          </w:tcPr>
          <w:p w14:paraId="2502D8B6" w14:textId="77777777" w:rsidR="00245298" w:rsidRPr="00F27803" w:rsidRDefault="00245298" w:rsidP="00DE6DBD">
            <w:pPr>
              <w:spacing w:after="0" w:line="240" w:lineRule="auto"/>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Fortaleza</w:t>
            </w:r>
          </w:p>
        </w:tc>
        <w:tc>
          <w:tcPr>
            <w:tcW w:w="689" w:type="pct"/>
            <w:noWrap/>
            <w:vAlign w:val="center"/>
            <w:hideMark/>
          </w:tcPr>
          <w:p w14:paraId="7940958E" w14:textId="77777777" w:rsidR="00245298" w:rsidRPr="00F27803" w:rsidRDefault="00245298" w:rsidP="00DE6DBD">
            <w:pPr>
              <w:spacing w:after="0" w:line="240" w:lineRule="auto"/>
              <w:ind w:right="216"/>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Brazil</w:t>
            </w:r>
          </w:p>
        </w:tc>
        <w:tc>
          <w:tcPr>
            <w:tcW w:w="826" w:type="pct"/>
            <w:noWrap/>
            <w:vAlign w:val="center"/>
            <w:hideMark/>
          </w:tcPr>
          <w:p w14:paraId="3DB667D1"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35</w:t>
            </w:r>
          </w:p>
        </w:tc>
        <w:tc>
          <w:tcPr>
            <w:tcW w:w="826" w:type="pct"/>
            <w:noWrap/>
            <w:vAlign w:val="center"/>
            <w:hideMark/>
          </w:tcPr>
          <w:p w14:paraId="19B980E3"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56</w:t>
            </w:r>
          </w:p>
        </w:tc>
        <w:tc>
          <w:tcPr>
            <w:tcW w:w="826" w:type="pct"/>
          </w:tcPr>
          <w:p w14:paraId="7C9254A2"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57</w:t>
            </w:r>
          </w:p>
        </w:tc>
      </w:tr>
      <w:tr w:rsidR="00245298" w:rsidRPr="00BE2277" w14:paraId="350CD7B7" w14:textId="77777777" w:rsidTr="00BE2277">
        <w:trPr>
          <w:trHeight w:val="248"/>
          <w:jc w:val="center"/>
        </w:trPr>
        <w:tc>
          <w:tcPr>
            <w:tcW w:w="910" w:type="pct"/>
            <w:noWrap/>
            <w:vAlign w:val="center"/>
            <w:hideMark/>
          </w:tcPr>
          <w:p w14:paraId="0516D24D" w14:textId="77777777" w:rsidR="00245298" w:rsidRPr="00F27803" w:rsidRDefault="00245298" w:rsidP="00DE6DBD">
            <w:pPr>
              <w:spacing w:after="0" w:line="240" w:lineRule="auto"/>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71</w:t>
            </w:r>
          </w:p>
        </w:tc>
        <w:tc>
          <w:tcPr>
            <w:tcW w:w="923" w:type="pct"/>
            <w:noWrap/>
            <w:vAlign w:val="center"/>
            <w:hideMark/>
          </w:tcPr>
          <w:p w14:paraId="578E78D6" w14:textId="77777777" w:rsidR="00245298" w:rsidRPr="00F27803" w:rsidRDefault="00245298" w:rsidP="00DE6DBD">
            <w:pPr>
              <w:spacing w:after="0" w:line="240" w:lineRule="auto"/>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Sao Paulo</w:t>
            </w:r>
          </w:p>
        </w:tc>
        <w:tc>
          <w:tcPr>
            <w:tcW w:w="689" w:type="pct"/>
            <w:noWrap/>
            <w:vAlign w:val="center"/>
            <w:hideMark/>
          </w:tcPr>
          <w:p w14:paraId="0FBE91AC" w14:textId="77777777" w:rsidR="00245298" w:rsidRPr="00F27803" w:rsidRDefault="00245298" w:rsidP="00DE6DBD">
            <w:pPr>
              <w:spacing w:after="0" w:line="240" w:lineRule="auto"/>
              <w:ind w:right="216"/>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Brazil</w:t>
            </w:r>
          </w:p>
        </w:tc>
        <w:tc>
          <w:tcPr>
            <w:tcW w:w="826" w:type="pct"/>
            <w:noWrap/>
            <w:vAlign w:val="center"/>
            <w:hideMark/>
          </w:tcPr>
          <w:p w14:paraId="1CE7247D"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30</w:t>
            </w:r>
          </w:p>
        </w:tc>
        <w:tc>
          <w:tcPr>
            <w:tcW w:w="826" w:type="pct"/>
            <w:noWrap/>
            <w:vAlign w:val="center"/>
            <w:hideMark/>
          </w:tcPr>
          <w:p w14:paraId="6A6FA14E"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42</w:t>
            </w:r>
          </w:p>
        </w:tc>
        <w:tc>
          <w:tcPr>
            <w:tcW w:w="826" w:type="pct"/>
          </w:tcPr>
          <w:p w14:paraId="578C1BA1"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53</w:t>
            </w:r>
          </w:p>
        </w:tc>
      </w:tr>
      <w:tr w:rsidR="00245298" w:rsidRPr="00BE2277" w14:paraId="0FDF4E89" w14:textId="77777777" w:rsidTr="00BE2277">
        <w:trPr>
          <w:trHeight w:val="248"/>
          <w:jc w:val="center"/>
        </w:trPr>
        <w:tc>
          <w:tcPr>
            <w:tcW w:w="910" w:type="pct"/>
            <w:noWrap/>
            <w:vAlign w:val="center"/>
          </w:tcPr>
          <w:p w14:paraId="48BC545B" w14:textId="77777777" w:rsidR="00245298" w:rsidRPr="00F27803" w:rsidRDefault="00245298" w:rsidP="00DE6DBD">
            <w:pPr>
              <w:spacing w:after="0" w:line="240" w:lineRule="auto"/>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99</w:t>
            </w:r>
          </w:p>
        </w:tc>
        <w:tc>
          <w:tcPr>
            <w:tcW w:w="923" w:type="pct"/>
            <w:noWrap/>
            <w:vAlign w:val="center"/>
          </w:tcPr>
          <w:p w14:paraId="7BFD0ED5" w14:textId="77777777" w:rsidR="00245298" w:rsidRPr="00F27803" w:rsidRDefault="00245298" w:rsidP="00DE6DBD">
            <w:pPr>
              <w:spacing w:after="0" w:line="240" w:lineRule="auto"/>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Belo Horizonte</w:t>
            </w:r>
          </w:p>
        </w:tc>
        <w:tc>
          <w:tcPr>
            <w:tcW w:w="689" w:type="pct"/>
            <w:noWrap/>
            <w:vAlign w:val="center"/>
          </w:tcPr>
          <w:p w14:paraId="362EF12C" w14:textId="77777777" w:rsidR="00245298" w:rsidRPr="00F27803" w:rsidRDefault="00245298" w:rsidP="00DE6DBD">
            <w:pPr>
              <w:spacing w:after="0" w:line="240" w:lineRule="auto"/>
              <w:ind w:right="216"/>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Brazil</w:t>
            </w:r>
          </w:p>
        </w:tc>
        <w:tc>
          <w:tcPr>
            <w:tcW w:w="826" w:type="pct"/>
            <w:noWrap/>
            <w:vAlign w:val="center"/>
          </w:tcPr>
          <w:p w14:paraId="41E6FF20"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27</w:t>
            </w:r>
          </w:p>
        </w:tc>
        <w:tc>
          <w:tcPr>
            <w:tcW w:w="826" w:type="pct"/>
            <w:noWrap/>
            <w:vAlign w:val="center"/>
          </w:tcPr>
          <w:p w14:paraId="55D635CE"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42</w:t>
            </w:r>
          </w:p>
        </w:tc>
        <w:tc>
          <w:tcPr>
            <w:tcW w:w="826" w:type="pct"/>
          </w:tcPr>
          <w:p w14:paraId="15DB0F1B" w14:textId="77777777" w:rsidR="00245298" w:rsidRPr="00F27803" w:rsidRDefault="00245298" w:rsidP="00DE6DBD">
            <w:pPr>
              <w:spacing w:after="0" w:line="240" w:lineRule="auto"/>
              <w:ind w:right="216"/>
              <w:jc w:val="center"/>
              <w:rPr>
                <w:rFonts w:ascii="Times New Roman" w:eastAsia="Times New Roman" w:hAnsi="Times New Roman" w:cs="Times New Roman"/>
                <w:color w:val="C00000"/>
                <w:sz w:val="18"/>
                <w:szCs w:val="20"/>
                <w:lang w:eastAsia="ko-KR"/>
              </w:rPr>
            </w:pPr>
            <w:r w:rsidRPr="00F27803">
              <w:rPr>
                <w:rFonts w:ascii="Times New Roman" w:eastAsia="Times New Roman" w:hAnsi="Times New Roman" w:cs="Times New Roman"/>
                <w:color w:val="C00000"/>
                <w:sz w:val="18"/>
                <w:szCs w:val="20"/>
                <w:lang w:eastAsia="ko-KR"/>
              </w:rPr>
              <w:t>59</w:t>
            </w:r>
          </w:p>
        </w:tc>
      </w:tr>
    </w:tbl>
    <w:p w14:paraId="1EC46594" w14:textId="77777777" w:rsidR="00BE2277" w:rsidRDefault="00BE2277" w:rsidP="00DE6DBD">
      <w:pPr>
        <w:pStyle w:val="footnotefigure"/>
        <w:rPr>
          <w:b/>
          <w:i/>
        </w:rPr>
      </w:pPr>
    </w:p>
    <w:p w14:paraId="6B5BDDF8" w14:textId="44AC3B56" w:rsidR="00245298" w:rsidRPr="00146DDE" w:rsidRDefault="00245298" w:rsidP="009021F0">
      <w:pPr>
        <w:pStyle w:val="footnotefigure"/>
        <w:ind w:left="1080" w:right="1080"/>
        <w:rPr>
          <w:rFonts w:eastAsia="Calibri"/>
        </w:rPr>
      </w:pPr>
      <w:r w:rsidRPr="009021F0">
        <w:rPr>
          <w:rFonts w:ascii="Garamond" w:hAnsi="Garamond"/>
          <w:i/>
        </w:rPr>
        <w:t>Source</w:t>
      </w:r>
      <w:r w:rsidRPr="009021F0">
        <w:rPr>
          <w:rFonts w:ascii="Garamond" w:hAnsi="Garamond"/>
        </w:rPr>
        <w:t>: TomTom traffic index, www.tomtom.com.</w:t>
      </w:r>
      <w:r w:rsidR="00146DDE">
        <w:rPr>
          <w:rFonts w:ascii="Garamond" w:hAnsi="Garamond"/>
          <w:i/>
        </w:rPr>
        <w:t xml:space="preserve"> </w:t>
      </w:r>
      <w:r w:rsidRPr="009021F0">
        <w:rPr>
          <w:rFonts w:ascii="Garamond" w:hAnsi="Garamond"/>
          <w:i/>
        </w:rPr>
        <w:t xml:space="preserve">Note: </w:t>
      </w:r>
      <w:r w:rsidRPr="009021F0">
        <w:rPr>
          <w:rFonts w:ascii="Garamond" w:hAnsi="Garamond"/>
        </w:rPr>
        <w:t>The TomTom index for congestion measures the percentage of extra travel time (relative to a free-flow situation) due to traffic congestion</w:t>
      </w:r>
      <w:r w:rsidR="00314CC1">
        <w:rPr>
          <w:rFonts w:ascii="Garamond" w:eastAsia="Calibri" w:hAnsi="Garamond"/>
        </w:rPr>
        <w:t>; morning and evening peak cover peak hour times.</w:t>
      </w:r>
      <w:r w:rsidR="00314CC1" w:rsidRPr="009021F0">
        <w:rPr>
          <w:rFonts w:ascii="Garamond" w:eastAsia="Calibri" w:hAnsi="Garamond"/>
        </w:rPr>
        <w:t xml:space="preserve"> </w:t>
      </w:r>
      <w:r w:rsidRPr="009021F0">
        <w:rPr>
          <w:rFonts w:ascii="Garamond" w:eastAsia="Calibri" w:hAnsi="Garamond"/>
        </w:rPr>
        <w:t>The TomTom data covers 48 countries and 390 cities worldwide</w:t>
      </w:r>
      <w:r w:rsidRPr="00146DDE">
        <w:rPr>
          <w:rFonts w:eastAsia="Calibri"/>
        </w:rPr>
        <w:t>.</w:t>
      </w:r>
    </w:p>
    <w:p w14:paraId="559E8FA2" w14:textId="50F3459E" w:rsidR="0009003A" w:rsidRDefault="0009003A" w:rsidP="00DE6DBD">
      <w:pPr>
        <w:spacing w:after="0" w:line="240" w:lineRule="auto"/>
        <w:jc w:val="both"/>
        <w:rPr>
          <w:rFonts w:ascii="Garamond" w:hAnsi="Garamond"/>
          <w:b/>
          <w:color w:val="C00000"/>
          <w14:textFill>
            <w14:solidFill>
              <w14:srgbClr w14:val="C00000">
                <w14:alpha w14:val="5000"/>
              </w14:srgbClr>
            </w14:solidFill>
          </w14:textFill>
        </w:rPr>
      </w:pPr>
      <w:bookmarkStart w:id="16" w:name="_Hlk508380000"/>
    </w:p>
    <w:p w14:paraId="71282D3A" w14:textId="5CB419A3" w:rsidR="00C051D3" w:rsidRDefault="00C051D3" w:rsidP="00DE6DBD">
      <w:pPr>
        <w:spacing w:line="240" w:lineRule="auto"/>
        <w:jc w:val="both"/>
        <w:rPr>
          <w:rFonts w:ascii="Cambria" w:hAnsi="Cambria" w:cs="Cambria"/>
          <w:color w:val="000000"/>
        </w:rPr>
      </w:pPr>
      <w:r>
        <w:rPr>
          <w:rFonts w:ascii="Garamond" w:hAnsi="Garamond"/>
          <w:b/>
          <w:szCs w:val="24"/>
        </w:rPr>
        <w:t>In</w:t>
      </w:r>
      <w:r w:rsidR="00B04477">
        <w:rPr>
          <w:rFonts w:ascii="Garamond" w:hAnsi="Garamond"/>
          <w:b/>
          <w:szCs w:val="24"/>
        </w:rPr>
        <w:t xml:space="preserve"> </w:t>
      </w:r>
      <w:r>
        <w:rPr>
          <w:rFonts w:ascii="Garamond" w:hAnsi="Garamond"/>
          <w:b/>
          <w:szCs w:val="24"/>
        </w:rPr>
        <w:t>general,</w:t>
      </w:r>
      <w:r w:rsidR="00B04477">
        <w:rPr>
          <w:rFonts w:ascii="Garamond" w:hAnsi="Garamond"/>
          <w:b/>
          <w:szCs w:val="24"/>
        </w:rPr>
        <w:t xml:space="preserve"> urban forms of Brazilian cities tend to support productivity</w:t>
      </w:r>
      <w:r w:rsidR="00DA5D71" w:rsidRPr="0032250D">
        <w:rPr>
          <w:rFonts w:ascii="Garamond" w:hAnsi="Garamond"/>
          <w:b/>
          <w:color w:val="000000" w:themeColor="text1"/>
          <w14:textFill>
            <w14:solidFill>
              <w14:schemeClr w14:val="tx1">
                <w14:alpha w14:val="5000"/>
              </w14:schemeClr>
            </w14:solidFill>
          </w14:textFill>
        </w:rPr>
        <w:t>.</w:t>
      </w:r>
      <w:r w:rsidR="00DA5D71" w:rsidRPr="00DA5D71">
        <w:rPr>
          <w:rFonts w:ascii="Garamond" w:hAnsi="Garamond"/>
          <w:szCs w:val="24"/>
        </w:rPr>
        <w:t xml:space="preserve"> </w:t>
      </w:r>
      <w:r w:rsidR="00B04477" w:rsidRPr="00EA0729">
        <w:rPr>
          <w:rFonts w:ascii="Garamond" w:hAnsi="Garamond"/>
          <w:szCs w:val="24"/>
        </w:rPr>
        <w:t>Beyond density, other spatial dimensions of urban form</w:t>
      </w:r>
      <w:r w:rsidR="00B04477">
        <w:rPr>
          <w:rStyle w:val="FootnoteReference"/>
          <w:rFonts w:ascii="Garamond" w:hAnsi="Garamond"/>
          <w:szCs w:val="24"/>
        </w:rPr>
        <w:footnoteReference w:id="16"/>
      </w:r>
      <w:r w:rsidR="00B04477" w:rsidRPr="00EA0729">
        <w:rPr>
          <w:rFonts w:ascii="Garamond" w:hAnsi="Garamond"/>
          <w:szCs w:val="24"/>
        </w:rPr>
        <w:t xml:space="preserve"> matter for productivity. Smooth, rounded, compact, and well-connected cities tend to have higher productivity levels than rugged or elongated cities, or cities with poorly connected streets. While the average city in LAC is rounded, has smooth border (perimeters), a dense street network, and tends to be compactly built, the region is home to cities with a great diversity of urban form. </w:t>
      </w:r>
      <w:r w:rsidR="00B04477">
        <w:rPr>
          <w:rFonts w:ascii="Garamond" w:hAnsi="Garamond"/>
          <w:szCs w:val="24"/>
        </w:rPr>
        <w:t>Cities in Brazil reflect this diversity. They tend to display low smoothness values</w:t>
      </w:r>
      <w:r w:rsidR="00314CC1">
        <w:rPr>
          <w:rFonts w:ascii="Garamond" w:hAnsi="Garamond"/>
          <w:szCs w:val="24"/>
        </w:rPr>
        <w:t xml:space="preserve"> indicating unplanned growth patterns</w:t>
      </w:r>
      <w:r w:rsidR="00B04477">
        <w:rPr>
          <w:rFonts w:ascii="Garamond" w:hAnsi="Garamond"/>
          <w:szCs w:val="24"/>
        </w:rPr>
        <w:t>, and high roundness indices</w:t>
      </w:r>
      <w:r w:rsidR="00314CC1">
        <w:rPr>
          <w:rFonts w:ascii="Garamond" w:hAnsi="Garamond"/>
          <w:szCs w:val="24"/>
        </w:rPr>
        <w:t xml:space="preserve"> reflected in compact urban areas</w:t>
      </w:r>
      <w:r w:rsidR="00314CC1">
        <w:rPr>
          <w:rStyle w:val="CommentReference"/>
        </w:rPr>
        <w:t>.</w:t>
      </w:r>
      <w:r w:rsidR="00314CC1">
        <w:rPr>
          <w:rFonts w:ascii="Garamond" w:hAnsi="Garamond"/>
          <w:szCs w:val="24"/>
        </w:rPr>
        <w:t xml:space="preserve"> Yet </w:t>
      </w:r>
      <w:r w:rsidR="00B04477">
        <w:rPr>
          <w:rFonts w:ascii="Garamond" w:hAnsi="Garamond"/>
          <w:szCs w:val="24"/>
        </w:rPr>
        <w:t xml:space="preserve">cities </w:t>
      </w:r>
      <w:r w:rsidR="004A288B">
        <w:rPr>
          <w:rFonts w:ascii="Garamond" w:hAnsi="Garamond"/>
          <w:szCs w:val="24"/>
        </w:rPr>
        <w:t>such as</w:t>
      </w:r>
      <w:r w:rsidR="00B04477">
        <w:rPr>
          <w:rFonts w:ascii="Garamond" w:hAnsi="Garamond"/>
          <w:szCs w:val="24"/>
        </w:rPr>
        <w:t xml:space="preserve"> Sao Paulo ha</w:t>
      </w:r>
      <w:r w:rsidR="004A288B">
        <w:rPr>
          <w:rFonts w:ascii="Garamond" w:hAnsi="Garamond"/>
          <w:szCs w:val="24"/>
        </w:rPr>
        <w:t>ve</w:t>
      </w:r>
      <w:r w:rsidR="00B04477">
        <w:rPr>
          <w:rFonts w:ascii="Garamond" w:hAnsi="Garamond"/>
          <w:szCs w:val="24"/>
        </w:rPr>
        <w:t xml:space="preserve"> a high density built urban form contrary to Brasilia with a higher proportion of open spaces within its urban area. These disparities support the finding that high productivity can </w:t>
      </w:r>
      <w:r w:rsidR="004A288B">
        <w:rPr>
          <w:rFonts w:ascii="Garamond" w:hAnsi="Garamond"/>
          <w:szCs w:val="24"/>
        </w:rPr>
        <w:t xml:space="preserve">be achieved by different shapes as long as </w:t>
      </w:r>
      <w:r w:rsidR="00DC25E8">
        <w:rPr>
          <w:rFonts w:ascii="Garamond" w:hAnsi="Garamond"/>
          <w:szCs w:val="24"/>
        </w:rPr>
        <w:t>they</w:t>
      </w:r>
      <w:r w:rsidR="004A288B">
        <w:rPr>
          <w:rFonts w:ascii="Garamond" w:hAnsi="Garamond"/>
          <w:szCs w:val="24"/>
        </w:rPr>
        <w:t xml:space="preserve"> guarantee</w:t>
      </w:r>
      <w:r w:rsidR="00B04477">
        <w:rPr>
          <w:rFonts w:ascii="Garamond" w:hAnsi="Garamond"/>
          <w:szCs w:val="24"/>
        </w:rPr>
        <w:t xml:space="preserve"> inner-city connectivity.</w:t>
      </w:r>
      <w:r w:rsidR="00B04477" w:rsidRPr="002D5952">
        <w:rPr>
          <w:rFonts w:ascii="Cambria" w:hAnsi="Cambria" w:cs="Cambria"/>
          <w:color w:val="000000"/>
        </w:rPr>
        <w:t xml:space="preserve"> </w:t>
      </w:r>
    </w:p>
    <w:p w14:paraId="58232C0C" w14:textId="2351945C" w:rsidR="0009003A" w:rsidRPr="00C051D3" w:rsidRDefault="00C051D3" w:rsidP="00DE6DBD">
      <w:pPr>
        <w:spacing w:line="240" w:lineRule="auto"/>
        <w:jc w:val="both"/>
        <w:rPr>
          <w:rFonts w:ascii="Garamond" w:hAnsi="Garamond"/>
          <w:szCs w:val="24"/>
        </w:rPr>
      </w:pPr>
      <w:r>
        <w:rPr>
          <w:rFonts w:ascii="Garamond" w:hAnsi="Garamond"/>
          <w:b/>
          <w:szCs w:val="24"/>
        </w:rPr>
        <w:t>But institutional fragmentation does not:</w:t>
      </w:r>
      <w:r w:rsidRPr="0032250D">
        <w:rPr>
          <w:rFonts w:ascii="Garamond" w:hAnsi="Garamond"/>
          <w:b/>
          <w:szCs w:val="24"/>
        </w:rPr>
        <w:t xml:space="preserve"> </w:t>
      </w:r>
      <w:r w:rsidRPr="0032250D">
        <w:rPr>
          <w:rFonts w:ascii="Garamond" w:hAnsi="Garamond"/>
          <w:b/>
          <w:color w:val="000000" w:themeColor="text1"/>
          <w14:textFill>
            <w14:solidFill>
              <w14:schemeClr w14:val="tx1">
                <w14:alpha w14:val="5000"/>
              </w14:schemeClr>
            </w14:solidFill>
          </w14:textFill>
        </w:rPr>
        <w:t>Brazil is the country in LAC with</w:t>
      </w:r>
      <w:r>
        <w:rPr>
          <w:rFonts w:ascii="Garamond" w:hAnsi="Garamond"/>
          <w:b/>
          <w:color w:val="000000" w:themeColor="text1"/>
          <w14:textFill>
            <w14:solidFill>
              <w14:schemeClr w14:val="tx1">
                <w14:alpha w14:val="5000"/>
              </w14:schemeClr>
            </w14:solidFill>
          </w14:textFill>
        </w:rPr>
        <w:t xml:space="preserve"> the</w:t>
      </w:r>
      <w:r w:rsidRPr="0032250D">
        <w:rPr>
          <w:rFonts w:ascii="Garamond" w:hAnsi="Garamond"/>
          <w:b/>
          <w:color w:val="000000" w:themeColor="text1"/>
          <w14:textFill>
            <w14:solidFill>
              <w14:schemeClr w14:val="tx1">
                <w14:alpha w14:val="5000"/>
              </w14:schemeClr>
            </w14:solidFill>
          </w14:textFill>
        </w:rPr>
        <w:t xml:space="preserve"> most Multicity agglomerations (MCAs)</w:t>
      </w:r>
      <w:r>
        <w:rPr>
          <w:rFonts w:ascii="Garamond" w:hAnsi="Garamond"/>
          <w:b/>
          <w:color w:val="000000" w:themeColor="text1"/>
          <w14:textFill>
            <w14:solidFill>
              <w14:schemeClr w14:val="tx1">
                <w14:alpha w14:val="5000"/>
              </w14:schemeClr>
            </w14:solidFill>
          </w14:textFill>
        </w:rPr>
        <w:t xml:space="preserve">. </w:t>
      </w:r>
      <w:r w:rsidR="00DA5D71" w:rsidRPr="00DA5D71">
        <w:rPr>
          <w:rFonts w:ascii="Garamond" w:hAnsi="Garamond"/>
          <w:szCs w:val="24"/>
        </w:rPr>
        <w:t>Institutional fragmentation also matters for productivity, and most metropolitan areas in LAC are hampered by it</w:t>
      </w:r>
      <w:r w:rsidR="00242171">
        <w:rPr>
          <w:rFonts w:ascii="Garamond" w:hAnsi="Garamond"/>
          <w:szCs w:val="24"/>
        </w:rPr>
        <w:t xml:space="preserve">. </w:t>
      </w:r>
      <w:r w:rsidR="00242171" w:rsidRPr="005F40DE">
        <w:rPr>
          <w:rFonts w:ascii="Garamond" w:hAnsi="Garamond"/>
          <w:color w:val="000000"/>
          <w14:textFill>
            <w14:solidFill>
              <w14:srgbClr w14:val="000000">
                <w14:alpha w14:val="5000"/>
              </w14:srgbClr>
            </w14:solidFill>
          </w14:textFill>
        </w:rPr>
        <w:t xml:space="preserve">Among world regions, LAC has the most MCAs. </w:t>
      </w:r>
      <w:r w:rsidR="00DC4845" w:rsidRPr="00DC4845">
        <w:rPr>
          <w:rFonts w:ascii="Garamond" w:hAnsi="Garamond"/>
          <w:color w:val="000000"/>
          <w14:textFill>
            <w14:solidFill>
              <w14:srgbClr w14:val="000000">
                <w14:alpha w14:val="5000"/>
              </w14:srgbClr>
            </w14:solidFill>
          </w14:textFill>
        </w:rPr>
        <w:t xml:space="preserve">Multi-city agglomerations are those cities that by definition, span multiple </w:t>
      </w:r>
      <w:r w:rsidR="00BC520A">
        <w:rPr>
          <w:rFonts w:ascii="Garamond" w:hAnsi="Garamond"/>
          <w:color w:val="000000"/>
          <w14:textFill>
            <w14:solidFill>
              <w14:srgbClr w14:val="000000">
                <w14:alpha w14:val="5000"/>
              </w14:srgbClr>
            </w14:solidFill>
          </w14:textFill>
        </w:rPr>
        <w:t>“cities”</w:t>
      </w:r>
      <w:r w:rsidR="00DC4845" w:rsidRPr="00DC4845">
        <w:rPr>
          <w:rFonts w:ascii="Garamond" w:hAnsi="Garamond"/>
          <w:color w:val="000000"/>
          <w14:textFill>
            <w14:solidFill>
              <w14:srgbClr w14:val="000000">
                <w14:alpha w14:val="5000"/>
              </w14:srgbClr>
            </w14:solidFill>
          </w14:textFill>
        </w:rPr>
        <w:t>.</w:t>
      </w:r>
      <w:r w:rsidR="006F7B50">
        <w:rPr>
          <w:rStyle w:val="FootnoteReference"/>
          <w:rFonts w:ascii="Garamond" w:hAnsi="Garamond"/>
          <w:color w:val="000000"/>
          <w14:textFill>
            <w14:solidFill>
              <w14:srgbClr w14:val="000000">
                <w14:alpha w14:val="5000"/>
              </w14:srgbClr>
            </w14:solidFill>
          </w14:textFill>
        </w:rPr>
        <w:footnoteReference w:id="17"/>
      </w:r>
      <w:r w:rsidR="006F7B50">
        <w:rPr>
          <w:rFonts w:ascii="Garamond" w:hAnsi="Garamond"/>
          <w:color w:val="000000"/>
          <w14:textFill>
            <w14:solidFill>
              <w14:srgbClr w14:val="000000">
                <w14:alpha w14:val="5000"/>
              </w14:srgbClr>
            </w14:solidFill>
          </w14:textFill>
        </w:rPr>
        <w:t xml:space="preserve"> </w:t>
      </w:r>
      <w:r w:rsidR="00242171" w:rsidRPr="005F40DE">
        <w:rPr>
          <w:rFonts w:ascii="Garamond" w:hAnsi="Garamond"/>
          <w:color w:val="000000"/>
          <w14:textFill>
            <w14:solidFill>
              <w14:srgbClr w14:val="000000">
                <w14:alpha w14:val="5000"/>
              </w14:srgbClr>
            </w14:solidFill>
          </w14:textFill>
        </w:rPr>
        <w:t xml:space="preserve">About 40 percent of LAC’s urban population resides in MCAs, compared with a third of the world’s urban population. </w:t>
      </w:r>
      <w:r w:rsidR="00DC25E8">
        <w:rPr>
          <w:rFonts w:ascii="Garamond" w:hAnsi="Garamond"/>
          <w:color w:val="000000"/>
          <w14:textFill>
            <w14:solidFill>
              <w14:srgbClr w14:val="000000">
                <w14:alpha w14:val="5000"/>
              </w14:srgbClr>
            </w14:solidFill>
          </w14:textFill>
        </w:rPr>
        <w:t>O</w:t>
      </w:r>
      <w:r w:rsidR="00242171" w:rsidRPr="005F40DE">
        <w:rPr>
          <w:rFonts w:ascii="Garamond" w:hAnsi="Garamond"/>
          <w:color w:val="000000"/>
          <w14:textFill>
            <w14:solidFill>
              <w14:srgbClr w14:val="000000">
                <w14:alpha w14:val="5000"/>
              </w14:srgbClr>
            </w14:solidFill>
          </w14:textFill>
        </w:rPr>
        <w:t xml:space="preserve">ne half (27 out of 54) of LAC’s MCAs are in two countries: Brazil (19) and Mexico (8). </w:t>
      </w:r>
      <w:r w:rsidR="00242171">
        <w:rPr>
          <w:rFonts w:ascii="Garamond" w:hAnsi="Garamond"/>
          <w:color w:val="000000"/>
          <w14:textFill>
            <w14:solidFill>
              <w14:srgbClr w14:val="000000">
                <w14:alpha w14:val="5000"/>
              </w14:srgbClr>
            </w14:solidFill>
          </w14:textFill>
        </w:rPr>
        <w:t xml:space="preserve">The largest Brazilian cities are MCAs. </w:t>
      </w:r>
      <w:r w:rsidR="00242171" w:rsidRPr="005F40DE">
        <w:rPr>
          <w:rFonts w:ascii="Garamond" w:hAnsi="Garamond"/>
          <w:color w:val="000000"/>
          <w14:textFill>
            <w14:solidFill>
              <w14:srgbClr w14:val="000000">
                <w14:alpha w14:val="5000"/>
              </w14:srgbClr>
            </w14:solidFill>
          </w14:textFill>
        </w:rPr>
        <w:t xml:space="preserve">For </w:t>
      </w:r>
      <w:r w:rsidR="00242171" w:rsidRPr="00B919E7">
        <w:rPr>
          <w:rFonts w:ascii="Garamond" w:hAnsi="Garamond"/>
          <w:color w:val="000000"/>
          <w14:textFill>
            <w14:solidFill>
              <w14:srgbClr w14:val="000000">
                <w14:alpha w14:val="5000"/>
              </w14:srgbClr>
            </w14:solidFill>
          </w14:textFill>
        </w:rPr>
        <w:t xml:space="preserve">instance, Sao Paulo has </w:t>
      </w:r>
      <w:r w:rsidR="00242171" w:rsidRPr="00327E4E">
        <w:rPr>
          <w:rFonts w:ascii="Garamond" w:hAnsi="Garamond"/>
          <w:i/>
          <w:color w:val="000000"/>
          <w14:textFill>
            <w14:solidFill>
              <w14:srgbClr w14:val="000000">
                <w14:alpha w14:val="5000"/>
              </w14:srgbClr>
            </w14:solidFill>
          </w14:textFill>
        </w:rPr>
        <w:t>3</w:t>
      </w:r>
      <w:r w:rsidR="00B919E7" w:rsidRPr="00327E4E">
        <w:rPr>
          <w:rFonts w:ascii="Garamond" w:hAnsi="Garamond"/>
          <w:i/>
          <w:color w:val="000000"/>
          <w14:textFill>
            <w14:solidFill>
              <w14:srgbClr w14:val="000000">
                <w14:alpha w14:val="5000"/>
              </w14:srgbClr>
            </w14:solidFill>
          </w14:textFill>
        </w:rPr>
        <w:t>9</w:t>
      </w:r>
      <w:r w:rsidR="00242171" w:rsidRPr="00B919E7">
        <w:rPr>
          <w:rFonts w:ascii="Garamond" w:hAnsi="Garamond"/>
          <w:color w:val="000000"/>
          <w14:textFill>
            <w14:solidFill>
              <w14:srgbClr w14:val="000000">
                <w14:alpha w14:val="5000"/>
              </w14:srgbClr>
            </w14:solidFill>
          </w14:textFill>
        </w:rPr>
        <w:t xml:space="preserve"> </w:t>
      </w:r>
      <w:r w:rsidR="006F7B50">
        <w:rPr>
          <w:rFonts w:ascii="Garamond" w:hAnsi="Garamond"/>
          <w:i/>
          <w:color w:val="000000"/>
          <w14:textFill>
            <w14:solidFill>
              <w14:srgbClr w14:val="000000">
                <w14:alpha w14:val="5000"/>
              </w14:srgbClr>
            </w14:solidFill>
          </w14:textFill>
        </w:rPr>
        <w:t>urban areas</w:t>
      </w:r>
      <w:r w:rsidR="00242171">
        <w:rPr>
          <w:rFonts w:ascii="Garamond" w:hAnsi="Garamond"/>
          <w:color w:val="000000"/>
          <w14:textFill>
            <w14:solidFill>
              <w14:srgbClr w14:val="000000">
                <w14:alpha w14:val="5000"/>
              </w14:srgbClr>
            </w14:solidFill>
          </w14:textFill>
        </w:rPr>
        <w:t xml:space="preserve"> </w:t>
      </w:r>
      <w:r w:rsidR="00314CC1">
        <w:rPr>
          <w:rFonts w:ascii="Garamond" w:hAnsi="Garamond"/>
          <w:color w:val="000000"/>
          <w14:textFill>
            <w14:solidFill>
              <w14:srgbClr w14:val="000000">
                <w14:alpha w14:val="5000"/>
              </w14:srgbClr>
            </w14:solidFill>
          </w14:textFill>
        </w:rPr>
        <w:t xml:space="preserve">and </w:t>
      </w:r>
      <w:r w:rsidR="00314CC1" w:rsidRPr="00314CC1">
        <w:rPr>
          <w:rFonts w:ascii="Garamond" w:hAnsi="Garamond"/>
          <w:color w:val="000000"/>
          <w14:textFill>
            <w14:solidFill>
              <w14:srgbClr w14:val="000000">
                <w14:alpha w14:val="5000"/>
              </w14:srgbClr>
            </w14:solidFill>
          </w14:textFill>
        </w:rPr>
        <w:t>the boundaries of the city as officially defined (i.e. the yellow boundary) differ quite radically from those o</w:t>
      </w:r>
      <w:r w:rsidR="00314CC1">
        <w:rPr>
          <w:rFonts w:ascii="Garamond" w:hAnsi="Garamond"/>
          <w:color w:val="000000"/>
          <w14:textFill>
            <w14:solidFill>
              <w14:srgbClr w14:val="000000">
                <w14:alpha w14:val="5000"/>
              </w14:srgbClr>
            </w14:solidFill>
          </w14:textFill>
        </w:rPr>
        <w:t>f the “true” extent of the city</w:t>
      </w:r>
      <w:r w:rsidR="00314CC1" w:rsidRPr="00314CC1">
        <w:rPr>
          <w:rFonts w:ascii="Garamond" w:hAnsi="Garamond"/>
          <w:color w:val="000000"/>
          <w14:textFill>
            <w14:solidFill>
              <w14:srgbClr w14:val="000000">
                <w14:alpha w14:val="5000"/>
              </w14:srgbClr>
            </w14:solidFill>
          </w14:textFill>
        </w:rPr>
        <w:t xml:space="preserve"> </w:t>
      </w:r>
      <w:r w:rsidR="00242171">
        <w:rPr>
          <w:rFonts w:ascii="Garamond" w:hAnsi="Garamond"/>
          <w:color w:val="000000"/>
          <w14:textFill>
            <w14:solidFill>
              <w14:srgbClr w14:val="000000">
                <w14:alpha w14:val="5000"/>
              </w14:srgbClr>
            </w14:solidFill>
          </w14:textFill>
        </w:rPr>
        <w:t xml:space="preserve">(Figure </w:t>
      </w:r>
      <w:r w:rsidR="00314CC1">
        <w:rPr>
          <w:rFonts w:ascii="Garamond" w:hAnsi="Garamond"/>
          <w:color w:val="000000"/>
          <w14:textFill>
            <w14:solidFill>
              <w14:srgbClr w14:val="000000">
                <w14:alpha w14:val="5000"/>
              </w14:srgbClr>
            </w14:solidFill>
          </w14:textFill>
        </w:rPr>
        <w:t>8</w:t>
      </w:r>
      <w:r w:rsidR="00242171">
        <w:rPr>
          <w:rFonts w:ascii="Garamond" w:hAnsi="Garamond"/>
          <w:color w:val="000000"/>
          <w14:textFill>
            <w14:solidFill>
              <w14:srgbClr w14:val="000000">
                <w14:alpha w14:val="5000"/>
              </w14:srgbClr>
            </w14:solidFill>
          </w14:textFill>
        </w:rPr>
        <w:t>)</w:t>
      </w:r>
      <w:r w:rsidR="00242171" w:rsidRPr="005F40DE">
        <w:rPr>
          <w:rFonts w:ascii="Garamond" w:hAnsi="Garamond"/>
          <w:color w:val="000000"/>
          <w14:textFill>
            <w14:solidFill>
              <w14:srgbClr w14:val="000000">
                <w14:alpha w14:val="5000"/>
              </w14:srgbClr>
            </w14:solidFill>
          </w14:textFill>
        </w:rPr>
        <w:t xml:space="preserve">. </w:t>
      </w:r>
      <w:r w:rsidR="006F7B50">
        <w:rPr>
          <w:rFonts w:ascii="Garamond" w:hAnsi="Garamond"/>
          <w:color w:val="000000"/>
          <w14:textFill>
            <w14:solidFill>
              <w14:srgbClr w14:val="000000">
                <w14:alpha w14:val="5000"/>
              </w14:srgbClr>
            </w14:solidFill>
          </w14:textFill>
        </w:rPr>
        <w:t>Even more cities face institutional fragmentation</w:t>
      </w:r>
      <w:r w:rsidR="006F7B50">
        <w:rPr>
          <w:rStyle w:val="FootnoteReference"/>
          <w:rFonts w:ascii="Garamond" w:hAnsi="Garamond"/>
          <w:color w:val="000000"/>
          <w14:textFill>
            <w14:solidFill>
              <w14:srgbClr w14:val="000000">
                <w14:alpha w14:val="5000"/>
              </w14:srgbClr>
            </w14:solidFill>
          </w14:textFill>
        </w:rPr>
        <w:footnoteReference w:id="18"/>
      </w:r>
      <w:r w:rsidR="006F7B50">
        <w:rPr>
          <w:rFonts w:ascii="Garamond" w:hAnsi="Garamond"/>
          <w:color w:val="000000"/>
          <w14:textFill>
            <w14:solidFill>
              <w14:srgbClr w14:val="000000">
                <w14:alpha w14:val="5000"/>
              </w14:srgbClr>
            </w14:solidFill>
          </w14:textFill>
        </w:rPr>
        <w:t xml:space="preserve">, 28 </w:t>
      </w:r>
      <w:r w:rsidR="00663086">
        <w:rPr>
          <w:rFonts w:ascii="Garamond" w:hAnsi="Garamond"/>
          <w:color w:val="000000"/>
          <w14:textFill>
            <w14:solidFill>
              <w14:srgbClr w14:val="000000">
                <w14:alpha w14:val="5000"/>
              </w14:srgbClr>
            </w14:solidFill>
          </w14:textFill>
        </w:rPr>
        <w:t xml:space="preserve">Brazilian cities encompass more than 1 administrative unit, with the average encompassing 17. </w:t>
      </w:r>
      <w:r w:rsidR="004D6935" w:rsidRPr="004D6935">
        <w:rPr>
          <w:rFonts w:ascii="Garamond" w:hAnsi="Garamond"/>
          <w:color w:val="000000"/>
          <w14:textFill>
            <w14:solidFill>
              <w14:srgbClr w14:val="000000">
                <w14:alpha w14:val="5000"/>
              </w14:srgbClr>
            </w14:solidFill>
          </w14:textFill>
        </w:rPr>
        <w:t>With progressive interaction of different metrop</w:t>
      </w:r>
      <w:r w:rsidR="004D6935">
        <w:rPr>
          <w:rFonts w:ascii="Garamond" w:hAnsi="Garamond"/>
          <w:color w:val="000000"/>
          <w14:textFill>
            <w14:solidFill>
              <w14:srgbClr w14:val="000000">
                <w14:alpha w14:val="5000"/>
              </w14:srgbClr>
            </w14:solidFill>
          </w14:textFill>
        </w:rPr>
        <w:t>olitan areas and smaller</w:t>
      </w:r>
      <w:r w:rsidR="00544108">
        <w:rPr>
          <w:rFonts w:ascii="Garamond" w:hAnsi="Garamond"/>
          <w:color w:val="000000"/>
          <w14:textFill>
            <w14:solidFill>
              <w14:srgbClr w14:val="000000">
                <w14:alpha w14:val="5000"/>
              </w14:srgbClr>
            </w14:solidFill>
          </w14:textFill>
        </w:rPr>
        <w:t xml:space="preserve"> cities</w:t>
      </w:r>
      <w:r w:rsidR="004D6935">
        <w:rPr>
          <w:rFonts w:ascii="Garamond" w:hAnsi="Garamond"/>
          <w:color w:val="000000"/>
          <w14:textFill>
            <w14:solidFill>
              <w14:srgbClr w14:val="000000">
                <w14:alpha w14:val="5000"/>
              </w14:srgbClr>
            </w14:solidFill>
          </w14:textFill>
        </w:rPr>
        <w:t xml:space="preserve"> nearby, </w:t>
      </w:r>
      <w:r w:rsidR="004D6935" w:rsidRPr="004D6935">
        <w:rPr>
          <w:rFonts w:ascii="Garamond" w:hAnsi="Garamond"/>
          <w:color w:val="000000"/>
          <w14:textFill>
            <w14:solidFill>
              <w14:srgbClr w14:val="000000">
                <w14:alpha w14:val="5000"/>
              </w14:srgbClr>
            </w14:solidFill>
          </w14:textFill>
        </w:rPr>
        <w:t xml:space="preserve">urban mega-regions are emerging. An example of such a mega-region is the urban system formed by the metropolitan areas of São Paulo, Campinas and Baixada Santista, an area with 26 million inhabitants and which has become the main economic, financial and industrial center in the country (UN-Habitat 2012, 2014). </w:t>
      </w:r>
      <w:r w:rsidR="00242171" w:rsidRPr="005F40DE">
        <w:rPr>
          <w:rFonts w:ascii="Garamond" w:hAnsi="Garamond"/>
          <w:color w:val="000000"/>
          <w14:textFill>
            <w14:solidFill>
              <w14:srgbClr w14:val="000000">
                <w14:alpha w14:val="5000"/>
              </w14:srgbClr>
            </w14:solidFill>
          </w14:textFill>
        </w:rPr>
        <w:t xml:space="preserve">Shortcomings of MCAs </w:t>
      </w:r>
      <w:r w:rsidR="00663086">
        <w:rPr>
          <w:rFonts w:ascii="Garamond" w:hAnsi="Garamond"/>
          <w:color w:val="000000"/>
          <w14:textFill>
            <w14:solidFill>
              <w14:srgbClr w14:val="000000">
                <w14:alpha w14:val="5000"/>
              </w14:srgbClr>
            </w14:solidFill>
          </w14:textFill>
        </w:rPr>
        <w:t xml:space="preserve">and institutionally fragmented cities </w:t>
      </w:r>
      <w:r w:rsidR="00242171" w:rsidRPr="005F40DE">
        <w:rPr>
          <w:rFonts w:ascii="Garamond" w:hAnsi="Garamond"/>
          <w:color w:val="000000"/>
          <w14:textFill>
            <w14:solidFill>
              <w14:srgbClr w14:val="000000">
                <w14:alpha w14:val="5000"/>
              </w14:srgbClr>
            </w14:solidFill>
          </w14:textFill>
        </w:rPr>
        <w:t xml:space="preserve">arise when their local jurisdictions fail to coordinate governance and the provision of public goods and services. Although the association between </w:t>
      </w:r>
      <w:r w:rsidR="00DC25E8">
        <w:rPr>
          <w:rFonts w:ascii="Garamond" w:hAnsi="Garamond"/>
          <w:color w:val="000000"/>
          <w14:textFill>
            <w14:solidFill>
              <w14:srgbClr w14:val="000000">
                <w14:alpha w14:val="5000"/>
              </w14:srgbClr>
            </w14:solidFill>
          </w14:textFill>
        </w:rPr>
        <w:t xml:space="preserve">a </w:t>
      </w:r>
      <w:r w:rsidR="00242171" w:rsidRPr="005F40DE">
        <w:rPr>
          <w:rFonts w:ascii="Garamond" w:hAnsi="Garamond"/>
          <w:color w:val="000000"/>
          <w14:textFill>
            <w14:solidFill>
              <w14:srgbClr w14:val="000000">
                <w14:alpha w14:val="5000"/>
              </w14:srgbClr>
            </w14:solidFill>
          </w14:textFill>
        </w:rPr>
        <w:t>country</w:t>
      </w:r>
      <w:r w:rsidR="00DC25E8">
        <w:rPr>
          <w:rFonts w:ascii="Garamond" w:hAnsi="Garamond"/>
          <w:color w:val="000000"/>
          <w14:textFill>
            <w14:solidFill>
              <w14:srgbClr w14:val="000000">
                <w14:alpha w14:val="5000"/>
              </w14:srgbClr>
            </w14:solidFill>
          </w14:textFill>
        </w:rPr>
        <w:t>’s</w:t>
      </w:r>
      <w:r w:rsidR="00242171" w:rsidRPr="005F40DE">
        <w:rPr>
          <w:rFonts w:ascii="Garamond" w:hAnsi="Garamond"/>
          <w:color w:val="000000"/>
          <w14:textFill>
            <w14:solidFill>
              <w14:srgbClr w14:val="000000">
                <w14:alpha w14:val="5000"/>
              </w14:srgbClr>
            </w14:solidFill>
          </w14:textFill>
        </w:rPr>
        <w:t xml:space="preserve"> productivity (measured by log GDP per capita) and </w:t>
      </w:r>
      <w:r w:rsidR="00DC25E8">
        <w:rPr>
          <w:rFonts w:ascii="Garamond" w:hAnsi="Garamond"/>
          <w:color w:val="000000"/>
          <w14:textFill>
            <w14:solidFill>
              <w14:srgbClr w14:val="000000">
                <w14:alpha w14:val="5000"/>
              </w14:srgbClr>
            </w14:solidFill>
          </w14:textFill>
        </w:rPr>
        <w:t>its</w:t>
      </w:r>
      <w:r w:rsidR="00242171" w:rsidRPr="005F40DE">
        <w:rPr>
          <w:rFonts w:ascii="Garamond" w:hAnsi="Garamond"/>
          <w:color w:val="000000"/>
          <w14:textFill>
            <w14:solidFill>
              <w14:srgbClr w14:val="000000">
                <w14:alpha w14:val="5000"/>
              </w14:srgbClr>
            </w14:solidFill>
          </w14:textFill>
        </w:rPr>
        <w:t xml:space="preserve"> share of a country’s population that lives in MCAs is positive in North American and Western European countries, it is virtually zero in LAC, suggesting that </w:t>
      </w:r>
      <w:r w:rsidR="00242171">
        <w:rPr>
          <w:rFonts w:ascii="Garamond" w:hAnsi="Garamond"/>
          <w:color w:val="000000"/>
          <w14:textFill>
            <w14:solidFill>
              <w14:srgbClr w14:val="000000">
                <w14:alpha w14:val="5000"/>
              </w14:srgbClr>
            </w14:solidFill>
          </w14:textFill>
        </w:rPr>
        <w:t>they</w:t>
      </w:r>
      <w:r w:rsidR="00242171" w:rsidRPr="005F40DE">
        <w:rPr>
          <w:rFonts w:ascii="Garamond" w:hAnsi="Garamond"/>
          <w:color w:val="000000"/>
          <w14:textFill>
            <w14:solidFill>
              <w14:srgbClr w14:val="000000">
                <w14:alpha w14:val="5000"/>
              </w14:srgbClr>
            </w14:solidFill>
          </w14:textFill>
        </w:rPr>
        <w:t xml:space="preserve"> may not handle effectively the difficult </w:t>
      </w:r>
      <w:r w:rsidR="00242171" w:rsidRPr="005F40DE">
        <w:rPr>
          <w:rFonts w:ascii="Garamond" w:hAnsi="Garamond"/>
          <w:color w:val="000000"/>
          <w14:textFill>
            <w14:solidFill>
              <w14:srgbClr w14:val="000000">
                <w14:alpha w14:val="5000"/>
              </w14:srgbClr>
            </w14:solidFill>
          </w14:textFill>
        </w:rPr>
        <w:lastRenderedPageBreak/>
        <w:t>coordination challenges.</w:t>
      </w:r>
      <w:r w:rsidR="00B919E7">
        <w:rPr>
          <w:rFonts w:ascii="Garamond" w:hAnsi="Garamond"/>
          <w:color w:val="000000"/>
          <w14:textFill>
            <w14:solidFill>
              <w14:srgbClr w14:val="000000">
                <w14:alpha w14:val="5000"/>
              </w14:srgbClr>
            </w14:solidFill>
          </w14:textFill>
        </w:rPr>
        <w:t xml:space="preserve"> Further, there is </w:t>
      </w:r>
      <w:r w:rsidR="0009003A" w:rsidRPr="00EA0729">
        <w:rPr>
          <w:rFonts w:ascii="Garamond" w:hAnsi="Garamond"/>
          <w:color w:val="000000"/>
          <w14:textFill>
            <w14:solidFill>
              <w14:srgbClr w14:val="000000">
                <w14:alpha w14:val="5000"/>
              </w14:srgbClr>
            </w14:solidFill>
          </w14:textFill>
        </w:rPr>
        <w:t>no evidence that the presence of a governance body at the metropolitan level mitigates the negative effects of fragmentation</w:t>
      </w:r>
      <w:r w:rsidR="00B919E7">
        <w:rPr>
          <w:rFonts w:ascii="Garamond" w:hAnsi="Garamond"/>
          <w:color w:val="000000"/>
          <w14:textFill>
            <w14:solidFill>
              <w14:srgbClr w14:val="000000">
                <w14:alpha w14:val="5000"/>
              </w14:srgbClr>
            </w14:solidFill>
          </w14:textFill>
        </w:rPr>
        <w:t>.</w:t>
      </w:r>
      <w:r w:rsidR="0009003A" w:rsidRPr="00EA0729">
        <w:rPr>
          <w:rFonts w:ascii="Cambria" w:hAnsi="Cambria" w:cs="Cambria"/>
          <w:color w:val="000000"/>
        </w:rPr>
        <w:t xml:space="preserve"> </w:t>
      </w:r>
    </w:p>
    <w:bookmarkEnd w:id="16"/>
    <w:p w14:paraId="0CB85E55" w14:textId="6405BC70" w:rsidR="000A297A" w:rsidRPr="00A450FF" w:rsidRDefault="000A297A" w:rsidP="00DE6DBD">
      <w:pPr>
        <w:pStyle w:val="Title1"/>
        <w:spacing w:after="120"/>
        <w:jc w:val="center"/>
        <w:rPr>
          <w:rFonts w:ascii="Garamond" w:hAnsi="Garamond"/>
          <w:sz w:val="20"/>
          <w:lang w:val="it-IT"/>
        </w:rPr>
      </w:pPr>
      <w:r w:rsidRPr="00A450FF">
        <w:rPr>
          <w:rFonts w:ascii="Garamond" w:hAnsi="Garamond"/>
          <w:sz w:val="20"/>
          <w:lang w:val="it-IT"/>
        </w:rPr>
        <w:t xml:space="preserve">Figure </w:t>
      </w:r>
      <w:r w:rsidR="002C00F6" w:rsidRPr="00A450FF">
        <w:rPr>
          <w:rFonts w:ascii="Garamond" w:hAnsi="Garamond"/>
          <w:sz w:val="20"/>
          <w:lang w:val="it-IT"/>
        </w:rPr>
        <w:t>7</w:t>
      </w:r>
      <w:r w:rsidRPr="00A450FF">
        <w:rPr>
          <w:rFonts w:ascii="Garamond" w:hAnsi="Garamond"/>
          <w:sz w:val="20"/>
          <w:lang w:val="it-IT"/>
        </w:rPr>
        <w:t>. MCAs in Sao Paulo, Brazil.</w:t>
      </w:r>
    </w:p>
    <w:p w14:paraId="01DB04B3" w14:textId="385AC15A" w:rsidR="0009003A" w:rsidRDefault="0009003A" w:rsidP="00DE6DBD">
      <w:pPr>
        <w:pStyle w:val="Title1"/>
        <w:spacing w:after="120"/>
        <w:jc w:val="center"/>
        <w:rPr>
          <w:rFonts w:ascii="Garamond" w:hAnsi="Garamond"/>
          <w:b w:val="0"/>
          <w:color w:val="000000"/>
          <w14:textFill>
            <w14:solidFill>
              <w14:srgbClr w14:val="000000">
                <w14:alpha w14:val="5000"/>
              </w14:srgbClr>
            </w14:solidFill>
          </w14:textFill>
        </w:rPr>
      </w:pPr>
      <w:r w:rsidRPr="000D2CE1">
        <w:rPr>
          <w:rFonts w:ascii="Garamond" w:hAnsi="Garamond"/>
          <w:b w:val="0"/>
          <w:noProof/>
          <w:color w:val="000000"/>
          <w14:textFill>
            <w14:solidFill>
              <w14:srgbClr w14:val="000000">
                <w14:alpha w14:val="5000"/>
              </w14:srgbClr>
            </w14:solidFill>
          </w14:textFill>
        </w:rPr>
        <w:drawing>
          <wp:inline distT="0" distB="0" distL="0" distR="0" wp14:anchorId="32941D7B" wp14:editId="018C0CD7">
            <wp:extent cx="3372595" cy="29958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26110" t="29296" r="38637" b="247"/>
                    <a:stretch/>
                  </pic:blipFill>
                  <pic:spPr bwMode="auto">
                    <a:xfrm>
                      <a:off x="0" y="0"/>
                      <a:ext cx="3388758" cy="3010200"/>
                    </a:xfrm>
                    <a:prstGeom prst="rect">
                      <a:avLst/>
                    </a:prstGeom>
                    <a:noFill/>
                    <a:ln>
                      <a:noFill/>
                    </a:ln>
                    <a:extLst>
                      <a:ext uri="{53640926-AAD7-44D8-BBD7-CCE9431645EC}">
                        <a14:shadowObscured xmlns:a14="http://schemas.microsoft.com/office/drawing/2010/main"/>
                      </a:ext>
                    </a:extLst>
                  </pic:spPr>
                </pic:pic>
              </a:graphicData>
            </a:graphic>
          </wp:inline>
        </w:drawing>
      </w:r>
    </w:p>
    <w:p w14:paraId="3B5BFFB5" w14:textId="4ADAB8BE" w:rsidR="0009003A" w:rsidRPr="00DF6C41" w:rsidRDefault="000A297A" w:rsidP="00DF6C41">
      <w:pPr>
        <w:pStyle w:val="footnotefigure"/>
        <w:ind w:left="540" w:right="810"/>
        <w:rPr>
          <w:rFonts w:ascii="Garamond" w:hAnsi="Garamond"/>
        </w:rPr>
      </w:pPr>
      <w:r w:rsidRPr="00DF6C41">
        <w:rPr>
          <w:rFonts w:ascii="Garamond" w:hAnsi="Garamond"/>
        </w:rPr>
        <w:t>Source: World Bank using Geographic Information Systems (GIS) software and administrative boundary data from the LAC Geospatial Database (Branson et al., 2016).</w:t>
      </w:r>
      <w:r w:rsidR="00DF6C41">
        <w:rPr>
          <w:rFonts w:ascii="Garamond" w:hAnsi="Garamond"/>
        </w:rPr>
        <w:t xml:space="preserve"> </w:t>
      </w:r>
      <w:r w:rsidRPr="00DF6C41">
        <w:rPr>
          <w:rFonts w:ascii="Garamond" w:hAnsi="Garamond"/>
        </w:rPr>
        <w:t>Note: in the maps, the red areas correspond to urban areas as defined using the cluster algorithm of Dijkstra and Poelman (2014), as applied to Landscan-2012 gridded population data. The yellow lines represent sub-national administrative boundaries at the Admin-2 (i.e. municipality) level that belong to a city as officially defined, while the blue lines represent the boundaries of Admin-2 areas that intersect with the urban area, but which do not belong to the officially defined city.</w:t>
      </w:r>
    </w:p>
    <w:p w14:paraId="536D94E0" w14:textId="77777777" w:rsidR="0009003A" w:rsidRDefault="0009003A" w:rsidP="00DE6DBD">
      <w:pPr>
        <w:spacing w:after="0" w:line="240" w:lineRule="auto"/>
        <w:jc w:val="both"/>
        <w:rPr>
          <w:rFonts w:ascii="Garamond" w:hAnsi="Garamond"/>
          <w:b/>
          <w:color w:val="000000"/>
          <w14:textFill>
            <w14:solidFill>
              <w14:srgbClr w14:val="000000">
                <w14:alpha w14:val="5000"/>
              </w14:srgbClr>
            </w14:solidFill>
          </w14:textFill>
        </w:rPr>
      </w:pPr>
    </w:p>
    <w:p w14:paraId="58C4CC98" w14:textId="3C0FA426" w:rsidR="009A5EEE" w:rsidRDefault="00AB624E" w:rsidP="006F5F4A">
      <w:pPr>
        <w:spacing w:after="0" w:line="240" w:lineRule="auto"/>
        <w:jc w:val="both"/>
        <w:rPr>
          <w:rFonts w:ascii="Garamond" w:hAnsi="Garamond"/>
          <w:color w:val="000000"/>
          <w14:textFill>
            <w14:solidFill>
              <w14:srgbClr w14:val="000000">
                <w14:alpha w14:val="5000"/>
              </w14:srgbClr>
            </w14:solidFill>
          </w14:textFill>
        </w:rPr>
      </w:pPr>
      <w:r>
        <w:rPr>
          <w:rFonts w:ascii="Garamond" w:hAnsi="Garamond"/>
          <w:b/>
          <w:color w:val="000000"/>
          <w14:textFill>
            <w14:solidFill>
              <w14:srgbClr w14:val="000000">
                <w14:alpha w14:val="5000"/>
              </w14:srgbClr>
            </w14:solidFill>
          </w14:textFill>
        </w:rPr>
        <w:t xml:space="preserve">Other </w:t>
      </w:r>
      <w:r>
        <w:rPr>
          <w:rFonts w:ascii="Garamond" w:hAnsi="Garamond"/>
          <w:b/>
          <w:i/>
          <w:color w:val="000000"/>
          <w14:textFill>
            <w14:solidFill>
              <w14:srgbClr w14:val="000000">
                <w14:alpha w14:val="5000"/>
              </w14:srgbClr>
            </w14:solidFill>
          </w14:textFill>
        </w:rPr>
        <w:t>demons of density</w:t>
      </w:r>
      <w:r w:rsidR="00803FE9">
        <w:rPr>
          <w:rStyle w:val="FootnoteReference"/>
          <w:rFonts w:ascii="Garamond" w:hAnsi="Garamond"/>
          <w:b/>
          <w:i/>
          <w:color w:val="000000"/>
          <w14:textFill>
            <w14:solidFill>
              <w14:srgbClr w14:val="000000">
                <w14:alpha w14:val="5000"/>
              </w14:srgbClr>
            </w14:solidFill>
          </w14:textFill>
        </w:rPr>
        <w:footnoteReference w:id="19"/>
      </w:r>
      <w:r>
        <w:rPr>
          <w:rFonts w:ascii="Garamond" w:hAnsi="Garamond"/>
          <w:b/>
          <w:color w:val="000000"/>
          <w14:textFill>
            <w14:solidFill>
              <w14:srgbClr w14:val="000000">
                <w14:alpha w14:val="5000"/>
              </w14:srgbClr>
            </w14:solidFill>
          </w14:textFill>
        </w:rPr>
        <w:t xml:space="preserve"> may weaken agglomeration forces in Brazilian cities: crime. </w:t>
      </w:r>
      <w:r w:rsidRPr="00AB624E">
        <w:rPr>
          <w:rFonts w:ascii="Garamond" w:hAnsi="Garamond"/>
          <w:color w:val="000000"/>
          <w14:textFill>
            <w14:solidFill>
              <w14:srgbClr w14:val="000000">
                <w14:alpha w14:val="5000"/>
              </w14:srgbClr>
            </w14:solidFill>
          </w14:textFill>
        </w:rPr>
        <w:t xml:space="preserve">Congestion effects in the form of crime might also be aggravated by little basic protection from theft, kidnapping, and other criminal activity. </w:t>
      </w:r>
      <w:r w:rsidR="00314CC1">
        <w:rPr>
          <w:rFonts w:ascii="Garamond" w:hAnsi="Garamond"/>
          <w:color w:val="000000"/>
          <w14:textFill>
            <w14:solidFill>
              <w14:srgbClr w14:val="000000">
                <w14:alpha w14:val="5000"/>
              </w14:srgbClr>
            </w14:solidFill>
          </w14:textFill>
        </w:rPr>
        <w:t xml:space="preserve">High levels of inequalities within cities driven by skill sorting may also fuel social discontent. </w:t>
      </w:r>
      <w:r w:rsidRPr="00AB624E">
        <w:rPr>
          <w:rFonts w:ascii="Garamond" w:hAnsi="Garamond"/>
          <w:color w:val="000000"/>
          <w14:textFill>
            <w14:solidFill>
              <w14:srgbClr w14:val="000000">
                <w14:alpha w14:val="5000"/>
              </w14:srgbClr>
            </w14:solidFill>
          </w14:textFill>
        </w:rPr>
        <w:t>Across the world, labor productivity and firm total factor productivity (TFP) are indeed lower in cities with higher private security costs, perhaps because firms must pay for private security to fill the void left by local police. Similarly, people may be unwilling to move to a city where they would be more productive because of its high crime rate</w:t>
      </w:r>
      <w:r w:rsidR="00B66C9C">
        <w:rPr>
          <w:rFonts w:ascii="Garamond" w:hAnsi="Garamond"/>
          <w:color w:val="000000"/>
          <w14:textFill>
            <w14:solidFill>
              <w14:srgbClr w14:val="000000">
                <w14:alpha w14:val="5000"/>
              </w14:srgbClr>
            </w14:solidFill>
          </w14:textFill>
        </w:rPr>
        <w:t>, especially if they cannot afford to “isolate” themselves from crime by living in, e.g., a gated community</w:t>
      </w:r>
      <w:r>
        <w:rPr>
          <w:rFonts w:ascii="Garamond" w:hAnsi="Garamond"/>
          <w:color w:val="000000"/>
          <w14:textFill>
            <w14:solidFill>
              <w14:srgbClr w14:val="000000">
                <w14:alpha w14:val="5000"/>
              </w14:srgbClr>
            </w14:solidFill>
          </w14:textFill>
        </w:rPr>
        <w:t xml:space="preserve">. </w:t>
      </w:r>
      <w:r w:rsidRPr="00AB624E">
        <w:rPr>
          <w:rFonts w:ascii="Garamond" w:hAnsi="Garamond"/>
          <w:color w:val="000000"/>
          <w14:textFill>
            <w14:solidFill>
              <w14:srgbClr w14:val="000000">
                <w14:alpha w14:val="5000"/>
              </w14:srgbClr>
            </w14:solidFill>
          </w14:textFill>
        </w:rPr>
        <w:t xml:space="preserve">According to data from the Brazilian think tank </w:t>
      </w:r>
      <w:r w:rsidRPr="00AB624E">
        <w:rPr>
          <w:rFonts w:ascii="Garamond" w:hAnsi="Garamond"/>
          <w:i/>
          <w:iCs/>
          <w:color w:val="000000"/>
          <w14:textFill>
            <w14:solidFill>
              <w14:srgbClr w14:val="000000">
                <w14:alpha w14:val="5000"/>
              </w14:srgbClr>
            </w14:solidFill>
          </w14:textFill>
        </w:rPr>
        <w:t>Igarapé Institute</w:t>
      </w:r>
      <w:r w:rsidRPr="00AB624E">
        <w:rPr>
          <w:rFonts w:ascii="Garamond" w:hAnsi="Garamond"/>
          <w:color w:val="000000"/>
          <w14:textFill>
            <w14:solidFill>
              <w14:srgbClr w14:val="000000">
                <w14:alpha w14:val="5000"/>
              </w14:srgbClr>
            </w14:solidFill>
          </w14:textFill>
        </w:rPr>
        <w:t>, LAC was, excluding war zones, home to 43 out of the 50 most murderous cities in the world in 2016, with San Salvador, the capital city of El Salvador, holding the distinction of being the global “murder capital” with 137 homicides per 100,000 inhabitants</w:t>
      </w:r>
      <w:r>
        <w:rPr>
          <w:rFonts w:ascii="Garamond" w:hAnsi="Garamond"/>
          <w:color w:val="000000"/>
          <w14:textFill>
            <w14:solidFill>
              <w14:srgbClr w14:val="000000">
                <w14:alpha w14:val="5000"/>
              </w14:srgbClr>
            </w14:solidFill>
          </w14:textFill>
        </w:rPr>
        <w:t xml:space="preserve">. </w:t>
      </w:r>
      <w:r w:rsidR="00526254">
        <w:rPr>
          <w:rFonts w:ascii="Garamond" w:hAnsi="Garamond"/>
          <w:color w:val="000000"/>
          <w14:textFill>
            <w14:solidFill>
              <w14:srgbClr w14:val="000000">
                <w14:alpha w14:val="5000"/>
              </w14:srgbClr>
            </w14:solidFill>
          </w14:textFill>
        </w:rPr>
        <w:t>Brazil is home to half of the cities in the ranking</w:t>
      </w:r>
      <w:r w:rsidR="009A5EEE">
        <w:rPr>
          <w:rFonts w:ascii="Garamond" w:hAnsi="Garamond"/>
          <w:color w:val="000000"/>
          <w14:textFill>
            <w14:solidFill>
              <w14:srgbClr w14:val="000000">
                <w14:alpha w14:val="5000"/>
              </w14:srgbClr>
            </w14:solidFill>
          </w14:textFill>
        </w:rPr>
        <w:t xml:space="preserve">; being the country with higher overall murders in 2015. </w:t>
      </w:r>
    </w:p>
    <w:p w14:paraId="018A5558" w14:textId="7FE45DE3" w:rsidR="009A5EEE" w:rsidRDefault="009A5EEE" w:rsidP="006F5F4A">
      <w:pPr>
        <w:spacing w:after="0" w:line="240" w:lineRule="auto"/>
        <w:jc w:val="both"/>
        <w:rPr>
          <w:rFonts w:ascii="Garamond" w:hAnsi="Garamond"/>
          <w:color w:val="000000"/>
          <w14:textFill>
            <w14:solidFill>
              <w14:srgbClr w14:val="000000">
                <w14:alpha w14:val="5000"/>
              </w14:srgbClr>
            </w14:solidFill>
          </w14:textFill>
        </w:rPr>
      </w:pPr>
    </w:p>
    <w:p w14:paraId="76F2C978" w14:textId="1FACEEBF" w:rsidR="00DF6C41" w:rsidRDefault="00DF6C41" w:rsidP="006F5F4A">
      <w:pPr>
        <w:spacing w:after="0" w:line="240" w:lineRule="auto"/>
        <w:jc w:val="both"/>
        <w:rPr>
          <w:rFonts w:ascii="Garamond" w:hAnsi="Garamond"/>
          <w:color w:val="000000"/>
          <w14:textFill>
            <w14:solidFill>
              <w14:srgbClr w14:val="000000">
                <w14:alpha w14:val="5000"/>
              </w14:srgbClr>
            </w14:solidFill>
          </w14:textFill>
        </w:rPr>
      </w:pPr>
    </w:p>
    <w:p w14:paraId="484FDB25" w14:textId="2BF173CE" w:rsidR="00DF6C41" w:rsidRDefault="00DF6C41" w:rsidP="006F5F4A">
      <w:pPr>
        <w:spacing w:after="0" w:line="240" w:lineRule="auto"/>
        <w:jc w:val="both"/>
        <w:rPr>
          <w:rFonts w:ascii="Garamond" w:hAnsi="Garamond"/>
          <w:color w:val="000000"/>
          <w14:textFill>
            <w14:solidFill>
              <w14:srgbClr w14:val="000000">
                <w14:alpha w14:val="5000"/>
              </w14:srgbClr>
            </w14:solidFill>
          </w14:textFill>
        </w:rPr>
      </w:pPr>
    </w:p>
    <w:p w14:paraId="68F4655F" w14:textId="61FD8FF6" w:rsidR="006F5F4A" w:rsidRDefault="006F5F4A" w:rsidP="006F5F4A">
      <w:pPr>
        <w:spacing w:after="0" w:line="240" w:lineRule="auto"/>
        <w:jc w:val="both"/>
        <w:rPr>
          <w:rFonts w:ascii="Garamond" w:hAnsi="Garamond"/>
          <w:color w:val="000000"/>
          <w14:textFill>
            <w14:solidFill>
              <w14:srgbClr w14:val="000000">
                <w14:alpha w14:val="5000"/>
              </w14:srgbClr>
            </w14:solidFill>
          </w14:textFill>
        </w:rPr>
      </w:pPr>
    </w:p>
    <w:p w14:paraId="5788BA9D" w14:textId="77777777" w:rsidR="006F5F4A" w:rsidRDefault="006F5F4A" w:rsidP="006F5F4A">
      <w:pPr>
        <w:spacing w:after="0" w:line="240" w:lineRule="auto"/>
        <w:jc w:val="both"/>
        <w:rPr>
          <w:rFonts w:ascii="Garamond" w:hAnsi="Garamond"/>
          <w:color w:val="000000"/>
          <w14:textFill>
            <w14:solidFill>
              <w14:srgbClr w14:val="000000">
                <w14:alpha w14:val="5000"/>
              </w14:srgbClr>
            </w14:solidFill>
          </w14:textFill>
        </w:rPr>
      </w:pPr>
    </w:p>
    <w:p w14:paraId="34437634" w14:textId="77777777" w:rsidR="0047060A" w:rsidRDefault="0047060A" w:rsidP="006F5F4A">
      <w:pPr>
        <w:spacing w:after="0" w:line="240" w:lineRule="auto"/>
        <w:jc w:val="both"/>
        <w:rPr>
          <w:rFonts w:ascii="Garamond" w:hAnsi="Garamond"/>
          <w:b/>
          <w:color w:val="000000"/>
          <w14:textFill>
            <w14:solidFill>
              <w14:srgbClr w14:val="000000">
                <w14:alpha w14:val="5000"/>
              </w14:srgbClr>
            </w14:solidFill>
          </w14:textFill>
        </w:rPr>
      </w:pPr>
    </w:p>
    <w:p w14:paraId="4ED15047" w14:textId="16B29F99" w:rsidR="006863A5" w:rsidRDefault="006863A5" w:rsidP="006F5F4A">
      <w:pPr>
        <w:spacing w:line="240" w:lineRule="auto"/>
        <w:jc w:val="both"/>
        <w:rPr>
          <w:rFonts w:ascii="Garamond" w:hAnsi="Garamond"/>
          <w:b/>
          <w:smallCaps/>
          <w:color w:val="C00000"/>
          <w:sz w:val="24"/>
        </w:rPr>
      </w:pPr>
      <w:r w:rsidRPr="00F215AC">
        <w:rPr>
          <w:rFonts w:ascii="Garamond" w:hAnsi="Garamond"/>
          <w:b/>
          <w:smallCaps/>
          <w:color w:val="C00000"/>
          <w:sz w:val="24"/>
        </w:rPr>
        <w:t>Policy Impl</w:t>
      </w:r>
      <w:r w:rsidR="00EF5408" w:rsidRPr="00F215AC">
        <w:rPr>
          <w:rFonts w:ascii="Garamond" w:hAnsi="Garamond"/>
          <w:b/>
          <w:smallCaps/>
          <w:color w:val="C00000"/>
          <w:sz w:val="24"/>
        </w:rPr>
        <w:t xml:space="preserve">ications: </w:t>
      </w:r>
      <w:r w:rsidR="005407B8">
        <w:rPr>
          <w:rFonts w:ascii="Garamond" w:hAnsi="Garamond"/>
          <w:b/>
          <w:smallCaps/>
          <w:color w:val="C00000"/>
          <w:sz w:val="24"/>
        </w:rPr>
        <w:t>S</w:t>
      </w:r>
      <w:r w:rsidR="00402077">
        <w:rPr>
          <w:rFonts w:ascii="Garamond" w:hAnsi="Garamond"/>
          <w:b/>
          <w:smallCaps/>
          <w:color w:val="C00000"/>
          <w:sz w:val="24"/>
        </w:rPr>
        <w:t>trengthening</w:t>
      </w:r>
      <w:r w:rsidR="00F215AC" w:rsidRPr="00F215AC">
        <w:rPr>
          <w:rFonts w:ascii="Garamond" w:hAnsi="Garamond"/>
          <w:b/>
          <w:smallCaps/>
          <w:color w:val="C00000"/>
          <w:sz w:val="24"/>
        </w:rPr>
        <w:t xml:space="preserve"> Institutions</w:t>
      </w:r>
      <w:r w:rsidR="005407B8">
        <w:rPr>
          <w:rFonts w:ascii="Garamond" w:hAnsi="Garamond"/>
          <w:b/>
          <w:smallCaps/>
          <w:color w:val="C00000"/>
          <w:sz w:val="24"/>
        </w:rPr>
        <w:t>, Shaping Cities &amp; Improving Connectivity</w:t>
      </w:r>
    </w:p>
    <w:p w14:paraId="438A7FEE" w14:textId="2E04FC60" w:rsidR="00B7209E" w:rsidRDefault="00F215AC" w:rsidP="006F5F4A">
      <w:pPr>
        <w:spacing w:line="240" w:lineRule="auto"/>
        <w:jc w:val="both"/>
        <w:rPr>
          <w:rFonts w:ascii="Garamond" w:hAnsi="Garamond"/>
        </w:rPr>
      </w:pPr>
      <w:r w:rsidRPr="00F8622D">
        <w:rPr>
          <w:rFonts w:ascii="Garamond" w:hAnsi="Garamond"/>
        </w:rPr>
        <w:t xml:space="preserve">Cities are the immediate context in which people live and work; they </w:t>
      </w:r>
      <w:r w:rsidR="003D5DF8">
        <w:rPr>
          <w:rFonts w:ascii="Garamond" w:hAnsi="Garamond"/>
        </w:rPr>
        <w:t>also have the potential to contribute to</w:t>
      </w:r>
      <w:r w:rsidRPr="00F8622D">
        <w:rPr>
          <w:rFonts w:ascii="Garamond" w:hAnsi="Garamond"/>
        </w:rPr>
        <w:t xml:space="preserve"> raising the productivity bar</w:t>
      </w:r>
      <w:r w:rsidR="003D5DF8">
        <w:rPr>
          <w:rFonts w:ascii="Garamond" w:hAnsi="Garamond"/>
        </w:rPr>
        <w:t xml:space="preserve"> </w:t>
      </w:r>
      <w:r w:rsidR="00336034">
        <w:rPr>
          <w:rFonts w:ascii="Garamond" w:hAnsi="Garamond"/>
        </w:rPr>
        <w:t>in Brazil</w:t>
      </w:r>
      <w:r w:rsidRPr="00F8622D">
        <w:rPr>
          <w:rFonts w:ascii="Garamond" w:hAnsi="Garamond"/>
        </w:rPr>
        <w:t xml:space="preserve">. </w:t>
      </w:r>
      <w:r w:rsidR="00336034">
        <w:rPr>
          <w:rFonts w:ascii="Garamond" w:hAnsi="Garamond"/>
        </w:rPr>
        <w:t xml:space="preserve">The system of cities in Brazil appears to be overall more “balanced” </w:t>
      </w:r>
      <w:r w:rsidR="00FE3CD2">
        <w:rPr>
          <w:rFonts w:ascii="Garamond" w:hAnsi="Garamond"/>
        </w:rPr>
        <w:t xml:space="preserve">than </w:t>
      </w:r>
      <w:r w:rsidR="00336034">
        <w:rPr>
          <w:rFonts w:ascii="Garamond" w:hAnsi="Garamond"/>
        </w:rPr>
        <w:t xml:space="preserve">that in other LAC countries, </w:t>
      </w:r>
      <w:r w:rsidR="00A94B07">
        <w:rPr>
          <w:rFonts w:ascii="Garamond" w:hAnsi="Garamond"/>
        </w:rPr>
        <w:t>with</w:t>
      </w:r>
      <w:r w:rsidR="001B0DEE" w:rsidRPr="00CB1C71">
        <w:rPr>
          <w:rFonts w:ascii="Garamond" w:hAnsi="Garamond"/>
        </w:rPr>
        <w:t xml:space="preserve"> many cities boasting high productivity levels</w:t>
      </w:r>
      <w:r w:rsidR="008B2650">
        <w:rPr>
          <w:rFonts w:ascii="Garamond" w:hAnsi="Garamond"/>
        </w:rPr>
        <w:t xml:space="preserve"> that are also at the top of the region.</w:t>
      </w:r>
      <w:r w:rsidR="00CB1C71" w:rsidRPr="00CB1C71">
        <w:rPr>
          <w:rFonts w:ascii="Garamond" w:hAnsi="Garamond"/>
        </w:rPr>
        <w:t xml:space="preserve"> Density, skills and market access all drive positive agglomeration economies</w:t>
      </w:r>
      <w:r w:rsidR="005F1498">
        <w:rPr>
          <w:rFonts w:ascii="Garamond" w:hAnsi="Garamond"/>
        </w:rPr>
        <w:t xml:space="preserve"> in the country</w:t>
      </w:r>
      <w:r w:rsidR="00CB1C71" w:rsidRPr="00CB1C71">
        <w:rPr>
          <w:rFonts w:ascii="Garamond" w:hAnsi="Garamond"/>
        </w:rPr>
        <w:t>.</w:t>
      </w:r>
      <w:r w:rsidR="009B2A14">
        <w:rPr>
          <w:rFonts w:ascii="Garamond" w:hAnsi="Garamond"/>
        </w:rPr>
        <w:t xml:space="preserve"> </w:t>
      </w:r>
      <w:r w:rsidR="00A72FB5">
        <w:rPr>
          <w:rFonts w:ascii="Garamond" w:hAnsi="Garamond"/>
        </w:rPr>
        <w:t xml:space="preserve">Yet, the size of their contribution is small, supporting the view that negative externalities may </w:t>
      </w:r>
      <w:r w:rsidR="00C34A02">
        <w:rPr>
          <w:rFonts w:ascii="Garamond" w:hAnsi="Garamond"/>
        </w:rPr>
        <w:t xml:space="preserve">still </w:t>
      </w:r>
      <w:r w:rsidR="00A72FB5">
        <w:rPr>
          <w:rFonts w:ascii="Garamond" w:hAnsi="Garamond"/>
        </w:rPr>
        <w:t xml:space="preserve">be hampering cities </w:t>
      </w:r>
      <w:r w:rsidR="00336034">
        <w:rPr>
          <w:rFonts w:ascii="Garamond" w:hAnsi="Garamond"/>
        </w:rPr>
        <w:t xml:space="preserve">and preventing them </w:t>
      </w:r>
      <w:r w:rsidR="00A72FB5">
        <w:rPr>
          <w:rFonts w:ascii="Garamond" w:hAnsi="Garamond"/>
        </w:rPr>
        <w:t>from reach</w:t>
      </w:r>
      <w:r w:rsidR="002C00F6">
        <w:rPr>
          <w:rFonts w:ascii="Garamond" w:hAnsi="Garamond"/>
        </w:rPr>
        <w:t xml:space="preserve">ing the productivity frontier. Indeed, </w:t>
      </w:r>
      <w:r w:rsidR="005F1498">
        <w:rPr>
          <w:rFonts w:ascii="Garamond" w:hAnsi="Garamond"/>
        </w:rPr>
        <w:t>Brazilian c</w:t>
      </w:r>
      <w:r w:rsidR="009C2377">
        <w:rPr>
          <w:rFonts w:ascii="Garamond" w:hAnsi="Garamond"/>
        </w:rPr>
        <w:t>ities still display very high levels of inequalities, high congestion costs,</w:t>
      </w:r>
      <w:r w:rsidR="009D6075">
        <w:rPr>
          <w:rFonts w:ascii="Garamond" w:hAnsi="Garamond"/>
        </w:rPr>
        <w:t xml:space="preserve"> poor connectivity and</w:t>
      </w:r>
      <w:r w:rsidR="009C2377">
        <w:rPr>
          <w:rFonts w:ascii="Garamond" w:hAnsi="Garamond"/>
        </w:rPr>
        <w:t xml:space="preserve"> </w:t>
      </w:r>
      <w:r w:rsidR="00B7209E">
        <w:rPr>
          <w:rFonts w:ascii="Garamond" w:hAnsi="Garamond"/>
        </w:rPr>
        <w:t>i</w:t>
      </w:r>
      <w:r w:rsidR="00690BCC">
        <w:rPr>
          <w:rFonts w:ascii="Garamond" w:hAnsi="Garamond"/>
        </w:rPr>
        <w:t>nstitutional fragmentation.</w:t>
      </w:r>
      <w:r w:rsidR="00B7209E" w:rsidRPr="00B7209E">
        <w:rPr>
          <w:rFonts w:ascii="Garamond" w:hAnsi="Garamond"/>
        </w:rPr>
        <w:t xml:space="preserve"> </w:t>
      </w:r>
    </w:p>
    <w:p w14:paraId="2FF5C88E" w14:textId="5DA17B5C" w:rsidR="00F215AC" w:rsidRDefault="00F215AC" w:rsidP="006F5F4A">
      <w:pPr>
        <w:spacing w:line="240" w:lineRule="auto"/>
        <w:jc w:val="both"/>
        <w:rPr>
          <w:rFonts w:ascii="Garamond" w:hAnsi="Garamond"/>
        </w:rPr>
      </w:pPr>
      <w:r w:rsidRPr="00F04F5A">
        <w:rPr>
          <w:rFonts w:ascii="Garamond" w:hAnsi="Garamond"/>
          <w:b/>
        </w:rPr>
        <w:t xml:space="preserve">Focusing in </w:t>
      </w:r>
      <w:r w:rsidR="002C00F6">
        <w:rPr>
          <w:rFonts w:ascii="Garamond" w:hAnsi="Garamond"/>
          <w:b/>
        </w:rPr>
        <w:t>reducing the negative effects of density by tackling</w:t>
      </w:r>
      <w:r w:rsidR="0065328C" w:rsidRPr="00F04F5A">
        <w:rPr>
          <w:rFonts w:ascii="Garamond" w:hAnsi="Garamond"/>
          <w:b/>
        </w:rPr>
        <w:t xml:space="preserve"> inequalities</w:t>
      </w:r>
      <w:r w:rsidRPr="00F04F5A">
        <w:rPr>
          <w:rFonts w:ascii="Garamond" w:hAnsi="Garamond"/>
          <w:b/>
        </w:rPr>
        <w:t xml:space="preserve">, </w:t>
      </w:r>
      <w:r w:rsidR="0065328C" w:rsidRPr="00F04F5A">
        <w:rPr>
          <w:rFonts w:ascii="Garamond" w:hAnsi="Garamond"/>
          <w:b/>
        </w:rPr>
        <w:t>congestion</w:t>
      </w:r>
      <w:r w:rsidR="009C081F">
        <w:rPr>
          <w:rFonts w:ascii="Garamond" w:hAnsi="Garamond"/>
          <w:b/>
        </w:rPr>
        <w:t>, connectivity</w:t>
      </w:r>
      <w:r w:rsidRPr="00F04F5A">
        <w:rPr>
          <w:rFonts w:ascii="Garamond" w:hAnsi="Garamond"/>
          <w:b/>
        </w:rPr>
        <w:t xml:space="preserve"> and </w:t>
      </w:r>
      <w:r w:rsidR="0065328C" w:rsidRPr="00F04F5A">
        <w:rPr>
          <w:rFonts w:ascii="Garamond" w:hAnsi="Garamond"/>
          <w:b/>
        </w:rPr>
        <w:t>fragmentation</w:t>
      </w:r>
      <w:r w:rsidRPr="00F04F5A">
        <w:rPr>
          <w:rFonts w:ascii="Garamond" w:hAnsi="Garamond"/>
          <w:b/>
        </w:rPr>
        <w:t xml:space="preserve"> is key for pushing the productivity of </w:t>
      </w:r>
      <w:r w:rsidR="0065328C" w:rsidRPr="00F04F5A">
        <w:rPr>
          <w:rFonts w:ascii="Garamond" w:hAnsi="Garamond"/>
          <w:b/>
        </w:rPr>
        <w:t>Brazilian</w:t>
      </w:r>
      <w:r w:rsidRPr="00F04F5A">
        <w:rPr>
          <w:rFonts w:ascii="Garamond" w:hAnsi="Garamond"/>
          <w:b/>
        </w:rPr>
        <w:t xml:space="preserve"> cities to the global frontier.</w:t>
      </w:r>
      <w:r w:rsidRPr="00F04F5A">
        <w:rPr>
          <w:rFonts w:ascii="Garamond" w:hAnsi="Garamond"/>
        </w:rPr>
        <w:t xml:space="preserve"> Policymakers need to create a more enabling environment for broader agglomeration effects to take place, addressing market failures, bu</w:t>
      </w:r>
      <w:r w:rsidR="00DD0F7B">
        <w:rPr>
          <w:rFonts w:ascii="Garamond" w:hAnsi="Garamond"/>
        </w:rPr>
        <w:t>t also possible policy failures in the areas.</w:t>
      </w:r>
      <w:r w:rsidR="006E6151">
        <w:rPr>
          <w:rFonts w:ascii="Garamond" w:hAnsi="Garamond"/>
        </w:rPr>
        <w:t xml:space="preserve"> </w:t>
      </w:r>
    </w:p>
    <w:p w14:paraId="4B9D96B8" w14:textId="571AE371" w:rsidR="00A03362" w:rsidRPr="005C7D83" w:rsidRDefault="00EC4401" w:rsidP="00663086">
      <w:pPr>
        <w:pStyle w:val="CommentText"/>
        <w:jc w:val="both"/>
        <w:rPr>
          <w:rFonts w:ascii="Garamond" w:hAnsi="Garamond"/>
          <w:b/>
          <w:sz w:val="22"/>
          <w:u w:val="single"/>
        </w:rPr>
      </w:pPr>
      <w:r>
        <w:rPr>
          <w:rFonts w:ascii="Garamond" w:hAnsi="Garamond"/>
          <w:b/>
          <w:sz w:val="22"/>
          <w:u w:val="single"/>
        </w:rPr>
        <w:t xml:space="preserve">Better institutions for metropolitan coordination can help </w:t>
      </w:r>
      <w:r w:rsidR="00134DDF">
        <w:rPr>
          <w:rFonts w:ascii="Garamond" w:hAnsi="Garamond"/>
          <w:b/>
          <w:sz w:val="22"/>
          <w:u w:val="single"/>
        </w:rPr>
        <w:t>reduce the negative effects of administrative fragmentation</w:t>
      </w:r>
      <w:r>
        <w:rPr>
          <w:rFonts w:ascii="Garamond" w:hAnsi="Garamond"/>
          <w:b/>
          <w:sz w:val="22"/>
          <w:u w:val="single"/>
        </w:rPr>
        <w:t xml:space="preserve"> </w:t>
      </w:r>
      <w:r w:rsidR="00134DDF">
        <w:rPr>
          <w:rFonts w:ascii="Garamond" w:hAnsi="Garamond"/>
          <w:b/>
          <w:sz w:val="22"/>
          <w:u w:val="single"/>
        </w:rPr>
        <w:t>in large cities</w:t>
      </w:r>
    </w:p>
    <w:p w14:paraId="74F0FE82" w14:textId="35B426E6" w:rsidR="004D6935" w:rsidRDefault="005C7D83" w:rsidP="006F5F4A">
      <w:pPr>
        <w:spacing w:line="240" w:lineRule="auto"/>
        <w:jc w:val="both"/>
        <w:rPr>
          <w:rFonts w:ascii="Garamond" w:hAnsi="Garamond"/>
        </w:rPr>
      </w:pPr>
      <w:r>
        <w:rPr>
          <w:rFonts w:ascii="Garamond" w:hAnsi="Garamond"/>
        </w:rPr>
        <w:t>A</w:t>
      </w:r>
      <w:r w:rsidRPr="005C7D83">
        <w:rPr>
          <w:rFonts w:ascii="Garamond" w:hAnsi="Garamond"/>
        </w:rPr>
        <w:t xml:space="preserve"> system of cities with large cities</w:t>
      </w:r>
      <w:r>
        <w:rPr>
          <w:rFonts w:ascii="Garamond" w:hAnsi="Garamond"/>
        </w:rPr>
        <w:t xml:space="preserve"> </w:t>
      </w:r>
      <w:r w:rsidR="00442474">
        <w:rPr>
          <w:rFonts w:ascii="Garamond" w:hAnsi="Garamond"/>
        </w:rPr>
        <w:t>as is the case in</w:t>
      </w:r>
      <w:r>
        <w:rPr>
          <w:rFonts w:ascii="Garamond" w:hAnsi="Garamond"/>
        </w:rPr>
        <w:t xml:space="preserve"> Brazil n</w:t>
      </w:r>
      <w:r w:rsidRPr="005C7D83">
        <w:rPr>
          <w:rFonts w:ascii="Garamond" w:hAnsi="Garamond"/>
        </w:rPr>
        <w:t>eed</w:t>
      </w:r>
      <w:r w:rsidR="00442474">
        <w:rPr>
          <w:rFonts w:ascii="Garamond" w:hAnsi="Garamond"/>
        </w:rPr>
        <w:t>s</w:t>
      </w:r>
      <w:r w:rsidRPr="005C7D83">
        <w:rPr>
          <w:rFonts w:ascii="Garamond" w:hAnsi="Garamond"/>
        </w:rPr>
        <w:t xml:space="preserve"> institutions for coordination</w:t>
      </w:r>
      <w:r w:rsidR="00442474">
        <w:rPr>
          <w:rFonts w:ascii="Garamond" w:hAnsi="Garamond"/>
        </w:rPr>
        <w:t xml:space="preserve"> at the subnational level, but also between the subnational and Federal government.</w:t>
      </w:r>
      <w:r>
        <w:t xml:space="preserve"> </w:t>
      </w:r>
      <w:r w:rsidR="00442474">
        <w:rPr>
          <w:rFonts w:ascii="Garamond" w:hAnsi="Garamond"/>
        </w:rPr>
        <w:t>Indeed, a</w:t>
      </w:r>
      <w:r>
        <w:rPr>
          <w:rFonts w:ascii="Garamond" w:hAnsi="Garamond"/>
        </w:rPr>
        <w:t>ddressing m</w:t>
      </w:r>
      <w:r w:rsidRPr="003108BC">
        <w:rPr>
          <w:rFonts w:ascii="Garamond" w:hAnsi="Garamond"/>
        </w:rPr>
        <w:t xml:space="preserve">unicipal coordination in large </w:t>
      </w:r>
      <w:r>
        <w:rPr>
          <w:rFonts w:ascii="Garamond" w:hAnsi="Garamond"/>
        </w:rPr>
        <w:t xml:space="preserve">metropolitan areas </w:t>
      </w:r>
      <w:r w:rsidR="00663086">
        <w:rPr>
          <w:rFonts w:ascii="Garamond" w:hAnsi="Garamond"/>
        </w:rPr>
        <w:t xml:space="preserve">with institutional fragmentation </w:t>
      </w:r>
      <w:r>
        <w:rPr>
          <w:rFonts w:ascii="Garamond" w:hAnsi="Garamond"/>
        </w:rPr>
        <w:t xml:space="preserve">or MCAs, predominant in Brazil, </w:t>
      </w:r>
      <w:r w:rsidR="004D6935">
        <w:rPr>
          <w:rFonts w:ascii="Garamond" w:hAnsi="Garamond"/>
        </w:rPr>
        <w:t>is</w:t>
      </w:r>
      <w:r>
        <w:rPr>
          <w:rFonts w:ascii="Garamond" w:hAnsi="Garamond"/>
        </w:rPr>
        <w:t xml:space="preserve"> an important bottleneck to tackle.</w:t>
      </w:r>
      <w:r w:rsidRPr="002B714A">
        <w:rPr>
          <w:rFonts w:ascii="Garamond" w:hAnsi="Garamond"/>
        </w:rPr>
        <w:t xml:space="preserve"> </w:t>
      </w:r>
      <w:r w:rsidR="00392568" w:rsidRPr="00C34A02">
        <w:rPr>
          <w:rFonts w:ascii="Garamond" w:hAnsi="Garamond"/>
        </w:rPr>
        <w:t>Tension between state governments and</w:t>
      </w:r>
      <w:r w:rsidR="00392568">
        <w:rPr>
          <w:rFonts w:ascii="Garamond" w:hAnsi="Garamond"/>
        </w:rPr>
        <w:t xml:space="preserve"> </w:t>
      </w:r>
      <w:r w:rsidR="00392568" w:rsidRPr="00C34A02">
        <w:rPr>
          <w:rFonts w:ascii="Garamond" w:hAnsi="Garamond"/>
        </w:rPr>
        <w:t>municipalities (who are autonomous entities),</w:t>
      </w:r>
      <w:r w:rsidR="00392568">
        <w:rPr>
          <w:rFonts w:ascii="Garamond" w:hAnsi="Garamond"/>
        </w:rPr>
        <w:t xml:space="preserve"> </w:t>
      </w:r>
      <w:r w:rsidR="00392568" w:rsidRPr="00C34A02">
        <w:rPr>
          <w:rFonts w:ascii="Garamond" w:hAnsi="Garamond"/>
        </w:rPr>
        <w:t>lack of resources and continuing regional inequalities</w:t>
      </w:r>
      <w:r w:rsidR="00392568">
        <w:rPr>
          <w:rFonts w:ascii="Garamond" w:hAnsi="Garamond"/>
        </w:rPr>
        <w:t xml:space="preserve"> </w:t>
      </w:r>
      <w:r w:rsidR="00392568" w:rsidRPr="00C34A02">
        <w:rPr>
          <w:rFonts w:ascii="Garamond" w:hAnsi="Garamond"/>
        </w:rPr>
        <w:t>have increased the complexity of metropolitan</w:t>
      </w:r>
      <w:r w:rsidR="00392568">
        <w:rPr>
          <w:rFonts w:ascii="Garamond" w:hAnsi="Garamond"/>
        </w:rPr>
        <w:t xml:space="preserve"> </w:t>
      </w:r>
      <w:r w:rsidR="00392568" w:rsidRPr="00C34A02">
        <w:rPr>
          <w:rFonts w:ascii="Garamond" w:hAnsi="Garamond"/>
        </w:rPr>
        <w:t>governance in Brazil</w:t>
      </w:r>
      <w:r w:rsidR="00392568">
        <w:rPr>
          <w:rFonts w:ascii="Garamond" w:hAnsi="Garamond"/>
        </w:rPr>
        <w:t>.</w:t>
      </w:r>
      <w:r w:rsidR="00392568">
        <w:rPr>
          <w:rStyle w:val="FootnoteReference"/>
          <w:rFonts w:ascii="Garamond" w:hAnsi="Garamond"/>
        </w:rPr>
        <w:footnoteReference w:id="20"/>
      </w:r>
      <w:r w:rsidR="00392568">
        <w:rPr>
          <w:rFonts w:ascii="Garamond" w:hAnsi="Garamond"/>
        </w:rPr>
        <w:t xml:space="preserve"> A new framework for metropolitan governance, known as the Statute of the Metropolis was enacted in January 2015. It includes principles to facilitate the formal collaboration and constitution of metropolitan regions in Brazil. However, the critical aspect of municipal financing is not addressed</w:t>
      </w:r>
      <w:r w:rsidR="00392568">
        <w:rPr>
          <w:rStyle w:val="FootnoteReference"/>
          <w:rFonts w:ascii="Garamond" w:hAnsi="Garamond"/>
        </w:rPr>
        <w:footnoteReference w:id="21"/>
      </w:r>
      <w:r w:rsidR="00392568">
        <w:rPr>
          <w:rFonts w:ascii="Garamond" w:hAnsi="Garamond"/>
        </w:rPr>
        <w:t>, and little advances have been made to date</w:t>
      </w:r>
      <w:r w:rsidR="004D6935">
        <w:rPr>
          <w:rFonts w:ascii="Garamond" w:hAnsi="Garamond"/>
        </w:rPr>
        <w:t xml:space="preserve"> to include a harmonized approach for inter-federative arrangements, and deal with low local capacity in secondary cities. Further, there is an ongoing legal discussion on whether a higher metropolitan coordination body is allowed within the Brazilian Constitution, that currently gives full autonomy to municipalities.</w:t>
      </w:r>
      <w:r w:rsidR="004D6935">
        <w:rPr>
          <w:sz w:val="20"/>
          <w:szCs w:val="20"/>
        </w:rPr>
        <w:t xml:space="preserve"> </w:t>
      </w:r>
      <w:r>
        <w:rPr>
          <w:rFonts w:ascii="Garamond" w:hAnsi="Garamond"/>
        </w:rPr>
        <w:t>A vast literature has</w:t>
      </w:r>
      <w:r w:rsidRPr="00DE6DBD">
        <w:rPr>
          <w:rFonts w:ascii="Garamond" w:hAnsi="Garamond"/>
        </w:rPr>
        <w:t xml:space="preserve"> argue</w:t>
      </w:r>
      <w:r>
        <w:rPr>
          <w:rFonts w:ascii="Garamond" w:hAnsi="Garamond"/>
        </w:rPr>
        <w:t>d</w:t>
      </w:r>
      <w:r w:rsidRPr="00DE6DBD">
        <w:rPr>
          <w:rFonts w:ascii="Garamond" w:hAnsi="Garamond"/>
        </w:rPr>
        <w:t xml:space="preserve"> that the presence of multiple local governments within metropolitan areas may generate coordination failures that reduce efficiency in providing transport infrastructure and land use planning, with negative repercussions for economic performance (Ahrend, Gamper</w:t>
      </w:r>
      <w:r>
        <w:rPr>
          <w:rFonts w:ascii="Garamond" w:hAnsi="Garamond"/>
        </w:rPr>
        <w:t xml:space="preserve"> and Schumann</w:t>
      </w:r>
      <w:r w:rsidRPr="00DE6DBD">
        <w:rPr>
          <w:rFonts w:ascii="Garamond" w:hAnsi="Garamond"/>
        </w:rPr>
        <w:t xml:space="preserve"> 2014). Fragmentation may also reduce </w:t>
      </w:r>
      <w:r>
        <w:rPr>
          <w:rFonts w:ascii="Garamond" w:hAnsi="Garamond"/>
        </w:rPr>
        <w:t>the</w:t>
      </w:r>
      <w:r w:rsidRPr="00DE6DBD">
        <w:rPr>
          <w:rFonts w:ascii="Garamond" w:hAnsi="Garamond"/>
        </w:rPr>
        <w:t xml:space="preserve"> ease of doing business because of the additional bureaucracy that it </w:t>
      </w:r>
      <w:r>
        <w:rPr>
          <w:rFonts w:ascii="Garamond" w:hAnsi="Garamond"/>
        </w:rPr>
        <w:t>imposes on firms (Kim, Schumann and Ahrend</w:t>
      </w:r>
      <w:r w:rsidRPr="00DE6DBD">
        <w:rPr>
          <w:rFonts w:ascii="Garamond" w:hAnsi="Garamond"/>
        </w:rPr>
        <w:t xml:space="preserve"> 2014) and the associated higher transaction costs. </w:t>
      </w:r>
      <w:r>
        <w:rPr>
          <w:rFonts w:ascii="Garamond" w:hAnsi="Garamond"/>
        </w:rPr>
        <w:t>The Flagship Report</w:t>
      </w:r>
      <w:r>
        <w:rPr>
          <w:rStyle w:val="FootnoteReference"/>
          <w:rFonts w:ascii="Garamond" w:hAnsi="Garamond"/>
        </w:rPr>
        <w:footnoteReference w:id="22"/>
      </w:r>
      <w:r>
        <w:rPr>
          <w:rFonts w:ascii="Garamond" w:hAnsi="Garamond"/>
        </w:rPr>
        <w:t xml:space="preserve"> finds </w:t>
      </w:r>
      <w:r w:rsidRPr="00701A07">
        <w:rPr>
          <w:rFonts w:ascii="Garamond" w:hAnsi="Garamond"/>
        </w:rPr>
        <w:t>no evidence of metropoli</w:t>
      </w:r>
      <w:r>
        <w:rPr>
          <w:rFonts w:ascii="Garamond" w:hAnsi="Garamond"/>
        </w:rPr>
        <w:t>tan coordination mitigating the</w:t>
      </w:r>
      <w:r w:rsidRPr="00701A07">
        <w:rPr>
          <w:rFonts w:ascii="Garamond" w:hAnsi="Garamond"/>
        </w:rPr>
        <w:t xml:space="preserve"> </w:t>
      </w:r>
      <w:r>
        <w:rPr>
          <w:rFonts w:ascii="Garamond" w:hAnsi="Garamond"/>
        </w:rPr>
        <w:t xml:space="preserve">negative </w:t>
      </w:r>
      <w:r w:rsidRPr="00701A07">
        <w:rPr>
          <w:rFonts w:ascii="Garamond" w:hAnsi="Garamond"/>
        </w:rPr>
        <w:t>impacts</w:t>
      </w:r>
      <w:r>
        <w:rPr>
          <w:rFonts w:ascii="Garamond" w:hAnsi="Garamond"/>
        </w:rPr>
        <w:t xml:space="preserve"> of institutional fragmentation on cities productivity in LAC</w:t>
      </w:r>
      <w:r w:rsidR="00663086">
        <w:rPr>
          <w:rFonts w:ascii="Garamond" w:hAnsi="Garamond"/>
        </w:rPr>
        <w:t xml:space="preserve">, suggesting they fail to mitigate the negative associated negative externalities. </w:t>
      </w:r>
      <w:r>
        <w:rPr>
          <w:rFonts w:ascii="Garamond" w:hAnsi="Garamond"/>
        </w:rPr>
        <w:t xml:space="preserve">Ensuring the </w:t>
      </w:r>
      <w:r w:rsidRPr="00701A07">
        <w:rPr>
          <w:rFonts w:ascii="Garamond" w:hAnsi="Garamond"/>
        </w:rPr>
        <w:t>effectiveness of current bodies for metropolitan coordination</w:t>
      </w:r>
      <w:r>
        <w:rPr>
          <w:rFonts w:ascii="Garamond" w:hAnsi="Garamond"/>
        </w:rPr>
        <w:t>, by reducing</w:t>
      </w:r>
      <w:r w:rsidRPr="00701A07">
        <w:rPr>
          <w:rFonts w:ascii="Garamond" w:hAnsi="Garamond"/>
        </w:rPr>
        <w:t xml:space="preserve"> overlapping responsibilities across local and </w:t>
      </w:r>
      <w:r w:rsidR="00442474">
        <w:rPr>
          <w:rFonts w:ascii="Garamond" w:hAnsi="Garamond"/>
        </w:rPr>
        <w:t xml:space="preserve">federal </w:t>
      </w:r>
      <w:r w:rsidRPr="00701A07">
        <w:rPr>
          <w:rFonts w:ascii="Garamond" w:hAnsi="Garamond"/>
        </w:rPr>
        <w:t xml:space="preserve">government agencies, and </w:t>
      </w:r>
      <w:r>
        <w:rPr>
          <w:rFonts w:ascii="Garamond" w:hAnsi="Garamond"/>
        </w:rPr>
        <w:t>reviewing t</w:t>
      </w:r>
      <w:r w:rsidRPr="00701A07">
        <w:rPr>
          <w:rFonts w:ascii="Garamond" w:hAnsi="Garamond"/>
        </w:rPr>
        <w:t>hese bodies’ limited authority</w:t>
      </w:r>
      <w:r>
        <w:rPr>
          <w:rFonts w:ascii="Garamond" w:hAnsi="Garamond"/>
        </w:rPr>
        <w:t xml:space="preserve"> could</w:t>
      </w:r>
      <w:r w:rsidR="00442474">
        <w:rPr>
          <w:rFonts w:ascii="Garamond" w:hAnsi="Garamond"/>
        </w:rPr>
        <w:t xml:space="preserve"> </w:t>
      </w:r>
      <w:r>
        <w:rPr>
          <w:rFonts w:ascii="Garamond" w:hAnsi="Garamond"/>
        </w:rPr>
        <w:t>be a starting point.</w:t>
      </w:r>
      <w:r w:rsidR="00C34A02">
        <w:rPr>
          <w:rFonts w:ascii="Garamond" w:hAnsi="Garamond"/>
        </w:rPr>
        <w:t xml:space="preserve"> </w:t>
      </w:r>
      <w:r w:rsidR="004D6935">
        <w:rPr>
          <w:rFonts w:ascii="Garamond" w:hAnsi="Garamond"/>
        </w:rPr>
        <w:t xml:space="preserve">In Brazil the need to build metropolitan coordination arrangements needs also to focus on </w:t>
      </w:r>
      <w:r w:rsidR="00544108">
        <w:rPr>
          <w:rFonts w:ascii="Garamond" w:hAnsi="Garamond"/>
        </w:rPr>
        <w:t>strengthening</w:t>
      </w:r>
      <w:bookmarkStart w:id="18" w:name="_GoBack"/>
      <w:bookmarkEnd w:id="18"/>
      <w:r w:rsidR="004D6935">
        <w:rPr>
          <w:rFonts w:ascii="Garamond" w:hAnsi="Garamond"/>
        </w:rPr>
        <w:t xml:space="preserve"> municipalities capacities.</w:t>
      </w:r>
    </w:p>
    <w:p w14:paraId="1D8ED134" w14:textId="67853A56" w:rsidR="00427422" w:rsidRPr="00B63337" w:rsidRDefault="00427422" w:rsidP="006F5F4A">
      <w:pPr>
        <w:pStyle w:val="CommentText"/>
        <w:rPr>
          <w:rFonts w:ascii="Garamond" w:hAnsi="Garamond"/>
          <w:b/>
          <w:sz w:val="22"/>
          <w:u w:val="single"/>
        </w:rPr>
      </w:pPr>
      <w:r w:rsidRPr="00B63337">
        <w:rPr>
          <w:rFonts w:ascii="Garamond" w:hAnsi="Garamond"/>
          <w:b/>
          <w:sz w:val="22"/>
          <w:u w:val="single"/>
        </w:rPr>
        <w:t>Inves</w:t>
      </w:r>
      <w:r w:rsidR="00134DDF">
        <w:rPr>
          <w:rFonts w:ascii="Garamond" w:hAnsi="Garamond"/>
          <w:b/>
          <w:sz w:val="22"/>
          <w:u w:val="single"/>
        </w:rPr>
        <w:t>t in shaping cities, especially medium sized cities that are growing fast</w:t>
      </w:r>
    </w:p>
    <w:p w14:paraId="105F9B1A" w14:textId="2ECDFF86" w:rsidR="005C7D83" w:rsidRDefault="005C7D83" w:rsidP="006F5F4A">
      <w:pPr>
        <w:pStyle w:val="CommentText"/>
        <w:jc w:val="both"/>
        <w:rPr>
          <w:rFonts w:ascii="Garamond" w:hAnsi="Garamond"/>
          <w:sz w:val="22"/>
        </w:rPr>
      </w:pPr>
      <w:bookmarkStart w:id="19" w:name="_Hlk509418232"/>
      <w:r w:rsidRPr="002B2B6D">
        <w:rPr>
          <w:rFonts w:ascii="Garamond" w:hAnsi="Garamond"/>
          <w:sz w:val="22"/>
        </w:rPr>
        <w:t>Infrastructure</w:t>
      </w:r>
      <w:r w:rsidR="00D624A5">
        <w:rPr>
          <w:rFonts w:ascii="Garamond" w:hAnsi="Garamond"/>
          <w:sz w:val="22"/>
        </w:rPr>
        <w:t xml:space="preserve"> and transport</w:t>
      </w:r>
      <w:r w:rsidRPr="002B2B6D">
        <w:rPr>
          <w:rFonts w:ascii="Garamond" w:hAnsi="Garamond"/>
          <w:sz w:val="22"/>
        </w:rPr>
        <w:t xml:space="preserve"> investments, </w:t>
      </w:r>
      <w:bookmarkStart w:id="20" w:name="_Hlk509418994"/>
      <w:r w:rsidRPr="002B2B6D">
        <w:rPr>
          <w:rFonts w:ascii="Garamond" w:hAnsi="Garamond"/>
          <w:sz w:val="22"/>
        </w:rPr>
        <w:t>land use, and zoning regulations</w:t>
      </w:r>
      <w:r w:rsidR="009B5CD6" w:rsidRPr="002B2B6D">
        <w:rPr>
          <w:rFonts w:ascii="Garamond" w:hAnsi="Garamond"/>
          <w:sz w:val="22"/>
        </w:rPr>
        <w:t xml:space="preserve"> are</w:t>
      </w:r>
      <w:r w:rsidRPr="002B2B6D">
        <w:rPr>
          <w:rFonts w:ascii="Garamond" w:hAnsi="Garamond"/>
          <w:sz w:val="22"/>
        </w:rPr>
        <w:t xml:space="preserve"> not only tools for planning the form a city takes but can also—through their role in building the shape, texture, and land use of a city—</w:t>
      </w:r>
      <w:r w:rsidRPr="002B2B6D">
        <w:rPr>
          <w:rFonts w:ascii="Garamond" w:hAnsi="Garamond"/>
          <w:sz w:val="22"/>
        </w:rPr>
        <w:lastRenderedPageBreak/>
        <w:t>influence productivity</w:t>
      </w:r>
      <w:r w:rsidR="009B5CD6" w:rsidRPr="002B2B6D">
        <w:rPr>
          <w:rFonts w:ascii="Garamond" w:hAnsi="Garamond"/>
          <w:sz w:val="22"/>
        </w:rPr>
        <w:t>.</w:t>
      </w:r>
      <w:bookmarkEnd w:id="20"/>
      <w:r w:rsidR="00D624A5">
        <w:rPr>
          <w:rFonts w:ascii="Garamond" w:hAnsi="Garamond"/>
          <w:sz w:val="22"/>
        </w:rPr>
        <w:t xml:space="preserve"> </w:t>
      </w:r>
      <w:bookmarkStart w:id="21" w:name="_Hlk509418818"/>
      <w:bookmarkEnd w:id="19"/>
      <w:r w:rsidR="00684EC8">
        <w:rPr>
          <w:rFonts w:ascii="Garamond" w:hAnsi="Garamond"/>
          <w:sz w:val="22"/>
        </w:rPr>
        <w:t>S</w:t>
      </w:r>
      <w:r w:rsidR="0032076F">
        <w:rPr>
          <w:rFonts w:ascii="Garamond" w:hAnsi="Garamond"/>
          <w:sz w:val="22"/>
        </w:rPr>
        <w:t xml:space="preserve">hapes of Brazilian cities reflect the region’s great variety of urban form. Evidence suggests that as long as they guarantee </w:t>
      </w:r>
      <w:r w:rsidR="00684EC8">
        <w:rPr>
          <w:rFonts w:ascii="Garamond" w:hAnsi="Garamond"/>
          <w:sz w:val="22"/>
        </w:rPr>
        <w:t>intra</w:t>
      </w:r>
      <w:r w:rsidR="0032076F">
        <w:rPr>
          <w:rFonts w:ascii="Garamond" w:hAnsi="Garamond"/>
          <w:sz w:val="22"/>
        </w:rPr>
        <w:t xml:space="preserve">-city connectivity these different shapes can still achieve high-productivity. </w:t>
      </w:r>
      <w:bookmarkEnd w:id="21"/>
      <w:r w:rsidR="0032076F">
        <w:rPr>
          <w:rFonts w:ascii="Garamond" w:hAnsi="Garamond"/>
          <w:sz w:val="22"/>
        </w:rPr>
        <w:t>To this aim, it is important to instill</w:t>
      </w:r>
      <w:r w:rsidR="00D624A5">
        <w:rPr>
          <w:rFonts w:ascii="Garamond" w:hAnsi="Garamond"/>
          <w:sz w:val="22"/>
        </w:rPr>
        <w:t xml:space="preserve"> the need to coordinate these different instruments</w:t>
      </w:r>
      <w:r w:rsidR="0032076F">
        <w:rPr>
          <w:rFonts w:ascii="Garamond" w:hAnsi="Garamond"/>
          <w:sz w:val="22"/>
        </w:rPr>
        <w:t xml:space="preserve"> (i.e. housing, transport, zoning and land use regulations)</w:t>
      </w:r>
      <w:r w:rsidR="00D624A5">
        <w:rPr>
          <w:rFonts w:ascii="Garamond" w:hAnsi="Garamond"/>
          <w:sz w:val="22"/>
        </w:rPr>
        <w:t xml:space="preserve"> in all cities and state plans</w:t>
      </w:r>
      <w:r w:rsidR="0032076F">
        <w:rPr>
          <w:rFonts w:ascii="Garamond" w:hAnsi="Garamond"/>
          <w:sz w:val="22"/>
        </w:rPr>
        <w:t>. Increasing in</w:t>
      </w:r>
      <w:r w:rsidR="00684EC8">
        <w:rPr>
          <w:rFonts w:ascii="Garamond" w:hAnsi="Garamond"/>
          <w:sz w:val="22"/>
        </w:rPr>
        <w:t>tra</w:t>
      </w:r>
      <w:r w:rsidR="0032076F">
        <w:rPr>
          <w:rFonts w:ascii="Garamond" w:hAnsi="Garamond"/>
          <w:sz w:val="22"/>
        </w:rPr>
        <w:t xml:space="preserve">-city connectivity through </w:t>
      </w:r>
      <w:r w:rsidR="0032076F" w:rsidRPr="0032076F">
        <w:rPr>
          <w:rFonts w:ascii="Garamond" w:hAnsi="Garamond"/>
          <w:sz w:val="22"/>
        </w:rPr>
        <w:t>coordinated effort</w:t>
      </w:r>
      <w:r w:rsidR="0057363C">
        <w:rPr>
          <w:rFonts w:ascii="Garamond" w:hAnsi="Garamond"/>
          <w:sz w:val="22"/>
        </w:rPr>
        <w:t>s</w:t>
      </w:r>
      <w:r w:rsidR="0032076F" w:rsidRPr="0032076F">
        <w:rPr>
          <w:rFonts w:ascii="Garamond" w:hAnsi="Garamond"/>
          <w:sz w:val="22"/>
        </w:rPr>
        <w:t xml:space="preserve"> between urban planning and public transport, embracing Transit Oriented Development (TOD) practices</w:t>
      </w:r>
      <w:r w:rsidR="0057363C">
        <w:rPr>
          <w:rFonts w:ascii="Garamond" w:hAnsi="Garamond"/>
          <w:sz w:val="22"/>
        </w:rPr>
        <w:t xml:space="preserve">, </w:t>
      </w:r>
      <w:r w:rsidR="0063242E">
        <w:rPr>
          <w:rFonts w:ascii="Garamond" w:hAnsi="Garamond"/>
          <w:sz w:val="22"/>
        </w:rPr>
        <w:t xml:space="preserve">will be key to reduce congestion and increase density’s contribution to agglomeration economies. Further, these coordinated efforts can </w:t>
      </w:r>
      <w:r w:rsidR="00D624A5">
        <w:rPr>
          <w:rFonts w:ascii="Garamond" w:hAnsi="Garamond"/>
          <w:sz w:val="22"/>
        </w:rPr>
        <w:t xml:space="preserve">also help cities raise land-based revenues to finance infrastructure and social development. Planning visions that integrate land-use and transit are crucial </w:t>
      </w:r>
      <w:r w:rsidR="00946CD1">
        <w:rPr>
          <w:rFonts w:ascii="Garamond" w:hAnsi="Garamond"/>
          <w:sz w:val="22"/>
        </w:rPr>
        <w:t>for ensuring that different city-shapes</w:t>
      </w:r>
      <w:r w:rsidR="007B3E44">
        <w:rPr>
          <w:rFonts w:ascii="Garamond" w:hAnsi="Garamond"/>
          <w:sz w:val="22"/>
        </w:rPr>
        <w:t xml:space="preserve"> are sustainable and respond to their residents’ needs. </w:t>
      </w:r>
      <w:r w:rsidR="000B58DB" w:rsidRPr="000B58DB">
        <w:rPr>
          <w:rFonts w:ascii="Garamond" w:hAnsi="Garamond"/>
          <w:sz w:val="22"/>
        </w:rPr>
        <w:t xml:space="preserve">Designing the right type of housing policies that meet these principles will also be an important element. </w:t>
      </w:r>
      <w:r w:rsidRPr="000B58DB">
        <w:rPr>
          <w:rFonts w:ascii="Garamond" w:hAnsi="Garamond"/>
          <w:sz w:val="22"/>
        </w:rPr>
        <w:t>A shortage in affordable housing in the most productive metro areas in Brazil has been raised as a probable explanation for the dispersion of productivity across cities.</w:t>
      </w:r>
      <w:r w:rsidRPr="000B58DB">
        <w:rPr>
          <w:rFonts w:ascii="Cambria" w:hAnsi="Cambria" w:cs="Cambria"/>
          <w:color w:val="000000"/>
          <w:szCs w:val="18"/>
        </w:rPr>
        <w:t xml:space="preserve"> </w:t>
      </w:r>
      <w:r w:rsidRPr="000B58DB">
        <w:rPr>
          <w:rFonts w:ascii="Garamond" w:hAnsi="Garamond"/>
          <w:sz w:val="22"/>
        </w:rPr>
        <w:t>Housing deficits have risen more in high-wage than in low-wage metropolitan areas. Although informal housing presumably filled the gap for some migrants to high-wage metro areas, the poor quality of such housing may have deterred would-be migrants, thereby keeping them “trapped” in less productive cities (Bastos 2017).</w:t>
      </w:r>
      <w:r w:rsidR="005414C5">
        <w:rPr>
          <w:rFonts w:ascii="Garamond" w:hAnsi="Garamond"/>
          <w:sz w:val="22"/>
        </w:rPr>
        <w:t xml:space="preserve">  </w:t>
      </w:r>
    </w:p>
    <w:p w14:paraId="7235E0EC" w14:textId="4A1CFE29" w:rsidR="00427422" w:rsidRPr="00A03362" w:rsidRDefault="0094757D" w:rsidP="006F5F4A">
      <w:pPr>
        <w:pStyle w:val="CommentText"/>
        <w:rPr>
          <w:rFonts w:ascii="Garamond" w:hAnsi="Garamond"/>
          <w:b/>
          <w:sz w:val="22"/>
          <w:u w:val="single"/>
        </w:rPr>
      </w:pPr>
      <w:r>
        <w:rPr>
          <w:rFonts w:ascii="Garamond" w:hAnsi="Garamond"/>
          <w:b/>
          <w:sz w:val="22"/>
          <w:u w:val="single"/>
        </w:rPr>
        <w:t>R</w:t>
      </w:r>
      <w:r w:rsidR="00134DDF">
        <w:rPr>
          <w:rFonts w:ascii="Garamond" w:hAnsi="Garamond"/>
          <w:b/>
          <w:sz w:val="22"/>
          <w:u w:val="single"/>
        </w:rPr>
        <w:t>educe the costs of density by improving</w:t>
      </w:r>
      <w:r w:rsidR="00427422" w:rsidRPr="00A03362">
        <w:rPr>
          <w:rFonts w:ascii="Garamond" w:hAnsi="Garamond"/>
          <w:b/>
          <w:sz w:val="22"/>
          <w:u w:val="single"/>
        </w:rPr>
        <w:t xml:space="preserve"> </w:t>
      </w:r>
      <w:r w:rsidR="00A03362" w:rsidRPr="00A03362">
        <w:rPr>
          <w:rFonts w:ascii="Garamond" w:hAnsi="Garamond"/>
          <w:b/>
          <w:sz w:val="22"/>
          <w:u w:val="single"/>
        </w:rPr>
        <w:t xml:space="preserve">within cities </w:t>
      </w:r>
      <w:r w:rsidR="00427422" w:rsidRPr="00A03362">
        <w:rPr>
          <w:rFonts w:ascii="Garamond" w:hAnsi="Garamond"/>
          <w:b/>
          <w:sz w:val="22"/>
          <w:u w:val="single"/>
        </w:rPr>
        <w:t xml:space="preserve">connectivity </w:t>
      </w:r>
    </w:p>
    <w:p w14:paraId="3B6BF52A" w14:textId="32BDDD4F" w:rsidR="00427422" w:rsidRDefault="00427422" w:rsidP="006F5F4A">
      <w:pPr>
        <w:spacing w:line="240" w:lineRule="auto"/>
        <w:jc w:val="both"/>
        <w:rPr>
          <w:rFonts w:ascii="Garamond" w:hAnsi="Garamond"/>
        </w:rPr>
      </w:pPr>
      <w:r w:rsidRPr="00D86E34">
        <w:rPr>
          <w:rFonts w:ascii="Garamond" w:hAnsi="Garamond"/>
        </w:rPr>
        <w:t xml:space="preserve">Improvements may include carefully planned transport policies and infrastructure to mitigate the congestion created by current density. In cities like Rio de Janeiro and Sao Paulo </w:t>
      </w:r>
      <w:r>
        <w:rPr>
          <w:rFonts w:ascii="Garamond" w:hAnsi="Garamond"/>
        </w:rPr>
        <w:t>studies have found that in 2013 congestion had</w:t>
      </w:r>
      <w:r w:rsidR="00684EC8">
        <w:rPr>
          <w:rFonts w:ascii="Garamond" w:hAnsi="Garamond"/>
        </w:rPr>
        <w:t xml:space="preserve"> a</w:t>
      </w:r>
      <w:r>
        <w:rPr>
          <w:rFonts w:ascii="Garamond" w:hAnsi="Garamond"/>
        </w:rPr>
        <w:t xml:space="preserve"> cost close to 8 percent of their metropolitan area GDP, and up to 2 percent of Brazil’s.</w:t>
      </w:r>
      <w:r w:rsidRPr="00F2405F">
        <w:rPr>
          <w:rFonts w:ascii="Garamond" w:hAnsi="Garamond"/>
          <w:vertAlign w:val="superscript"/>
        </w:rPr>
        <w:footnoteReference w:id="23"/>
      </w:r>
      <w:r w:rsidRPr="00EB056B">
        <w:rPr>
          <w:rFonts w:ascii="Garamond" w:hAnsi="Garamond"/>
          <w:vertAlign w:val="superscript"/>
        </w:rPr>
        <w:t xml:space="preserve"> </w:t>
      </w:r>
      <w:r>
        <w:rPr>
          <w:rFonts w:ascii="Garamond" w:hAnsi="Garamond"/>
        </w:rPr>
        <w:t>WB Projects in the public transit sector have aimed at increasing accessibility to services and economic opportunities by reducing travel time through the improvement of mass transit systems (Sao Paulo Line 4 &amp; Line 5, for instance) and the support of regulatory processes that ensure the coordination of the different modes</w:t>
      </w:r>
      <w:r w:rsidR="00A03362">
        <w:rPr>
          <w:rFonts w:ascii="Garamond" w:hAnsi="Garamond"/>
        </w:rPr>
        <w:t>, including pedestrian and cycling</w:t>
      </w:r>
      <w:r>
        <w:rPr>
          <w:rFonts w:ascii="Garamond" w:hAnsi="Garamond"/>
        </w:rPr>
        <w:t xml:space="preserve">. Many cities have also implemented vehicle use restrictions which have proven positive in other LAC countries. For instance, </w:t>
      </w:r>
      <w:r w:rsidR="00A03362">
        <w:rPr>
          <w:rFonts w:ascii="Garamond" w:hAnsi="Garamond"/>
        </w:rPr>
        <w:t>g</w:t>
      </w:r>
      <w:r w:rsidRPr="00F1491E">
        <w:rPr>
          <w:rFonts w:ascii="Garamond" w:hAnsi="Garamond"/>
        </w:rPr>
        <w:t xml:space="preserve">asoline emissions, for example, were reduced by 9–11 percent during peak hours and by 6 percent during the day after vehicle use restrictions in Quito, </w:t>
      </w:r>
      <w:r>
        <w:rPr>
          <w:rFonts w:ascii="Garamond" w:hAnsi="Garamond"/>
        </w:rPr>
        <w:t xml:space="preserve">Ecuador (Carrillo et al. 2016); and </w:t>
      </w:r>
      <w:r w:rsidRPr="00F1491E">
        <w:rPr>
          <w:rFonts w:ascii="Garamond" w:hAnsi="Garamond"/>
        </w:rPr>
        <w:t>similar regulations induced a shift to public transport in Santiago de Chile</w:t>
      </w:r>
      <w:r>
        <w:rPr>
          <w:rFonts w:ascii="Garamond" w:hAnsi="Garamond"/>
        </w:rPr>
        <w:t xml:space="preserve"> </w:t>
      </w:r>
      <w:r w:rsidRPr="00F1491E">
        <w:rPr>
          <w:rFonts w:ascii="Garamond" w:hAnsi="Garamond"/>
        </w:rPr>
        <w:t>(De Grange and Troncoso, 2011)</w:t>
      </w:r>
      <w:r>
        <w:rPr>
          <w:rFonts w:ascii="Garamond" w:hAnsi="Garamond"/>
        </w:rPr>
        <w:t>. T</w:t>
      </w:r>
      <w:r w:rsidRPr="00F1491E">
        <w:rPr>
          <w:rFonts w:ascii="Garamond" w:hAnsi="Garamond"/>
        </w:rPr>
        <w:t xml:space="preserve">hey failed </w:t>
      </w:r>
      <w:r>
        <w:rPr>
          <w:rFonts w:ascii="Garamond" w:hAnsi="Garamond"/>
        </w:rPr>
        <w:t xml:space="preserve">however </w:t>
      </w:r>
      <w:r w:rsidRPr="00F1491E">
        <w:rPr>
          <w:rFonts w:ascii="Garamond" w:hAnsi="Garamond"/>
        </w:rPr>
        <w:t>to reduce emissions or vehicle use in Mexico (Eskeland and Feyzioglu, 1997; Davis, 2008).</w:t>
      </w:r>
      <w:r w:rsidRPr="00B75127">
        <w:rPr>
          <w:rFonts w:ascii="Garamond" w:hAnsi="Garamond"/>
          <w:vertAlign w:val="superscript"/>
        </w:rPr>
        <w:footnoteReference w:id="24"/>
      </w:r>
      <w:r w:rsidRPr="00B75127">
        <w:rPr>
          <w:rFonts w:ascii="Garamond" w:hAnsi="Garamond"/>
          <w:vertAlign w:val="superscript"/>
        </w:rPr>
        <w:t xml:space="preserve"> </w:t>
      </w:r>
      <w:r w:rsidR="00FE1F7E">
        <w:rPr>
          <w:rFonts w:ascii="Garamond" w:hAnsi="Garamond"/>
        </w:rPr>
        <w:t xml:space="preserve"> Further, r</w:t>
      </w:r>
      <w:r>
        <w:rPr>
          <w:rFonts w:ascii="Garamond" w:hAnsi="Garamond"/>
        </w:rPr>
        <w:t>educing congestion in LAC cities requires a coordinated effort between urban planning</w:t>
      </w:r>
      <w:r w:rsidR="00A03362">
        <w:rPr>
          <w:rFonts w:ascii="Garamond" w:hAnsi="Garamond"/>
        </w:rPr>
        <w:t xml:space="preserve"> </w:t>
      </w:r>
      <w:r>
        <w:rPr>
          <w:rFonts w:ascii="Garamond" w:hAnsi="Garamond"/>
        </w:rPr>
        <w:t>and public transport, embracing Transit Oriented Development (TOD) practices</w:t>
      </w:r>
      <w:r w:rsidR="00946CD1">
        <w:rPr>
          <w:rFonts w:ascii="Garamond" w:hAnsi="Garamond"/>
        </w:rPr>
        <w:t xml:space="preserve"> (shaping cities)</w:t>
      </w:r>
      <w:r>
        <w:rPr>
          <w:rFonts w:ascii="Garamond" w:hAnsi="Garamond"/>
        </w:rPr>
        <w:t xml:space="preserve">, and overcoming their political economy barriers.  </w:t>
      </w:r>
    </w:p>
    <w:p w14:paraId="3BCDE674" w14:textId="59D31994" w:rsidR="00134DDF" w:rsidRDefault="00134DDF" w:rsidP="006F5F4A">
      <w:pPr>
        <w:spacing w:line="240" w:lineRule="auto"/>
        <w:jc w:val="both"/>
        <w:rPr>
          <w:rFonts w:ascii="Garamond" w:hAnsi="Garamond"/>
        </w:rPr>
      </w:pPr>
      <w:r>
        <w:rPr>
          <w:rFonts w:ascii="Garamond" w:hAnsi="Garamond"/>
          <w:b/>
          <w:u w:val="single"/>
        </w:rPr>
        <w:t>Maintain and strengthen a balanced system of cities by strengthening connections between cities</w:t>
      </w:r>
      <w:r w:rsidR="00A450FF">
        <w:rPr>
          <w:rFonts w:ascii="Garamond" w:hAnsi="Garamond"/>
          <w:b/>
          <w:u w:val="single"/>
        </w:rPr>
        <w:t xml:space="preserve"> and investing in local infrastructure and skills</w:t>
      </w:r>
    </w:p>
    <w:p w14:paraId="097B8F89" w14:textId="77777777" w:rsidR="0094757D" w:rsidRPr="0094757D" w:rsidRDefault="00A03362" w:rsidP="006F5F4A">
      <w:pPr>
        <w:spacing w:line="240" w:lineRule="auto"/>
        <w:jc w:val="both"/>
        <w:rPr>
          <w:rFonts w:ascii="Garamond" w:hAnsi="Garamond"/>
        </w:rPr>
      </w:pPr>
      <w:r>
        <w:rPr>
          <w:rFonts w:ascii="Garamond" w:hAnsi="Garamond"/>
        </w:rPr>
        <w:t xml:space="preserve">Connectivity between cities also matters. </w:t>
      </w:r>
      <w:r w:rsidR="00427422" w:rsidRPr="004522DB">
        <w:rPr>
          <w:rFonts w:ascii="Garamond" w:hAnsi="Garamond"/>
        </w:rPr>
        <w:t>Expanding transportation networks, and lowering the pecuniary and nonpecuniary costs of their use, would in principle raise cities’ productivity. Access to the markets of other cities in the same country through transportation networks has a statistically significant association with city productivity. Indeed, improvements in national transport networks can help create a more integrated system of cities—with lower productivity dispersion across cities, and with a higher contribution to national productivity. Evidence from countries throughout the world shows that the within-country productivity dispersion is lower in countries with higher road density</w:t>
      </w:r>
      <w:r w:rsidR="00427422">
        <w:rPr>
          <w:rFonts w:ascii="Garamond" w:hAnsi="Garamond"/>
        </w:rPr>
        <w:t>. Further, t</w:t>
      </w:r>
      <w:r w:rsidR="00427422" w:rsidRPr="007B1A18">
        <w:rPr>
          <w:rFonts w:ascii="Garamond" w:hAnsi="Garamond"/>
        </w:rPr>
        <w:t xml:space="preserve">he literature </w:t>
      </w:r>
      <w:r w:rsidR="00427422">
        <w:rPr>
          <w:rFonts w:ascii="Garamond" w:hAnsi="Garamond"/>
        </w:rPr>
        <w:t>examining</w:t>
      </w:r>
      <w:r w:rsidR="00427422" w:rsidRPr="007B1A18">
        <w:rPr>
          <w:rFonts w:ascii="Garamond" w:hAnsi="Garamond"/>
        </w:rPr>
        <w:t xml:space="preserve"> the economic consequences of improved intercity transport infrastructure, in developed and developing countries</w:t>
      </w:r>
      <w:r w:rsidR="00427422">
        <w:rPr>
          <w:rFonts w:ascii="Garamond" w:hAnsi="Garamond"/>
        </w:rPr>
        <w:t>, has in general found very positive effects.</w:t>
      </w:r>
      <w:r w:rsidR="00427422" w:rsidRPr="007B1A18">
        <w:rPr>
          <w:rFonts w:ascii="Garamond" w:hAnsi="Garamond"/>
        </w:rPr>
        <w:t xml:space="preserve"> In the United States, for example, highway connection is found to increase earnings in services (Chandra and Thompson</w:t>
      </w:r>
      <w:r w:rsidR="00427422">
        <w:rPr>
          <w:rFonts w:ascii="Garamond" w:hAnsi="Garamond"/>
        </w:rPr>
        <w:t xml:space="preserve"> </w:t>
      </w:r>
      <w:r w:rsidR="00427422" w:rsidRPr="007B1A18">
        <w:rPr>
          <w:rFonts w:ascii="Garamond" w:hAnsi="Garamond"/>
        </w:rPr>
        <w:t xml:space="preserve">2000), boost the wage of skilled relative to low-skilled workers (Michaels 2008), and stimulate </w:t>
      </w:r>
      <w:r w:rsidR="00427422" w:rsidRPr="007B1A18">
        <w:rPr>
          <w:rFonts w:ascii="Garamond" w:hAnsi="Garamond"/>
        </w:rPr>
        <w:lastRenderedPageBreak/>
        <w:t xml:space="preserve">city-level specialization in heavy goods through its effects on the weight of city exports (Duranton et al. 2014). In Brazil, Bird and Straub (2014) exploit the creation of Brasilia and subsequent infrastructure investment as a “natural experiment,” and find that access to roads reduced the inequality in the spatial distribution of economic activities among Brazilian regions. </w:t>
      </w:r>
      <w:r w:rsidR="00427422" w:rsidRPr="00E07042">
        <w:rPr>
          <w:rFonts w:ascii="Garamond" w:hAnsi="Garamond"/>
        </w:rPr>
        <w:t>Prominent examples of road-integration achievements</w:t>
      </w:r>
      <w:r w:rsidR="00427422">
        <w:rPr>
          <w:rFonts w:ascii="Garamond" w:hAnsi="Garamond"/>
        </w:rPr>
        <w:t xml:space="preserve"> in Brazil</w:t>
      </w:r>
      <w:r w:rsidR="00427422" w:rsidRPr="00E07042">
        <w:rPr>
          <w:rFonts w:ascii="Garamond" w:hAnsi="Garamond"/>
        </w:rPr>
        <w:t xml:space="preserve"> incl</w:t>
      </w:r>
      <w:r w:rsidR="00427422">
        <w:rPr>
          <w:rFonts w:ascii="Garamond" w:hAnsi="Garamond"/>
        </w:rPr>
        <w:t>ude the Trans-Amazonian Highway</w:t>
      </w:r>
      <w:r w:rsidR="00427422" w:rsidRPr="00E07042">
        <w:rPr>
          <w:rFonts w:ascii="Garamond" w:hAnsi="Garamond"/>
        </w:rPr>
        <w:t xml:space="preserve">. </w:t>
      </w:r>
      <w:r w:rsidR="0094757D" w:rsidRPr="0094757D">
        <w:rPr>
          <w:rFonts w:ascii="Garamond" w:hAnsi="Garamond"/>
        </w:rPr>
        <w:t xml:space="preserve">Yet, increasing connectivity alone will not be enough to correct for the inequalities in urban services and amenities that are pushing higher skilled individuals into larger cities, increasing inequalities within and between urban areas. In the short-to medium term, medium-size cities can think of attracting skilled human capital by improving livability, increasing the supply of amenities desired by skilled individuals as well as basic urban services. </w:t>
      </w:r>
    </w:p>
    <w:p w14:paraId="3A90FEEA" w14:textId="79FBCE4D" w:rsidR="00102FA3" w:rsidRDefault="00102FA3" w:rsidP="00102FA3">
      <w:pPr>
        <w:spacing w:line="240" w:lineRule="auto"/>
        <w:jc w:val="both"/>
        <w:rPr>
          <w:rFonts w:ascii="Garamond" w:hAnsi="Garamond"/>
        </w:rPr>
      </w:pPr>
    </w:p>
    <w:p w14:paraId="38ACC161" w14:textId="77777777" w:rsidR="00965187" w:rsidRDefault="00965187" w:rsidP="00DE6DBD">
      <w:pPr>
        <w:spacing w:line="240" w:lineRule="auto"/>
        <w:jc w:val="both"/>
        <w:rPr>
          <w:rFonts w:ascii="Garamond" w:hAnsi="Garamond"/>
          <w:b/>
          <w:color w:val="000000"/>
          <w:highlight w:val="yellow"/>
          <w14:textFill>
            <w14:solidFill>
              <w14:srgbClr w14:val="000000">
                <w14:alpha w14:val="5000"/>
              </w14:srgbClr>
            </w14:solidFill>
          </w14:textFill>
        </w:rPr>
      </w:pPr>
    </w:p>
    <w:p w14:paraId="67588327" w14:textId="77777777" w:rsidR="00965187" w:rsidRDefault="00965187" w:rsidP="00DE6DBD">
      <w:pPr>
        <w:spacing w:line="240" w:lineRule="auto"/>
        <w:jc w:val="both"/>
        <w:rPr>
          <w:rFonts w:ascii="Garamond" w:hAnsi="Garamond"/>
          <w:b/>
          <w:color w:val="000000"/>
          <w:highlight w:val="yellow"/>
          <w14:textFill>
            <w14:solidFill>
              <w14:srgbClr w14:val="000000">
                <w14:alpha w14:val="5000"/>
              </w14:srgbClr>
            </w14:solidFill>
          </w14:textFill>
        </w:rPr>
      </w:pPr>
    </w:p>
    <w:sectPr w:rsidR="00965187" w:rsidSect="00DC7C9F">
      <w:footerReference w:type="default" r:id="rId2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FC1D5" w14:textId="77777777" w:rsidR="00DC4845" w:rsidRDefault="00DC4845" w:rsidP="003045EE">
      <w:pPr>
        <w:spacing w:after="0" w:line="240" w:lineRule="auto"/>
      </w:pPr>
      <w:r>
        <w:separator/>
      </w:r>
    </w:p>
  </w:endnote>
  <w:endnote w:type="continuationSeparator" w:id="0">
    <w:p w14:paraId="55B1C93C" w14:textId="77777777" w:rsidR="00DC4845" w:rsidRDefault="00DC4845" w:rsidP="0030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514468704"/>
      <w:docPartObj>
        <w:docPartGallery w:val="Page Numbers (Bottom of Page)"/>
        <w:docPartUnique/>
      </w:docPartObj>
    </w:sdtPr>
    <w:sdtEndPr>
      <w:rPr>
        <w:noProof/>
      </w:rPr>
    </w:sdtEndPr>
    <w:sdtContent>
      <w:p w14:paraId="5392A5A9" w14:textId="5C3F711D" w:rsidR="00DC4845" w:rsidRPr="005057F5" w:rsidRDefault="00DC4845">
        <w:pPr>
          <w:pStyle w:val="Footer"/>
          <w:jc w:val="right"/>
          <w:rPr>
            <w:rFonts w:ascii="Garamond" w:hAnsi="Garamond"/>
          </w:rPr>
        </w:pPr>
        <w:r w:rsidRPr="005057F5">
          <w:rPr>
            <w:rFonts w:ascii="Garamond" w:hAnsi="Garamond"/>
          </w:rPr>
          <w:fldChar w:fldCharType="begin"/>
        </w:r>
        <w:r w:rsidRPr="005057F5">
          <w:rPr>
            <w:rFonts w:ascii="Garamond" w:hAnsi="Garamond"/>
          </w:rPr>
          <w:instrText xml:space="preserve"> PAGE   \* MERGEFORMAT </w:instrText>
        </w:r>
        <w:r w:rsidRPr="005057F5">
          <w:rPr>
            <w:rFonts w:ascii="Garamond" w:hAnsi="Garamond"/>
          </w:rPr>
          <w:fldChar w:fldCharType="separate"/>
        </w:r>
        <w:r w:rsidR="00544108">
          <w:rPr>
            <w:rFonts w:ascii="Garamond" w:hAnsi="Garamond"/>
            <w:noProof/>
          </w:rPr>
          <w:t>16</w:t>
        </w:r>
        <w:r w:rsidRPr="005057F5">
          <w:rPr>
            <w:rFonts w:ascii="Garamond" w:hAnsi="Garamond"/>
            <w:noProof/>
          </w:rPr>
          <w:fldChar w:fldCharType="end"/>
        </w:r>
      </w:p>
    </w:sdtContent>
  </w:sdt>
  <w:p w14:paraId="4C055148" w14:textId="77777777" w:rsidR="00DC4845" w:rsidRDefault="00DC4845">
    <w:pPr>
      <w:pStyle w:val="Footer"/>
    </w:pPr>
  </w:p>
  <w:p w14:paraId="2DCB3956" w14:textId="77777777" w:rsidR="00DC4845" w:rsidRDefault="00DC4845"/>
  <w:p w14:paraId="6DBDCE87" w14:textId="77777777" w:rsidR="00DC4845" w:rsidRDefault="00DC4845"/>
  <w:p w14:paraId="32F0DD30" w14:textId="77777777" w:rsidR="00DC4845" w:rsidRDefault="00DC4845"/>
  <w:p w14:paraId="0F949D59" w14:textId="77777777" w:rsidR="00DC4845" w:rsidRDefault="00DC4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BAEB" w14:textId="77777777" w:rsidR="00DC4845" w:rsidRDefault="00DC4845" w:rsidP="003045EE">
      <w:pPr>
        <w:spacing w:after="0" w:line="240" w:lineRule="auto"/>
      </w:pPr>
      <w:r>
        <w:separator/>
      </w:r>
    </w:p>
  </w:footnote>
  <w:footnote w:type="continuationSeparator" w:id="0">
    <w:p w14:paraId="2F91C954" w14:textId="77777777" w:rsidR="00DC4845" w:rsidRDefault="00DC4845" w:rsidP="003045EE">
      <w:pPr>
        <w:spacing w:after="0" w:line="240" w:lineRule="auto"/>
      </w:pPr>
      <w:r>
        <w:continuationSeparator/>
      </w:r>
    </w:p>
  </w:footnote>
  <w:footnote w:id="1">
    <w:p w14:paraId="77E0B8F0" w14:textId="1210CFAF" w:rsidR="00DC4845" w:rsidRPr="009021F0" w:rsidRDefault="00DC4845" w:rsidP="000D7A5C">
      <w:pPr>
        <w:pStyle w:val="FootnoteText"/>
        <w:jc w:val="both"/>
        <w:rPr>
          <w:rFonts w:ascii="Garamond" w:hAnsi="Garamond"/>
          <w:sz w:val="18"/>
          <w:szCs w:val="18"/>
        </w:rPr>
      </w:pPr>
      <w:r w:rsidRPr="009021F0">
        <w:rPr>
          <w:rStyle w:val="FootnoteReference"/>
          <w:rFonts w:ascii="Garamond" w:hAnsi="Garamond"/>
          <w:sz w:val="18"/>
          <w:szCs w:val="18"/>
        </w:rPr>
        <w:footnoteRef/>
      </w:r>
      <w:r w:rsidRPr="009021F0">
        <w:rPr>
          <w:rFonts w:ascii="Garamond" w:hAnsi="Garamond"/>
          <w:sz w:val="18"/>
          <w:szCs w:val="18"/>
        </w:rPr>
        <w:t xml:space="preserve"> </w:t>
      </w:r>
      <w:r w:rsidR="004958C7" w:rsidRPr="009021F0">
        <w:rPr>
          <w:rFonts w:ascii="Garamond" w:hAnsi="Garamond"/>
          <w:sz w:val="18"/>
          <w:szCs w:val="18"/>
        </w:rPr>
        <w:t xml:space="preserve">This country-note summarizes the findings in the World Bank Flagship Report 2018 (Ferreyra and Roberts, eds., 2018) Raising the Bar for Productive Cities in Latin America and the Caribbean. It focuses on conclusions that can be derived for </w:t>
      </w:r>
      <w:r w:rsidR="004958C7">
        <w:rPr>
          <w:rFonts w:ascii="Garamond" w:hAnsi="Garamond"/>
          <w:sz w:val="18"/>
          <w:szCs w:val="18"/>
        </w:rPr>
        <w:t>Brazil</w:t>
      </w:r>
      <w:r w:rsidR="004958C7" w:rsidRPr="009021F0">
        <w:rPr>
          <w:rFonts w:ascii="Garamond" w:hAnsi="Garamond"/>
          <w:sz w:val="18"/>
          <w:szCs w:val="18"/>
        </w:rPr>
        <w:t>, and provides policy-implications. Detailed discussions and definitions can be found in the overall report. All references not specifically cited are in the main report.</w:t>
      </w:r>
    </w:p>
  </w:footnote>
  <w:footnote w:id="2">
    <w:p w14:paraId="55C4F6AD" w14:textId="77777777" w:rsidR="00DC4845" w:rsidRPr="009021F0" w:rsidRDefault="00DC4845" w:rsidP="007F0D44">
      <w:pPr>
        <w:pStyle w:val="FootnoteText"/>
        <w:jc w:val="both"/>
        <w:rPr>
          <w:rFonts w:ascii="Garamond" w:hAnsi="Garamond" w:cstheme="minorHAnsi"/>
          <w:sz w:val="18"/>
          <w:szCs w:val="18"/>
        </w:rPr>
      </w:pPr>
      <w:r w:rsidRPr="009021F0">
        <w:rPr>
          <w:rStyle w:val="FootnoteReference"/>
          <w:rFonts w:ascii="Garamond" w:hAnsi="Garamond" w:cstheme="minorHAnsi"/>
          <w:sz w:val="18"/>
          <w:szCs w:val="18"/>
        </w:rPr>
        <w:footnoteRef/>
      </w:r>
      <w:r w:rsidRPr="009021F0">
        <w:rPr>
          <w:rFonts w:ascii="Garamond" w:hAnsi="Garamond" w:cstheme="minorHAnsi"/>
          <w:sz w:val="18"/>
          <w:szCs w:val="18"/>
        </w:rPr>
        <w:t xml:space="preserve"> This is based on official national definitions of urban areas; whereas the first few chapters of the report focus on the use of alternative measures of urbanization (i.e. both the “cluster” method and the AI) that are consistently defined across countries. These measures tend to indicate a higher level of urbanization globally (around 70 percent based on the cluster method).</w:t>
      </w:r>
    </w:p>
  </w:footnote>
  <w:footnote w:id="3">
    <w:p w14:paraId="6FC77A44" w14:textId="326CB9A2" w:rsidR="00DC4845" w:rsidRPr="009021F0" w:rsidRDefault="00DC4845" w:rsidP="0009003A">
      <w:pPr>
        <w:pStyle w:val="FootnoteText"/>
        <w:jc w:val="both"/>
        <w:rPr>
          <w:rFonts w:ascii="Garamond" w:hAnsi="Garamond"/>
          <w:sz w:val="18"/>
          <w:szCs w:val="18"/>
        </w:rPr>
      </w:pPr>
      <w:r w:rsidRPr="009021F0">
        <w:rPr>
          <w:rStyle w:val="FootnoteReference"/>
          <w:rFonts w:ascii="Garamond" w:hAnsi="Garamond"/>
          <w:sz w:val="18"/>
          <w:szCs w:val="18"/>
        </w:rPr>
        <w:footnoteRef/>
      </w:r>
      <w:r w:rsidRPr="009021F0">
        <w:rPr>
          <w:rFonts w:ascii="Garamond" w:hAnsi="Garamond"/>
          <w:sz w:val="18"/>
          <w:szCs w:val="18"/>
        </w:rPr>
        <w:t xml:space="preserve">   For definitions see the official WB Flagship Report “Cities &amp; Productivity in LAC” (Ferreyra and Roberts, eds., 2018), Introduction &amp; Overview; and the background paper: Roberts, M., Blankespoor, B., Deuskar, C. and Stewart, B.P., 2017. Urbanization and development: is Latin America and the Caribbean different from the rest of the world?. World Bank Policy Research Working Paper No. 8019  </w:t>
      </w:r>
    </w:p>
  </w:footnote>
  <w:footnote w:id="4">
    <w:p w14:paraId="2F420887" w14:textId="21F59BDC" w:rsidR="00DC4845" w:rsidRPr="009021F0" w:rsidRDefault="00DC4845" w:rsidP="0009003A">
      <w:pPr>
        <w:pStyle w:val="FootnoteText"/>
        <w:jc w:val="both"/>
        <w:rPr>
          <w:rFonts w:ascii="Garamond" w:hAnsi="Garamond"/>
          <w:sz w:val="18"/>
          <w:szCs w:val="18"/>
        </w:rPr>
      </w:pPr>
      <w:r w:rsidRPr="009021F0">
        <w:rPr>
          <w:rStyle w:val="FootnoteReference"/>
          <w:rFonts w:ascii="Garamond" w:hAnsi="Garamond"/>
          <w:sz w:val="18"/>
          <w:szCs w:val="18"/>
        </w:rPr>
        <w:footnoteRef/>
      </w:r>
      <w:r w:rsidRPr="009021F0">
        <w:rPr>
          <w:rFonts w:ascii="Garamond" w:hAnsi="Garamond"/>
          <w:sz w:val="18"/>
          <w:szCs w:val="18"/>
        </w:rPr>
        <w:t xml:space="preserve"> Because the authors do not control for an urban area’s capital stock given data limitations, they caution that this higher productivity may be attributable to a higher capital–labor ratio, higher TFP, or both—in other words, the higher level of productivity most accurately represents higher labor productivity.</w:t>
      </w:r>
    </w:p>
  </w:footnote>
  <w:footnote w:id="5">
    <w:p w14:paraId="0388622C" w14:textId="77777777" w:rsidR="00DC4845" w:rsidRPr="009021F0" w:rsidRDefault="00DC4845" w:rsidP="0009003A">
      <w:pPr>
        <w:pStyle w:val="FootnoteText"/>
        <w:jc w:val="both"/>
        <w:rPr>
          <w:rFonts w:ascii="Garamond" w:hAnsi="Garamond"/>
          <w:sz w:val="18"/>
          <w:szCs w:val="18"/>
        </w:rPr>
      </w:pPr>
      <w:r w:rsidRPr="009021F0">
        <w:rPr>
          <w:rStyle w:val="FootnoteReference"/>
          <w:rFonts w:ascii="Garamond" w:hAnsi="Garamond"/>
          <w:sz w:val="18"/>
          <w:szCs w:val="18"/>
        </w:rPr>
        <w:footnoteRef/>
      </w:r>
      <w:r w:rsidRPr="009021F0">
        <w:rPr>
          <w:rFonts w:ascii="Garamond" w:hAnsi="Garamond"/>
          <w:sz w:val="18"/>
          <w:szCs w:val="18"/>
        </w:rPr>
        <w:t xml:space="preserve"> See original data and definitions in Box 1.</w:t>
      </w:r>
    </w:p>
  </w:footnote>
  <w:footnote w:id="6">
    <w:p w14:paraId="75545753" w14:textId="479BB834" w:rsidR="00D41424" w:rsidRDefault="00D41424">
      <w:pPr>
        <w:pStyle w:val="FootnoteText"/>
      </w:pPr>
      <w:r>
        <w:rPr>
          <w:rStyle w:val="FootnoteReference"/>
        </w:rPr>
        <w:footnoteRef/>
      </w:r>
      <w:r>
        <w:t xml:space="preserve"> </w:t>
      </w:r>
      <w:r w:rsidRPr="009B3BAC">
        <w:rPr>
          <w:rFonts w:ascii="Garamond" w:hAnsi="Garamond"/>
          <w:sz w:val="18"/>
        </w:rPr>
        <w:t>Urban primacy is defined as the share of a country’s urban population living in its most populous urban area.</w:t>
      </w:r>
    </w:p>
  </w:footnote>
  <w:footnote w:id="7">
    <w:p w14:paraId="043862B2" w14:textId="77777777" w:rsidR="00DC4845" w:rsidRPr="000131E3" w:rsidRDefault="00DC4845" w:rsidP="00BD4C11">
      <w:pPr>
        <w:pStyle w:val="FootnoteText"/>
        <w:rPr>
          <w:rFonts w:ascii="Garamond" w:hAnsi="Garamond" w:cstheme="minorHAnsi"/>
          <w:sz w:val="18"/>
          <w:szCs w:val="18"/>
        </w:rPr>
      </w:pPr>
      <w:r w:rsidRPr="000131E3">
        <w:rPr>
          <w:rStyle w:val="FootnoteReference"/>
          <w:rFonts w:ascii="Garamond" w:hAnsi="Garamond" w:cstheme="minorHAnsi"/>
          <w:sz w:val="18"/>
          <w:szCs w:val="18"/>
        </w:rPr>
        <w:footnoteRef/>
      </w:r>
      <w:r w:rsidRPr="000131E3">
        <w:rPr>
          <w:rFonts w:ascii="Garamond" w:hAnsi="Garamond" w:cstheme="minorHAnsi"/>
          <w:sz w:val="18"/>
          <w:szCs w:val="18"/>
        </w:rPr>
        <w:t xml:space="preserve"> Based on a global sample of countries.</w:t>
      </w:r>
    </w:p>
  </w:footnote>
  <w:footnote w:id="8">
    <w:p w14:paraId="7CC11111" w14:textId="16BADA49" w:rsidR="00DC4845" w:rsidRPr="009021F0" w:rsidRDefault="00DC4845" w:rsidP="0009003A">
      <w:pPr>
        <w:pStyle w:val="FootnoteText"/>
        <w:jc w:val="both"/>
        <w:rPr>
          <w:rFonts w:ascii="Garamond" w:hAnsi="Garamond"/>
          <w:sz w:val="18"/>
          <w:szCs w:val="18"/>
        </w:rPr>
      </w:pPr>
      <w:r w:rsidRPr="009021F0">
        <w:rPr>
          <w:rStyle w:val="FootnoteReference"/>
          <w:rFonts w:ascii="Garamond" w:hAnsi="Garamond"/>
          <w:sz w:val="18"/>
          <w:szCs w:val="18"/>
        </w:rPr>
        <w:footnoteRef/>
      </w:r>
      <w:r w:rsidRPr="009021F0">
        <w:rPr>
          <w:rStyle w:val="FootnoteReference"/>
          <w:rFonts w:ascii="Garamond" w:hAnsi="Garamond"/>
          <w:sz w:val="18"/>
          <w:szCs w:val="18"/>
        </w:rPr>
        <w:t xml:space="preserve"> </w:t>
      </w:r>
      <w:r w:rsidRPr="009021F0">
        <w:rPr>
          <w:rStyle w:val="FootnoteReference"/>
          <w:rFonts w:ascii="Garamond" w:hAnsi="Garamond"/>
          <w:sz w:val="18"/>
          <w:szCs w:val="18"/>
          <w:vertAlign w:val="baseline"/>
        </w:rPr>
        <w:t xml:space="preserve">Original graph and definitions can be found </w:t>
      </w:r>
      <w:r w:rsidRPr="009021F0">
        <w:rPr>
          <w:rFonts w:ascii="Garamond" w:hAnsi="Garamond"/>
          <w:sz w:val="18"/>
          <w:szCs w:val="18"/>
        </w:rPr>
        <w:t>i</w:t>
      </w:r>
      <w:r w:rsidRPr="009021F0">
        <w:rPr>
          <w:rStyle w:val="FootnoteReference"/>
          <w:rFonts w:ascii="Garamond" w:hAnsi="Garamond"/>
          <w:sz w:val="18"/>
          <w:szCs w:val="18"/>
          <w:vertAlign w:val="baseline"/>
        </w:rPr>
        <w:t>n R</w:t>
      </w:r>
      <w:r w:rsidRPr="009021F0">
        <w:rPr>
          <w:rFonts w:ascii="Garamond" w:hAnsi="Garamond"/>
          <w:sz w:val="18"/>
          <w:szCs w:val="18"/>
        </w:rPr>
        <w:t>oberts</w:t>
      </w:r>
      <w:r w:rsidRPr="009021F0">
        <w:rPr>
          <w:rStyle w:val="FootnoteReference"/>
          <w:rFonts w:ascii="Garamond" w:hAnsi="Garamond"/>
          <w:sz w:val="18"/>
          <w:szCs w:val="18"/>
          <w:vertAlign w:val="baseline"/>
        </w:rPr>
        <w:t xml:space="preserve"> 2018, Chapter </w:t>
      </w:r>
      <w:r w:rsidRPr="009021F0">
        <w:rPr>
          <w:rFonts w:ascii="Garamond" w:hAnsi="Garamond"/>
          <w:sz w:val="18"/>
          <w:szCs w:val="18"/>
        </w:rPr>
        <w:t>2.</w:t>
      </w:r>
    </w:p>
  </w:footnote>
  <w:footnote w:id="9">
    <w:p w14:paraId="47A6016E" w14:textId="77777777" w:rsidR="00DC4845" w:rsidRPr="009021F0" w:rsidRDefault="00DC4845" w:rsidP="00D20565">
      <w:pPr>
        <w:pStyle w:val="FootnoteText"/>
        <w:jc w:val="both"/>
        <w:rPr>
          <w:rFonts w:ascii="Garamond" w:hAnsi="Garamond"/>
          <w:sz w:val="18"/>
          <w:szCs w:val="18"/>
        </w:rPr>
      </w:pPr>
      <w:r w:rsidRPr="009021F0">
        <w:rPr>
          <w:rStyle w:val="FootnoteReference"/>
          <w:rFonts w:ascii="Garamond" w:hAnsi="Garamond"/>
          <w:sz w:val="18"/>
          <w:szCs w:val="18"/>
        </w:rPr>
        <w:footnoteRef/>
      </w:r>
      <w:r w:rsidRPr="009021F0">
        <w:rPr>
          <w:rFonts w:ascii="Garamond" w:hAnsi="Garamond"/>
          <w:sz w:val="18"/>
          <w:szCs w:val="18"/>
        </w:rPr>
        <w:t xml:space="preserve"> Location premiums are calculated using nominal average wages (see Chapter 3, Figures 3.3 and 3.4 p.102).</w:t>
      </w:r>
    </w:p>
  </w:footnote>
  <w:footnote w:id="10">
    <w:p w14:paraId="60D728B7" w14:textId="01A8C68E" w:rsidR="00DC4845" w:rsidRPr="009021F0" w:rsidRDefault="00DC4845">
      <w:pPr>
        <w:pStyle w:val="FootnoteText"/>
        <w:rPr>
          <w:rFonts w:ascii="Garamond" w:hAnsi="Garamond"/>
          <w:sz w:val="18"/>
          <w:szCs w:val="18"/>
        </w:rPr>
      </w:pPr>
      <w:r w:rsidRPr="009021F0">
        <w:rPr>
          <w:rStyle w:val="FootnoteReference"/>
          <w:rFonts w:ascii="Garamond" w:hAnsi="Garamond"/>
          <w:sz w:val="18"/>
          <w:szCs w:val="18"/>
        </w:rPr>
        <w:footnoteRef/>
      </w:r>
      <w:r w:rsidRPr="009021F0">
        <w:rPr>
          <w:rStyle w:val="FootnoteReference"/>
          <w:rFonts w:ascii="Garamond" w:hAnsi="Garamond"/>
          <w:sz w:val="18"/>
          <w:szCs w:val="18"/>
          <w:vertAlign w:val="baseline"/>
        </w:rPr>
        <w:t xml:space="preserve"> Population sorting refers to the fact that people do not randomly locate across space, but they rate locate based on the place’s or their own characteristics.</w:t>
      </w:r>
      <w:r w:rsidRPr="009021F0">
        <w:rPr>
          <w:rFonts w:ascii="Garamond" w:hAnsi="Garamond"/>
          <w:sz w:val="18"/>
          <w:szCs w:val="18"/>
        </w:rPr>
        <w:t xml:space="preserve"> </w:t>
      </w:r>
    </w:p>
  </w:footnote>
  <w:footnote w:id="11">
    <w:p w14:paraId="4691B2CD" w14:textId="77777777" w:rsidR="00DC4845" w:rsidRPr="009021F0" w:rsidRDefault="00DC4845" w:rsidP="00D20565">
      <w:pPr>
        <w:pStyle w:val="FootnoteText"/>
        <w:jc w:val="both"/>
        <w:rPr>
          <w:rFonts w:ascii="Garamond" w:hAnsi="Garamond"/>
          <w:sz w:val="18"/>
          <w:szCs w:val="18"/>
        </w:rPr>
      </w:pPr>
      <w:r w:rsidRPr="009021F0">
        <w:rPr>
          <w:rStyle w:val="FootnoteReference"/>
          <w:rFonts w:ascii="Garamond" w:hAnsi="Garamond"/>
          <w:sz w:val="18"/>
          <w:szCs w:val="18"/>
        </w:rPr>
        <w:footnoteRef/>
      </w:r>
      <w:r w:rsidRPr="009021F0">
        <w:rPr>
          <w:rFonts w:ascii="Garamond" w:hAnsi="Garamond"/>
          <w:sz w:val="18"/>
          <w:szCs w:val="18"/>
        </w:rPr>
        <w:t xml:space="preserve"> These are conditioned on workers characteristics.</w:t>
      </w:r>
    </w:p>
  </w:footnote>
  <w:footnote w:id="12">
    <w:p w14:paraId="633CD5F7" w14:textId="7E04266D" w:rsidR="00D41424" w:rsidRPr="00D41424" w:rsidRDefault="00D41424">
      <w:pPr>
        <w:pStyle w:val="FootnoteText"/>
        <w:rPr>
          <w:rFonts w:ascii="Garamond" w:hAnsi="Garamond"/>
        </w:rPr>
      </w:pPr>
      <w:r w:rsidRPr="00D41424">
        <w:rPr>
          <w:rStyle w:val="FootnoteReference"/>
          <w:rFonts w:ascii="Garamond" w:hAnsi="Garamond"/>
        </w:rPr>
        <w:footnoteRef/>
      </w:r>
      <w:r w:rsidRPr="00D41424">
        <w:rPr>
          <w:rFonts w:ascii="Garamond" w:hAnsi="Garamond"/>
          <w:lang w:val="fr-FR"/>
        </w:rPr>
        <w:t xml:space="preserve"> LAC Infrastructure GAP. </w:t>
      </w:r>
      <w:r w:rsidRPr="00D41424">
        <w:rPr>
          <w:rFonts w:ascii="Garamond" w:hAnsi="Garamond"/>
        </w:rPr>
        <w:t>A Territorial Development Perspective (2015); World Bank.</w:t>
      </w:r>
    </w:p>
  </w:footnote>
  <w:footnote w:id="13">
    <w:p w14:paraId="192D95E7" w14:textId="0FBCDCC8" w:rsidR="00DC4845" w:rsidRPr="009021F0" w:rsidRDefault="00DC4845">
      <w:pPr>
        <w:pStyle w:val="FootnoteText"/>
        <w:rPr>
          <w:rFonts w:ascii="Garamond" w:hAnsi="Garamond"/>
        </w:rPr>
      </w:pPr>
      <w:r w:rsidRPr="009021F0">
        <w:rPr>
          <w:rStyle w:val="FootnoteReference"/>
          <w:rFonts w:ascii="Garamond" w:hAnsi="Garamond"/>
        </w:rPr>
        <w:footnoteRef/>
      </w:r>
      <w:r w:rsidRPr="009021F0">
        <w:rPr>
          <w:rFonts w:ascii="Garamond" w:hAnsi="Garamond"/>
        </w:rPr>
        <w:t xml:space="preserve"> See background paper, </w:t>
      </w:r>
      <w:r w:rsidRPr="009021F0">
        <w:rPr>
          <w:rFonts w:ascii="Garamond" w:hAnsi="Garamond"/>
          <w:bCs/>
          <w:i/>
        </w:rPr>
        <w:t>Spatial misallocation of labor in Brazil</w:t>
      </w:r>
      <w:r w:rsidRPr="009021F0">
        <w:rPr>
          <w:rFonts w:ascii="Garamond" w:hAnsi="Garamond"/>
          <w:bCs/>
        </w:rPr>
        <w:t>,</w:t>
      </w:r>
      <w:r w:rsidRPr="009021F0">
        <w:rPr>
          <w:rFonts w:ascii="Garamond" w:hAnsi="Garamond"/>
        </w:rPr>
        <w:t xml:space="preserve"> Bastos 2017.</w:t>
      </w:r>
    </w:p>
  </w:footnote>
  <w:footnote w:id="14">
    <w:p w14:paraId="7F4395C5" w14:textId="44AF0E32" w:rsidR="00DC4845" w:rsidRPr="009021F0" w:rsidRDefault="00DC4845" w:rsidP="009D7DCC">
      <w:pPr>
        <w:pStyle w:val="FootnoteText"/>
        <w:rPr>
          <w:rFonts w:ascii="Garamond" w:hAnsi="Garamond"/>
          <w:sz w:val="18"/>
          <w:szCs w:val="18"/>
        </w:rPr>
      </w:pPr>
      <w:r w:rsidRPr="009021F0">
        <w:rPr>
          <w:rStyle w:val="FootnoteReference"/>
          <w:rFonts w:ascii="Garamond" w:hAnsi="Garamond"/>
          <w:sz w:val="18"/>
          <w:szCs w:val="18"/>
        </w:rPr>
        <w:footnoteRef/>
      </w:r>
      <w:r w:rsidRPr="009021F0">
        <w:rPr>
          <w:rFonts w:ascii="Garamond" w:hAnsi="Garamond"/>
          <w:sz w:val="18"/>
          <w:szCs w:val="18"/>
        </w:rPr>
        <w:t xml:space="preserve"> See background paper, </w:t>
      </w:r>
      <w:r w:rsidRPr="009021F0">
        <w:rPr>
          <w:rFonts w:ascii="Garamond" w:hAnsi="Garamond"/>
          <w:bCs/>
          <w:i/>
          <w:sz w:val="18"/>
          <w:szCs w:val="18"/>
        </w:rPr>
        <w:t>Spatial misallocation of labor in Brazil</w:t>
      </w:r>
      <w:r w:rsidRPr="009021F0">
        <w:rPr>
          <w:rFonts w:ascii="Garamond" w:hAnsi="Garamond"/>
          <w:bCs/>
          <w:sz w:val="18"/>
          <w:szCs w:val="18"/>
        </w:rPr>
        <w:t>,</w:t>
      </w:r>
      <w:r w:rsidRPr="009021F0">
        <w:rPr>
          <w:rFonts w:ascii="Garamond" w:hAnsi="Garamond"/>
          <w:sz w:val="18"/>
          <w:szCs w:val="18"/>
        </w:rPr>
        <w:t xml:space="preserve"> Bastos 2017.</w:t>
      </w:r>
    </w:p>
  </w:footnote>
  <w:footnote w:id="15">
    <w:p w14:paraId="23429471" w14:textId="77777777" w:rsidR="00176F85" w:rsidRPr="00176F85" w:rsidRDefault="00176F85" w:rsidP="00176F85">
      <w:pPr>
        <w:pStyle w:val="FootnoteText"/>
        <w:contextualSpacing/>
        <w:jc w:val="both"/>
        <w:rPr>
          <w:rFonts w:ascii="Garamond" w:hAnsi="Garamond"/>
          <w:szCs w:val="18"/>
        </w:rPr>
      </w:pPr>
      <w:r w:rsidRPr="00176F85">
        <w:rPr>
          <w:rStyle w:val="FootnoteReference"/>
          <w:rFonts w:ascii="Garamond" w:hAnsi="Garamond"/>
          <w:sz w:val="18"/>
          <w:szCs w:val="18"/>
        </w:rPr>
        <w:footnoteRef/>
      </w:r>
      <w:r w:rsidRPr="00176F85">
        <w:rPr>
          <w:rFonts w:ascii="Garamond" w:hAnsi="Garamond"/>
          <w:sz w:val="18"/>
          <w:szCs w:val="18"/>
        </w:rPr>
        <w:t xml:space="preserve"> Pesquisa CNT de Rodovias 2016.</w:t>
      </w:r>
    </w:p>
  </w:footnote>
  <w:footnote w:id="16">
    <w:p w14:paraId="40B27873" w14:textId="01436E0B" w:rsidR="00DC4845" w:rsidRPr="009021F0" w:rsidRDefault="00DC4845" w:rsidP="00B04477">
      <w:pPr>
        <w:pStyle w:val="FootnoteText"/>
        <w:jc w:val="both"/>
        <w:rPr>
          <w:rFonts w:ascii="Garamond" w:hAnsi="Garamond"/>
          <w:sz w:val="18"/>
          <w:szCs w:val="18"/>
        </w:rPr>
      </w:pPr>
      <w:r w:rsidRPr="009021F0">
        <w:rPr>
          <w:rStyle w:val="FootnoteReference"/>
          <w:rFonts w:ascii="Garamond" w:hAnsi="Garamond"/>
          <w:sz w:val="18"/>
          <w:szCs w:val="18"/>
        </w:rPr>
        <w:footnoteRef/>
      </w:r>
      <w:r w:rsidRPr="009021F0">
        <w:rPr>
          <w:rFonts w:ascii="Garamond" w:hAnsi="Garamond"/>
          <w:sz w:val="18"/>
          <w:szCs w:val="18"/>
        </w:rPr>
        <w:t xml:space="preserve"> Urban form has multiple spatial dimensions, such as the geometric shape of the urban extent, the internal structure of the city as determined for example by its transport network, and the land use patterns as reflected through the distribution of population and buildings under a city’s footprint. See Box 1 for definitions.</w:t>
      </w:r>
    </w:p>
  </w:footnote>
  <w:footnote w:id="17">
    <w:p w14:paraId="2EFD8FA0" w14:textId="77777777" w:rsidR="006F7B50" w:rsidRPr="0032434D" w:rsidRDefault="006F7B50" w:rsidP="006F7B50">
      <w:pPr>
        <w:pStyle w:val="FootnoteText"/>
        <w:jc w:val="both"/>
      </w:pPr>
      <w:r w:rsidRPr="0032434D">
        <w:rPr>
          <w:rStyle w:val="FootnoteReference"/>
          <w:rFonts w:ascii="Garamond" w:hAnsi="Garamond"/>
          <w:sz w:val="18"/>
          <w:szCs w:val="18"/>
        </w:rPr>
        <w:footnoteRef/>
      </w:r>
      <w:r w:rsidRPr="0032434D">
        <w:rPr>
          <w:rStyle w:val="FootnoteReference"/>
          <w:rFonts w:ascii="Garamond" w:hAnsi="Garamond"/>
          <w:sz w:val="18"/>
          <w:szCs w:val="18"/>
          <w:vertAlign w:val="baseline"/>
        </w:rPr>
        <w:t xml:space="preserve"> MCAs</w:t>
      </w:r>
      <w:r>
        <w:rPr>
          <w:rFonts w:ascii="Garamond" w:hAnsi="Garamond"/>
          <w:sz w:val="18"/>
          <w:szCs w:val="18"/>
        </w:rPr>
        <w:t xml:space="preserve"> </w:t>
      </w:r>
      <w:r w:rsidRPr="0032434D">
        <w:rPr>
          <w:rStyle w:val="FootnoteReference"/>
          <w:rFonts w:ascii="Garamond" w:hAnsi="Garamond"/>
          <w:sz w:val="18"/>
          <w:szCs w:val="18"/>
          <w:vertAlign w:val="baseline"/>
        </w:rPr>
        <w:t>are defined as urban areas identified by the cluster algorithm that encom</w:t>
      </w:r>
      <w:r w:rsidRPr="0032434D">
        <w:rPr>
          <w:rStyle w:val="FootnoteReference"/>
          <w:rFonts w:ascii="Garamond" w:hAnsi="Garamond"/>
          <w:sz w:val="18"/>
          <w:szCs w:val="18"/>
          <w:vertAlign w:val="baseline"/>
        </w:rPr>
        <w:softHyphen/>
        <w:t>pass two or more cities as given by countries’ own definitions. Each component city must have at least 100,000 people.</w:t>
      </w:r>
    </w:p>
  </w:footnote>
  <w:footnote w:id="18">
    <w:p w14:paraId="39AA1A7F" w14:textId="77777777" w:rsidR="006F7B50" w:rsidRPr="009D1287" w:rsidRDefault="006F7B50" w:rsidP="006F7B50">
      <w:pPr>
        <w:pStyle w:val="FootnoteText"/>
        <w:jc w:val="both"/>
      </w:pPr>
      <w:r w:rsidRPr="009D1287">
        <w:rPr>
          <w:rStyle w:val="FootnoteReference"/>
          <w:rFonts w:ascii="Garamond" w:hAnsi="Garamond"/>
          <w:sz w:val="18"/>
          <w:szCs w:val="18"/>
        </w:rPr>
        <w:footnoteRef/>
      </w:r>
      <w:r w:rsidRPr="009D1287">
        <w:rPr>
          <w:rStyle w:val="FootnoteReference"/>
          <w:rFonts w:ascii="Garamond" w:hAnsi="Garamond"/>
          <w:sz w:val="18"/>
          <w:szCs w:val="18"/>
          <w:vertAlign w:val="baseline"/>
        </w:rPr>
        <w:t xml:space="preserve"> Number of administrative units in 2010</w:t>
      </w:r>
      <w:r>
        <w:rPr>
          <w:rStyle w:val="FootnoteReference"/>
          <w:rFonts w:ascii="Garamond" w:hAnsi="Garamond"/>
          <w:sz w:val="18"/>
          <w:szCs w:val="18"/>
          <w:vertAlign w:val="baseline"/>
        </w:rPr>
        <w:t>.</w:t>
      </w:r>
    </w:p>
  </w:footnote>
  <w:footnote w:id="19">
    <w:p w14:paraId="2CB78246" w14:textId="32617214" w:rsidR="00DC4845" w:rsidRPr="009021F0" w:rsidRDefault="00DC4845">
      <w:pPr>
        <w:pStyle w:val="FootnoteText"/>
        <w:rPr>
          <w:rFonts w:ascii="Garamond" w:hAnsi="Garamond"/>
          <w:sz w:val="18"/>
          <w:szCs w:val="18"/>
        </w:rPr>
      </w:pPr>
      <w:r w:rsidRPr="009021F0">
        <w:rPr>
          <w:rStyle w:val="FootnoteReference"/>
          <w:rFonts w:ascii="Garamond" w:hAnsi="Garamond"/>
          <w:sz w:val="18"/>
          <w:szCs w:val="18"/>
        </w:rPr>
        <w:footnoteRef/>
      </w:r>
      <w:r w:rsidRPr="009021F0">
        <w:rPr>
          <w:rFonts w:ascii="Garamond" w:hAnsi="Garamond"/>
          <w:sz w:val="18"/>
          <w:szCs w:val="18"/>
        </w:rPr>
        <w:t xml:space="preserve"> Ed Glaeser, The Triumph of the City (2011). </w:t>
      </w:r>
    </w:p>
  </w:footnote>
  <w:footnote w:id="20">
    <w:p w14:paraId="52F370D6" w14:textId="77777777" w:rsidR="00DC4845" w:rsidRPr="009021F0" w:rsidRDefault="00DC4845" w:rsidP="00392568">
      <w:pPr>
        <w:pStyle w:val="FootnoteText"/>
        <w:rPr>
          <w:rFonts w:ascii="Garamond" w:hAnsi="Garamond"/>
          <w:sz w:val="18"/>
          <w:szCs w:val="18"/>
        </w:rPr>
      </w:pPr>
      <w:r w:rsidRPr="009021F0">
        <w:rPr>
          <w:rStyle w:val="FootnoteReference"/>
          <w:rFonts w:ascii="Garamond" w:hAnsi="Garamond"/>
          <w:sz w:val="18"/>
          <w:szCs w:val="18"/>
        </w:rPr>
        <w:footnoteRef/>
      </w:r>
      <w:r w:rsidRPr="009021F0">
        <w:rPr>
          <w:rFonts w:ascii="Garamond" w:hAnsi="Garamond"/>
          <w:sz w:val="18"/>
          <w:szCs w:val="18"/>
        </w:rPr>
        <w:t xml:space="preserve"> Metropolitan Governance in Brazil: Inputs for an Agenda and Strategy, World Bank 2015.</w:t>
      </w:r>
    </w:p>
  </w:footnote>
  <w:footnote w:id="21">
    <w:p w14:paraId="2298DEBE" w14:textId="74F6322E" w:rsidR="00DC4845" w:rsidRPr="009021F0" w:rsidRDefault="00DC4845">
      <w:pPr>
        <w:pStyle w:val="FootnoteText"/>
        <w:rPr>
          <w:rFonts w:ascii="Garamond" w:hAnsi="Garamond"/>
          <w:sz w:val="18"/>
          <w:szCs w:val="18"/>
        </w:rPr>
      </w:pPr>
      <w:r w:rsidRPr="009021F0">
        <w:rPr>
          <w:rStyle w:val="FootnoteReference"/>
          <w:rFonts w:ascii="Garamond" w:hAnsi="Garamond"/>
          <w:sz w:val="18"/>
          <w:szCs w:val="18"/>
        </w:rPr>
        <w:footnoteRef/>
      </w:r>
      <w:r w:rsidRPr="009021F0">
        <w:rPr>
          <w:rFonts w:ascii="Garamond" w:hAnsi="Garamond"/>
          <w:sz w:val="18"/>
          <w:szCs w:val="18"/>
        </w:rPr>
        <w:t xml:space="preserve"> Ibid.</w:t>
      </w:r>
    </w:p>
  </w:footnote>
  <w:footnote w:id="22">
    <w:p w14:paraId="208B0724" w14:textId="60186FFC" w:rsidR="00DC4845" w:rsidRPr="009021F0" w:rsidRDefault="00DC4845" w:rsidP="005C7D83">
      <w:pPr>
        <w:pStyle w:val="FootnoteText"/>
        <w:rPr>
          <w:rFonts w:ascii="Garamond" w:hAnsi="Garamond"/>
          <w:color w:val="4472C4" w:themeColor="accent1"/>
          <w:sz w:val="18"/>
          <w:szCs w:val="18"/>
        </w:rPr>
      </w:pPr>
      <w:r w:rsidRPr="009021F0">
        <w:rPr>
          <w:rStyle w:val="FootnoteReference"/>
          <w:rFonts w:ascii="Garamond" w:hAnsi="Garamond"/>
          <w:sz w:val="18"/>
          <w:szCs w:val="18"/>
        </w:rPr>
        <w:footnoteRef/>
      </w:r>
      <w:r w:rsidRPr="009021F0">
        <w:rPr>
          <w:rFonts w:ascii="Garamond" w:hAnsi="Garamond"/>
          <w:sz w:val="18"/>
          <w:szCs w:val="18"/>
        </w:rPr>
        <w:t xml:space="preserve"> </w:t>
      </w:r>
      <w:bookmarkStart w:id="17" w:name="_Hlk513040532"/>
      <w:r w:rsidRPr="009021F0">
        <w:rPr>
          <w:rFonts w:ascii="Garamond" w:hAnsi="Garamond"/>
          <w:sz w:val="18"/>
          <w:szCs w:val="18"/>
        </w:rPr>
        <w:t>See chapter 6 (Lozano-Gracia and Cadavid, 2018) for more details.</w:t>
      </w:r>
      <w:bookmarkEnd w:id="17"/>
    </w:p>
  </w:footnote>
  <w:footnote w:id="23">
    <w:p w14:paraId="4EBE6CA1" w14:textId="77777777" w:rsidR="00DC4845" w:rsidRPr="009021F0" w:rsidRDefault="00DC4845" w:rsidP="00427422">
      <w:pPr>
        <w:pStyle w:val="FootnoteText"/>
        <w:rPr>
          <w:rFonts w:ascii="Garamond" w:hAnsi="Garamond"/>
          <w:i/>
          <w:sz w:val="18"/>
          <w:szCs w:val="18"/>
          <w:lang w:val="pt-BR"/>
        </w:rPr>
      </w:pPr>
      <w:r w:rsidRPr="009021F0">
        <w:rPr>
          <w:rStyle w:val="FootnoteReference"/>
          <w:rFonts w:ascii="Garamond" w:hAnsi="Garamond"/>
          <w:sz w:val="18"/>
          <w:szCs w:val="18"/>
        </w:rPr>
        <w:footnoteRef/>
      </w:r>
      <w:r w:rsidRPr="009021F0">
        <w:rPr>
          <w:rFonts w:ascii="Garamond" w:hAnsi="Garamond"/>
          <w:sz w:val="18"/>
          <w:szCs w:val="18"/>
          <w:lang w:val="pt-BR"/>
        </w:rPr>
        <w:t xml:space="preserve"> Nota Técnica, Diretoria de Desenvolvimento Economico #3, Julho 2014 (FIRJAN), </w:t>
      </w:r>
      <w:r w:rsidRPr="009021F0">
        <w:rPr>
          <w:rFonts w:ascii="Garamond" w:hAnsi="Garamond"/>
          <w:i/>
          <w:sz w:val="18"/>
          <w:szCs w:val="18"/>
          <w:lang w:val="pt-BR"/>
        </w:rPr>
        <w:t>Os custos da (i) mobilidade nas regiões metropolitanas do Rio de Janeiro e São Paulo.</w:t>
      </w:r>
    </w:p>
  </w:footnote>
  <w:footnote w:id="24">
    <w:p w14:paraId="7A5A31FA" w14:textId="03E89751" w:rsidR="00DC4845" w:rsidRPr="009021F0" w:rsidRDefault="00DC4845" w:rsidP="00427422">
      <w:pPr>
        <w:pStyle w:val="FootnoteText"/>
        <w:jc w:val="both"/>
        <w:rPr>
          <w:rFonts w:ascii="Garamond" w:hAnsi="Garamond"/>
          <w:sz w:val="18"/>
          <w:szCs w:val="18"/>
        </w:rPr>
      </w:pPr>
      <w:r w:rsidRPr="009021F0">
        <w:rPr>
          <w:rStyle w:val="FootnoteReference"/>
          <w:rFonts w:ascii="Garamond" w:hAnsi="Garamond"/>
          <w:sz w:val="18"/>
          <w:szCs w:val="18"/>
        </w:rPr>
        <w:footnoteRef/>
      </w:r>
      <w:r w:rsidRPr="009021F0">
        <w:rPr>
          <w:rFonts w:ascii="Garamond" w:hAnsi="Garamond"/>
          <w:sz w:val="18"/>
          <w:szCs w:val="18"/>
        </w:rPr>
        <w:t xml:space="preserve"> See Chapter 4 (Selod, 2018) for a more detailed discussion.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3C46"/>
    <w:multiLevelType w:val="hybridMultilevel"/>
    <w:tmpl w:val="03483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F2BCE"/>
    <w:multiLevelType w:val="hybridMultilevel"/>
    <w:tmpl w:val="E75651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1759F9"/>
    <w:multiLevelType w:val="hybridMultilevel"/>
    <w:tmpl w:val="DF9CE984"/>
    <w:lvl w:ilvl="0" w:tplc="EB525B02">
      <w:start w:val="1"/>
      <w:numFmt w:val="decimal"/>
      <w:lvlText w:val="%1."/>
      <w:lvlJc w:val="left"/>
      <w:pPr>
        <w:ind w:left="360" w:hanging="360"/>
      </w:pPr>
      <w:rPr>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BCA1DB3"/>
    <w:multiLevelType w:val="hybridMultilevel"/>
    <w:tmpl w:val="3E26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1C6C9A"/>
    <w:multiLevelType w:val="hybridMultilevel"/>
    <w:tmpl w:val="224C16DE"/>
    <w:lvl w:ilvl="0" w:tplc="C82A87EE">
      <w:start w:val="3"/>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s-AR" w:vendorID="64" w:dllVersion="0" w:nlCheck="1" w:checkStyle="0"/>
  <w:activeWritingStyle w:appName="MSWord" w:lang="es-CO" w:vendorID="64" w:dllVersion="0" w:nlCheck="1" w:checkStyle="0"/>
  <w:activeWritingStyle w:appName="MSWord" w:lang="pt-BR" w:vendorID="64" w:dllVersion="0" w:nlCheck="1" w:checkStyle="0"/>
  <w:activeWritingStyle w:appName="MSWord" w:lang="fr-FR" w:vendorID="64" w:dllVersion="0" w:nlCheck="1" w:checkStyle="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E8"/>
    <w:rsid w:val="00000A6C"/>
    <w:rsid w:val="00001604"/>
    <w:rsid w:val="0000783C"/>
    <w:rsid w:val="000131E3"/>
    <w:rsid w:val="00017CDE"/>
    <w:rsid w:val="0002236B"/>
    <w:rsid w:val="000319A8"/>
    <w:rsid w:val="00033CB5"/>
    <w:rsid w:val="00033FAA"/>
    <w:rsid w:val="000352E7"/>
    <w:rsid w:val="00035732"/>
    <w:rsid w:val="00041406"/>
    <w:rsid w:val="0004602B"/>
    <w:rsid w:val="000501D1"/>
    <w:rsid w:val="00052161"/>
    <w:rsid w:val="00056013"/>
    <w:rsid w:val="00057ACC"/>
    <w:rsid w:val="000615CD"/>
    <w:rsid w:val="00070D27"/>
    <w:rsid w:val="00070E85"/>
    <w:rsid w:val="000762F0"/>
    <w:rsid w:val="0008042E"/>
    <w:rsid w:val="00080F65"/>
    <w:rsid w:val="000856B8"/>
    <w:rsid w:val="00087B2D"/>
    <w:rsid w:val="0009003A"/>
    <w:rsid w:val="0009214A"/>
    <w:rsid w:val="000929F2"/>
    <w:rsid w:val="000A297A"/>
    <w:rsid w:val="000B14DE"/>
    <w:rsid w:val="000B3270"/>
    <w:rsid w:val="000B4BC2"/>
    <w:rsid w:val="000B58DB"/>
    <w:rsid w:val="000C0254"/>
    <w:rsid w:val="000C0536"/>
    <w:rsid w:val="000C06AF"/>
    <w:rsid w:val="000D2CE1"/>
    <w:rsid w:val="000D3FF9"/>
    <w:rsid w:val="000D7A5C"/>
    <w:rsid w:val="000E1628"/>
    <w:rsid w:val="000E3C1B"/>
    <w:rsid w:val="000F22E3"/>
    <w:rsid w:val="000F37E4"/>
    <w:rsid w:val="000F6AC5"/>
    <w:rsid w:val="000F7987"/>
    <w:rsid w:val="00100874"/>
    <w:rsid w:val="00100B28"/>
    <w:rsid w:val="00100C06"/>
    <w:rsid w:val="00102FA3"/>
    <w:rsid w:val="00103756"/>
    <w:rsid w:val="00107461"/>
    <w:rsid w:val="0011447D"/>
    <w:rsid w:val="00116C7B"/>
    <w:rsid w:val="001207E8"/>
    <w:rsid w:val="001216D3"/>
    <w:rsid w:val="0012386A"/>
    <w:rsid w:val="001250D6"/>
    <w:rsid w:val="0012591C"/>
    <w:rsid w:val="001334CB"/>
    <w:rsid w:val="00134DDF"/>
    <w:rsid w:val="00134F27"/>
    <w:rsid w:val="00135924"/>
    <w:rsid w:val="0013723C"/>
    <w:rsid w:val="0014269D"/>
    <w:rsid w:val="00146DDE"/>
    <w:rsid w:val="00154291"/>
    <w:rsid w:val="001560C7"/>
    <w:rsid w:val="00163778"/>
    <w:rsid w:val="00174A5A"/>
    <w:rsid w:val="00176F85"/>
    <w:rsid w:val="00181861"/>
    <w:rsid w:val="001822A4"/>
    <w:rsid w:val="0018656D"/>
    <w:rsid w:val="00194ED8"/>
    <w:rsid w:val="00195328"/>
    <w:rsid w:val="00195E29"/>
    <w:rsid w:val="001A23CB"/>
    <w:rsid w:val="001A2E3C"/>
    <w:rsid w:val="001A3074"/>
    <w:rsid w:val="001A3B1B"/>
    <w:rsid w:val="001A4ECB"/>
    <w:rsid w:val="001A5D8F"/>
    <w:rsid w:val="001B0DEE"/>
    <w:rsid w:val="001B26DC"/>
    <w:rsid w:val="001B452A"/>
    <w:rsid w:val="001B60FB"/>
    <w:rsid w:val="001B72BC"/>
    <w:rsid w:val="001C6365"/>
    <w:rsid w:val="001C787E"/>
    <w:rsid w:val="001D2B1E"/>
    <w:rsid w:val="001D75E5"/>
    <w:rsid w:val="001E29EC"/>
    <w:rsid w:val="001E3303"/>
    <w:rsid w:val="001F0B96"/>
    <w:rsid w:val="001F2BDB"/>
    <w:rsid w:val="001F4BEB"/>
    <w:rsid w:val="001F668E"/>
    <w:rsid w:val="00201EDF"/>
    <w:rsid w:val="00202525"/>
    <w:rsid w:val="002029DF"/>
    <w:rsid w:val="002052D1"/>
    <w:rsid w:val="00205788"/>
    <w:rsid w:val="002144D7"/>
    <w:rsid w:val="00220762"/>
    <w:rsid w:val="002215B2"/>
    <w:rsid w:val="00222AB2"/>
    <w:rsid w:val="00225473"/>
    <w:rsid w:val="00230FC7"/>
    <w:rsid w:val="0023320B"/>
    <w:rsid w:val="00235412"/>
    <w:rsid w:val="0023708C"/>
    <w:rsid w:val="00242171"/>
    <w:rsid w:val="002422EF"/>
    <w:rsid w:val="00245298"/>
    <w:rsid w:val="002460B4"/>
    <w:rsid w:val="00247334"/>
    <w:rsid w:val="002548C6"/>
    <w:rsid w:val="002600DE"/>
    <w:rsid w:val="0026352A"/>
    <w:rsid w:val="00263842"/>
    <w:rsid w:val="00267BA7"/>
    <w:rsid w:val="00272ADB"/>
    <w:rsid w:val="002741EB"/>
    <w:rsid w:val="00274660"/>
    <w:rsid w:val="00277C35"/>
    <w:rsid w:val="00277F1F"/>
    <w:rsid w:val="00285EFF"/>
    <w:rsid w:val="00294239"/>
    <w:rsid w:val="002A36E6"/>
    <w:rsid w:val="002B2B6D"/>
    <w:rsid w:val="002B2F4D"/>
    <w:rsid w:val="002B344F"/>
    <w:rsid w:val="002B44E1"/>
    <w:rsid w:val="002B5BFC"/>
    <w:rsid w:val="002B714A"/>
    <w:rsid w:val="002B797F"/>
    <w:rsid w:val="002C00F6"/>
    <w:rsid w:val="002C5F2F"/>
    <w:rsid w:val="002C7E4C"/>
    <w:rsid w:val="002D4BBD"/>
    <w:rsid w:val="002D5952"/>
    <w:rsid w:val="002E341D"/>
    <w:rsid w:val="002F0A52"/>
    <w:rsid w:val="002F157D"/>
    <w:rsid w:val="002F1651"/>
    <w:rsid w:val="002F2781"/>
    <w:rsid w:val="002F79DA"/>
    <w:rsid w:val="00300312"/>
    <w:rsid w:val="003045EE"/>
    <w:rsid w:val="00305DD7"/>
    <w:rsid w:val="003108BC"/>
    <w:rsid w:val="00312FC7"/>
    <w:rsid w:val="0031346D"/>
    <w:rsid w:val="00314CC1"/>
    <w:rsid w:val="003166C7"/>
    <w:rsid w:val="003166EE"/>
    <w:rsid w:val="0032076F"/>
    <w:rsid w:val="0032250D"/>
    <w:rsid w:val="00322C2B"/>
    <w:rsid w:val="00322D6F"/>
    <w:rsid w:val="00323D0B"/>
    <w:rsid w:val="00324FB0"/>
    <w:rsid w:val="00325330"/>
    <w:rsid w:val="00327E4E"/>
    <w:rsid w:val="00336034"/>
    <w:rsid w:val="00336749"/>
    <w:rsid w:val="00341156"/>
    <w:rsid w:val="003442EF"/>
    <w:rsid w:val="003502BF"/>
    <w:rsid w:val="00357C10"/>
    <w:rsid w:val="00365DCA"/>
    <w:rsid w:val="003729A3"/>
    <w:rsid w:val="0037716D"/>
    <w:rsid w:val="00383159"/>
    <w:rsid w:val="00383ADF"/>
    <w:rsid w:val="00383E63"/>
    <w:rsid w:val="00384CFB"/>
    <w:rsid w:val="0038704E"/>
    <w:rsid w:val="00387331"/>
    <w:rsid w:val="00387937"/>
    <w:rsid w:val="00392568"/>
    <w:rsid w:val="00392C21"/>
    <w:rsid w:val="0039515F"/>
    <w:rsid w:val="003A288D"/>
    <w:rsid w:val="003A5F24"/>
    <w:rsid w:val="003A6AB9"/>
    <w:rsid w:val="003C40D1"/>
    <w:rsid w:val="003C47B9"/>
    <w:rsid w:val="003C7103"/>
    <w:rsid w:val="003D1792"/>
    <w:rsid w:val="003D5DF8"/>
    <w:rsid w:val="003E0E60"/>
    <w:rsid w:val="003E15BB"/>
    <w:rsid w:val="003F3EAF"/>
    <w:rsid w:val="003F44B5"/>
    <w:rsid w:val="003F5B35"/>
    <w:rsid w:val="003F6334"/>
    <w:rsid w:val="004007B7"/>
    <w:rsid w:val="00402077"/>
    <w:rsid w:val="004047C6"/>
    <w:rsid w:val="00410633"/>
    <w:rsid w:val="004110C3"/>
    <w:rsid w:val="00412095"/>
    <w:rsid w:val="00413F63"/>
    <w:rsid w:val="00414C18"/>
    <w:rsid w:val="0042037D"/>
    <w:rsid w:val="00427422"/>
    <w:rsid w:val="00432B4B"/>
    <w:rsid w:val="00436636"/>
    <w:rsid w:val="00437E24"/>
    <w:rsid w:val="00442474"/>
    <w:rsid w:val="00442C55"/>
    <w:rsid w:val="004473EB"/>
    <w:rsid w:val="004522DB"/>
    <w:rsid w:val="00462C06"/>
    <w:rsid w:val="00464389"/>
    <w:rsid w:val="00466EC5"/>
    <w:rsid w:val="00467A9D"/>
    <w:rsid w:val="0047060A"/>
    <w:rsid w:val="00481389"/>
    <w:rsid w:val="004818ED"/>
    <w:rsid w:val="00481AF5"/>
    <w:rsid w:val="004867CD"/>
    <w:rsid w:val="0049084B"/>
    <w:rsid w:val="004958C7"/>
    <w:rsid w:val="004A0F2D"/>
    <w:rsid w:val="004A288B"/>
    <w:rsid w:val="004A6F98"/>
    <w:rsid w:val="004B5FAE"/>
    <w:rsid w:val="004B723F"/>
    <w:rsid w:val="004C03E4"/>
    <w:rsid w:val="004C35E6"/>
    <w:rsid w:val="004C5F43"/>
    <w:rsid w:val="004D19ED"/>
    <w:rsid w:val="004D491C"/>
    <w:rsid w:val="004D5262"/>
    <w:rsid w:val="004D6935"/>
    <w:rsid w:val="004E1771"/>
    <w:rsid w:val="004E3AF5"/>
    <w:rsid w:val="004E49E8"/>
    <w:rsid w:val="004E6DCE"/>
    <w:rsid w:val="004F0096"/>
    <w:rsid w:val="004F0767"/>
    <w:rsid w:val="004F270E"/>
    <w:rsid w:val="004F2B60"/>
    <w:rsid w:val="004F3F48"/>
    <w:rsid w:val="00500B61"/>
    <w:rsid w:val="005022BE"/>
    <w:rsid w:val="0050337E"/>
    <w:rsid w:val="005057F5"/>
    <w:rsid w:val="0051036D"/>
    <w:rsid w:val="00511ABA"/>
    <w:rsid w:val="00514E6B"/>
    <w:rsid w:val="005160EF"/>
    <w:rsid w:val="00516A22"/>
    <w:rsid w:val="00516BD6"/>
    <w:rsid w:val="00516F68"/>
    <w:rsid w:val="00521DAC"/>
    <w:rsid w:val="00523928"/>
    <w:rsid w:val="00525206"/>
    <w:rsid w:val="00526254"/>
    <w:rsid w:val="00526ED3"/>
    <w:rsid w:val="00527B09"/>
    <w:rsid w:val="00531E6A"/>
    <w:rsid w:val="00532698"/>
    <w:rsid w:val="00532EB2"/>
    <w:rsid w:val="00533AC4"/>
    <w:rsid w:val="005352B2"/>
    <w:rsid w:val="005407B8"/>
    <w:rsid w:val="005414C5"/>
    <w:rsid w:val="00541B41"/>
    <w:rsid w:val="00544108"/>
    <w:rsid w:val="00564A41"/>
    <w:rsid w:val="0057363C"/>
    <w:rsid w:val="005756BD"/>
    <w:rsid w:val="00575A64"/>
    <w:rsid w:val="00582AF3"/>
    <w:rsid w:val="00585009"/>
    <w:rsid w:val="00585960"/>
    <w:rsid w:val="005877CB"/>
    <w:rsid w:val="00593602"/>
    <w:rsid w:val="00594FD6"/>
    <w:rsid w:val="0059509E"/>
    <w:rsid w:val="00597A51"/>
    <w:rsid w:val="005A0713"/>
    <w:rsid w:val="005A0B31"/>
    <w:rsid w:val="005A475C"/>
    <w:rsid w:val="005A60B5"/>
    <w:rsid w:val="005A69EF"/>
    <w:rsid w:val="005B1C20"/>
    <w:rsid w:val="005B2F1F"/>
    <w:rsid w:val="005B612A"/>
    <w:rsid w:val="005B76FE"/>
    <w:rsid w:val="005C0D8A"/>
    <w:rsid w:val="005C24C9"/>
    <w:rsid w:val="005C686A"/>
    <w:rsid w:val="005C75E7"/>
    <w:rsid w:val="005C7D83"/>
    <w:rsid w:val="005D17C6"/>
    <w:rsid w:val="005D18DC"/>
    <w:rsid w:val="005D1C5A"/>
    <w:rsid w:val="005D6AE6"/>
    <w:rsid w:val="005E11B2"/>
    <w:rsid w:val="005E31AF"/>
    <w:rsid w:val="005E4AE8"/>
    <w:rsid w:val="005F1498"/>
    <w:rsid w:val="005F40DE"/>
    <w:rsid w:val="005F494B"/>
    <w:rsid w:val="005F700E"/>
    <w:rsid w:val="005F726F"/>
    <w:rsid w:val="005F7624"/>
    <w:rsid w:val="00600F1F"/>
    <w:rsid w:val="00605F58"/>
    <w:rsid w:val="00607849"/>
    <w:rsid w:val="00616715"/>
    <w:rsid w:val="0063242E"/>
    <w:rsid w:val="0063482B"/>
    <w:rsid w:val="006354BC"/>
    <w:rsid w:val="00635DC6"/>
    <w:rsid w:val="006412AC"/>
    <w:rsid w:val="00641F8F"/>
    <w:rsid w:val="0065328C"/>
    <w:rsid w:val="0066195C"/>
    <w:rsid w:val="00663042"/>
    <w:rsid w:val="00663086"/>
    <w:rsid w:val="006643C6"/>
    <w:rsid w:val="006737D1"/>
    <w:rsid w:val="00676474"/>
    <w:rsid w:val="00677D22"/>
    <w:rsid w:val="006827C2"/>
    <w:rsid w:val="00684EC8"/>
    <w:rsid w:val="006863A5"/>
    <w:rsid w:val="00690BCC"/>
    <w:rsid w:val="0069646B"/>
    <w:rsid w:val="006A14B9"/>
    <w:rsid w:val="006A34BA"/>
    <w:rsid w:val="006A66F9"/>
    <w:rsid w:val="006A72B9"/>
    <w:rsid w:val="006B1DE2"/>
    <w:rsid w:val="006B517B"/>
    <w:rsid w:val="006B622E"/>
    <w:rsid w:val="006B72FA"/>
    <w:rsid w:val="006C095C"/>
    <w:rsid w:val="006C25E0"/>
    <w:rsid w:val="006C28A1"/>
    <w:rsid w:val="006C2B3B"/>
    <w:rsid w:val="006C4A20"/>
    <w:rsid w:val="006C5ACA"/>
    <w:rsid w:val="006D03F6"/>
    <w:rsid w:val="006D0C7D"/>
    <w:rsid w:val="006D0F20"/>
    <w:rsid w:val="006D29EE"/>
    <w:rsid w:val="006D4A76"/>
    <w:rsid w:val="006E2946"/>
    <w:rsid w:val="006E6151"/>
    <w:rsid w:val="006F05C6"/>
    <w:rsid w:val="006F1145"/>
    <w:rsid w:val="006F4FDA"/>
    <w:rsid w:val="006F50B4"/>
    <w:rsid w:val="006F5F4A"/>
    <w:rsid w:val="006F6B6A"/>
    <w:rsid w:val="006F7532"/>
    <w:rsid w:val="006F7B50"/>
    <w:rsid w:val="00700CB7"/>
    <w:rsid w:val="00701385"/>
    <w:rsid w:val="00701A07"/>
    <w:rsid w:val="00703DA1"/>
    <w:rsid w:val="00705C90"/>
    <w:rsid w:val="007114A5"/>
    <w:rsid w:val="00714007"/>
    <w:rsid w:val="00717534"/>
    <w:rsid w:val="007238D7"/>
    <w:rsid w:val="00730939"/>
    <w:rsid w:val="00741CD6"/>
    <w:rsid w:val="0074595F"/>
    <w:rsid w:val="00746312"/>
    <w:rsid w:val="007537FF"/>
    <w:rsid w:val="007550FE"/>
    <w:rsid w:val="00755C44"/>
    <w:rsid w:val="00756999"/>
    <w:rsid w:val="007570F8"/>
    <w:rsid w:val="007624EA"/>
    <w:rsid w:val="00764187"/>
    <w:rsid w:val="00764587"/>
    <w:rsid w:val="0076560A"/>
    <w:rsid w:val="0077196E"/>
    <w:rsid w:val="007826CE"/>
    <w:rsid w:val="007959C5"/>
    <w:rsid w:val="007966E1"/>
    <w:rsid w:val="00796DA0"/>
    <w:rsid w:val="007A13B9"/>
    <w:rsid w:val="007A1878"/>
    <w:rsid w:val="007A1A0F"/>
    <w:rsid w:val="007A2655"/>
    <w:rsid w:val="007A2A87"/>
    <w:rsid w:val="007B1A18"/>
    <w:rsid w:val="007B1E3C"/>
    <w:rsid w:val="007B1F8C"/>
    <w:rsid w:val="007B3E44"/>
    <w:rsid w:val="007B6701"/>
    <w:rsid w:val="007D114E"/>
    <w:rsid w:val="007D3ABF"/>
    <w:rsid w:val="007E3631"/>
    <w:rsid w:val="007E6EC4"/>
    <w:rsid w:val="007F0D44"/>
    <w:rsid w:val="007F101D"/>
    <w:rsid w:val="007F4E3A"/>
    <w:rsid w:val="007F74C0"/>
    <w:rsid w:val="007F7FE5"/>
    <w:rsid w:val="00803051"/>
    <w:rsid w:val="00803F53"/>
    <w:rsid w:val="00803FE9"/>
    <w:rsid w:val="00806C07"/>
    <w:rsid w:val="0081064F"/>
    <w:rsid w:val="00811259"/>
    <w:rsid w:val="00823CA3"/>
    <w:rsid w:val="00825469"/>
    <w:rsid w:val="00830737"/>
    <w:rsid w:val="00831821"/>
    <w:rsid w:val="008369D1"/>
    <w:rsid w:val="00837011"/>
    <w:rsid w:val="00842820"/>
    <w:rsid w:val="00843A5C"/>
    <w:rsid w:val="0084473C"/>
    <w:rsid w:val="00846FCF"/>
    <w:rsid w:val="00852DA5"/>
    <w:rsid w:val="00853E6D"/>
    <w:rsid w:val="0086346C"/>
    <w:rsid w:val="00865500"/>
    <w:rsid w:val="00872C41"/>
    <w:rsid w:val="00876C61"/>
    <w:rsid w:val="0088046B"/>
    <w:rsid w:val="0088057B"/>
    <w:rsid w:val="00885E24"/>
    <w:rsid w:val="008861BF"/>
    <w:rsid w:val="00890A0C"/>
    <w:rsid w:val="008927F3"/>
    <w:rsid w:val="00892ABF"/>
    <w:rsid w:val="008942BE"/>
    <w:rsid w:val="008964A3"/>
    <w:rsid w:val="008A02A2"/>
    <w:rsid w:val="008A3997"/>
    <w:rsid w:val="008A544E"/>
    <w:rsid w:val="008B1848"/>
    <w:rsid w:val="008B2650"/>
    <w:rsid w:val="008B3D82"/>
    <w:rsid w:val="008B5653"/>
    <w:rsid w:val="008C01A8"/>
    <w:rsid w:val="008C7F3C"/>
    <w:rsid w:val="008D0312"/>
    <w:rsid w:val="008D1BCD"/>
    <w:rsid w:val="008D4193"/>
    <w:rsid w:val="008E00CC"/>
    <w:rsid w:val="008E1429"/>
    <w:rsid w:val="008E191B"/>
    <w:rsid w:val="008E706D"/>
    <w:rsid w:val="008F09E9"/>
    <w:rsid w:val="008F38FA"/>
    <w:rsid w:val="008F5BF1"/>
    <w:rsid w:val="009021F0"/>
    <w:rsid w:val="0090777F"/>
    <w:rsid w:val="0091009B"/>
    <w:rsid w:val="00916A96"/>
    <w:rsid w:val="009178E7"/>
    <w:rsid w:val="00924336"/>
    <w:rsid w:val="0092511E"/>
    <w:rsid w:val="00930B43"/>
    <w:rsid w:val="00931938"/>
    <w:rsid w:val="0093565E"/>
    <w:rsid w:val="00940A9B"/>
    <w:rsid w:val="009423DE"/>
    <w:rsid w:val="00946CD1"/>
    <w:rsid w:val="0094757D"/>
    <w:rsid w:val="009504B3"/>
    <w:rsid w:val="00951FA6"/>
    <w:rsid w:val="00955ABB"/>
    <w:rsid w:val="0096496D"/>
    <w:rsid w:val="00965187"/>
    <w:rsid w:val="00973315"/>
    <w:rsid w:val="00974AD0"/>
    <w:rsid w:val="009810FE"/>
    <w:rsid w:val="00986336"/>
    <w:rsid w:val="00991310"/>
    <w:rsid w:val="009946BC"/>
    <w:rsid w:val="00997A1D"/>
    <w:rsid w:val="009A1B5B"/>
    <w:rsid w:val="009A2920"/>
    <w:rsid w:val="009A5EEE"/>
    <w:rsid w:val="009B2A14"/>
    <w:rsid w:val="009B33CD"/>
    <w:rsid w:val="009B52FE"/>
    <w:rsid w:val="009B5CD6"/>
    <w:rsid w:val="009C0049"/>
    <w:rsid w:val="009C081F"/>
    <w:rsid w:val="009C2377"/>
    <w:rsid w:val="009C2BC7"/>
    <w:rsid w:val="009C5053"/>
    <w:rsid w:val="009D101F"/>
    <w:rsid w:val="009D2DB8"/>
    <w:rsid w:val="009D6075"/>
    <w:rsid w:val="009D7DCC"/>
    <w:rsid w:val="009E4C9F"/>
    <w:rsid w:val="009F4961"/>
    <w:rsid w:val="009F6988"/>
    <w:rsid w:val="00A03362"/>
    <w:rsid w:val="00A053B3"/>
    <w:rsid w:val="00A06061"/>
    <w:rsid w:val="00A10B80"/>
    <w:rsid w:val="00A1108B"/>
    <w:rsid w:val="00A1387B"/>
    <w:rsid w:val="00A17A67"/>
    <w:rsid w:val="00A2184B"/>
    <w:rsid w:val="00A34D89"/>
    <w:rsid w:val="00A444F0"/>
    <w:rsid w:val="00A450FF"/>
    <w:rsid w:val="00A51716"/>
    <w:rsid w:val="00A52195"/>
    <w:rsid w:val="00A61F2E"/>
    <w:rsid w:val="00A66E32"/>
    <w:rsid w:val="00A670F5"/>
    <w:rsid w:val="00A72FB5"/>
    <w:rsid w:val="00A81712"/>
    <w:rsid w:val="00A851BE"/>
    <w:rsid w:val="00A86954"/>
    <w:rsid w:val="00A91D98"/>
    <w:rsid w:val="00A91E60"/>
    <w:rsid w:val="00A94B07"/>
    <w:rsid w:val="00A95892"/>
    <w:rsid w:val="00AA3B45"/>
    <w:rsid w:val="00AA66FC"/>
    <w:rsid w:val="00AB3DD3"/>
    <w:rsid w:val="00AB46C7"/>
    <w:rsid w:val="00AB624E"/>
    <w:rsid w:val="00AB6DAA"/>
    <w:rsid w:val="00AB7092"/>
    <w:rsid w:val="00AC7706"/>
    <w:rsid w:val="00AD6F8B"/>
    <w:rsid w:val="00AD7FA3"/>
    <w:rsid w:val="00AE0A0E"/>
    <w:rsid w:val="00AE2E1F"/>
    <w:rsid w:val="00AE3670"/>
    <w:rsid w:val="00AF4F79"/>
    <w:rsid w:val="00AF6A50"/>
    <w:rsid w:val="00AF7600"/>
    <w:rsid w:val="00B00309"/>
    <w:rsid w:val="00B03EC5"/>
    <w:rsid w:val="00B04477"/>
    <w:rsid w:val="00B04BE0"/>
    <w:rsid w:val="00B04D2B"/>
    <w:rsid w:val="00B06570"/>
    <w:rsid w:val="00B0718A"/>
    <w:rsid w:val="00B114BA"/>
    <w:rsid w:val="00B11999"/>
    <w:rsid w:val="00B11CD9"/>
    <w:rsid w:val="00B13A97"/>
    <w:rsid w:val="00B20209"/>
    <w:rsid w:val="00B21D76"/>
    <w:rsid w:val="00B229C0"/>
    <w:rsid w:val="00B23EC6"/>
    <w:rsid w:val="00B252F3"/>
    <w:rsid w:val="00B254AF"/>
    <w:rsid w:val="00B300D6"/>
    <w:rsid w:val="00B415FE"/>
    <w:rsid w:val="00B428FA"/>
    <w:rsid w:val="00B52AC1"/>
    <w:rsid w:val="00B54631"/>
    <w:rsid w:val="00B56A2C"/>
    <w:rsid w:val="00B63337"/>
    <w:rsid w:val="00B65991"/>
    <w:rsid w:val="00B65F69"/>
    <w:rsid w:val="00B66C9C"/>
    <w:rsid w:val="00B66CF3"/>
    <w:rsid w:val="00B7209E"/>
    <w:rsid w:val="00B733C6"/>
    <w:rsid w:val="00B75127"/>
    <w:rsid w:val="00B75E35"/>
    <w:rsid w:val="00B77C04"/>
    <w:rsid w:val="00B8061D"/>
    <w:rsid w:val="00B81991"/>
    <w:rsid w:val="00B84F13"/>
    <w:rsid w:val="00B90752"/>
    <w:rsid w:val="00B919E7"/>
    <w:rsid w:val="00B941B3"/>
    <w:rsid w:val="00B9575F"/>
    <w:rsid w:val="00BA0073"/>
    <w:rsid w:val="00BA007F"/>
    <w:rsid w:val="00BA06F8"/>
    <w:rsid w:val="00BA11AC"/>
    <w:rsid w:val="00BA3EB8"/>
    <w:rsid w:val="00BB0ECD"/>
    <w:rsid w:val="00BB14B9"/>
    <w:rsid w:val="00BB2905"/>
    <w:rsid w:val="00BB470F"/>
    <w:rsid w:val="00BB5FA2"/>
    <w:rsid w:val="00BC1A00"/>
    <w:rsid w:val="00BC2D37"/>
    <w:rsid w:val="00BC520A"/>
    <w:rsid w:val="00BC6D95"/>
    <w:rsid w:val="00BD0804"/>
    <w:rsid w:val="00BD4C11"/>
    <w:rsid w:val="00BD4C4E"/>
    <w:rsid w:val="00BD5581"/>
    <w:rsid w:val="00BD6E66"/>
    <w:rsid w:val="00BE1312"/>
    <w:rsid w:val="00BE2277"/>
    <w:rsid w:val="00BE68B4"/>
    <w:rsid w:val="00BF29E2"/>
    <w:rsid w:val="00BF5775"/>
    <w:rsid w:val="00BF5A44"/>
    <w:rsid w:val="00BF7956"/>
    <w:rsid w:val="00BF7B51"/>
    <w:rsid w:val="00C0386E"/>
    <w:rsid w:val="00C0419E"/>
    <w:rsid w:val="00C051D3"/>
    <w:rsid w:val="00C074BB"/>
    <w:rsid w:val="00C07946"/>
    <w:rsid w:val="00C14025"/>
    <w:rsid w:val="00C1757B"/>
    <w:rsid w:val="00C22D5C"/>
    <w:rsid w:val="00C247DA"/>
    <w:rsid w:val="00C30F01"/>
    <w:rsid w:val="00C34A02"/>
    <w:rsid w:val="00C34D51"/>
    <w:rsid w:val="00C362E9"/>
    <w:rsid w:val="00C40001"/>
    <w:rsid w:val="00C42158"/>
    <w:rsid w:val="00C435AA"/>
    <w:rsid w:val="00C43F3C"/>
    <w:rsid w:val="00C461BF"/>
    <w:rsid w:val="00C54231"/>
    <w:rsid w:val="00C61CC2"/>
    <w:rsid w:val="00C63430"/>
    <w:rsid w:val="00C64653"/>
    <w:rsid w:val="00C65DF8"/>
    <w:rsid w:val="00C67946"/>
    <w:rsid w:val="00C70E83"/>
    <w:rsid w:val="00C735EF"/>
    <w:rsid w:val="00C74574"/>
    <w:rsid w:val="00C774D5"/>
    <w:rsid w:val="00C77D99"/>
    <w:rsid w:val="00C87D32"/>
    <w:rsid w:val="00C91989"/>
    <w:rsid w:val="00C954CA"/>
    <w:rsid w:val="00CA04E4"/>
    <w:rsid w:val="00CB0116"/>
    <w:rsid w:val="00CB1C71"/>
    <w:rsid w:val="00CC1A27"/>
    <w:rsid w:val="00CD0BAE"/>
    <w:rsid w:val="00CD14C2"/>
    <w:rsid w:val="00CD22AD"/>
    <w:rsid w:val="00CD55BC"/>
    <w:rsid w:val="00CD6734"/>
    <w:rsid w:val="00CD6769"/>
    <w:rsid w:val="00CD76BE"/>
    <w:rsid w:val="00CE1459"/>
    <w:rsid w:val="00CE4DBD"/>
    <w:rsid w:val="00CE6588"/>
    <w:rsid w:val="00CF01F8"/>
    <w:rsid w:val="00CF53EC"/>
    <w:rsid w:val="00CF57E3"/>
    <w:rsid w:val="00D0175A"/>
    <w:rsid w:val="00D031E5"/>
    <w:rsid w:val="00D0440A"/>
    <w:rsid w:val="00D04C73"/>
    <w:rsid w:val="00D0695D"/>
    <w:rsid w:val="00D10399"/>
    <w:rsid w:val="00D11136"/>
    <w:rsid w:val="00D1152A"/>
    <w:rsid w:val="00D11C1B"/>
    <w:rsid w:val="00D136F4"/>
    <w:rsid w:val="00D20371"/>
    <w:rsid w:val="00D20565"/>
    <w:rsid w:val="00D21530"/>
    <w:rsid w:val="00D235CA"/>
    <w:rsid w:val="00D2789D"/>
    <w:rsid w:val="00D30A52"/>
    <w:rsid w:val="00D311D4"/>
    <w:rsid w:val="00D32947"/>
    <w:rsid w:val="00D334B1"/>
    <w:rsid w:val="00D33708"/>
    <w:rsid w:val="00D33F86"/>
    <w:rsid w:val="00D40583"/>
    <w:rsid w:val="00D41424"/>
    <w:rsid w:val="00D41E45"/>
    <w:rsid w:val="00D4599D"/>
    <w:rsid w:val="00D46B95"/>
    <w:rsid w:val="00D476DA"/>
    <w:rsid w:val="00D51C3D"/>
    <w:rsid w:val="00D55D06"/>
    <w:rsid w:val="00D55E34"/>
    <w:rsid w:val="00D60CC6"/>
    <w:rsid w:val="00D624A5"/>
    <w:rsid w:val="00D64E65"/>
    <w:rsid w:val="00D64F15"/>
    <w:rsid w:val="00D663EF"/>
    <w:rsid w:val="00D73299"/>
    <w:rsid w:val="00D76F6C"/>
    <w:rsid w:val="00D80A75"/>
    <w:rsid w:val="00D828AD"/>
    <w:rsid w:val="00D82BEF"/>
    <w:rsid w:val="00D82D0D"/>
    <w:rsid w:val="00D86E34"/>
    <w:rsid w:val="00D92472"/>
    <w:rsid w:val="00D92543"/>
    <w:rsid w:val="00DA25B6"/>
    <w:rsid w:val="00DA2856"/>
    <w:rsid w:val="00DA5D71"/>
    <w:rsid w:val="00DA6ECE"/>
    <w:rsid w:val="00DB3E2A"/>
    <w:rsid w:val="00DB6E25"/>
    <w:rsid w:val="00DB762A"/>
    <w:rsid w:val="00DC2375"/>
    <w:rsid w:val="00DC25E8"/>
    <w:rsid w:val="00DC4845"/>
    <w:rsid w:val="00DC6512"/>
    <w:rsid w:val="00DC70A1"/>
    <w:rsid w:val="00DC7C9F"/>
    <w:rsid w:val="00DD06CC"/>
    <w:rsid w:val="00DD0F7B"/>
    <w:rsid w:val="00DD4A2F"/>
    <w:rsid w:val="00DE6DBD"/>
    <w:rsid w:val="00DF0804"/>
    <w:rsid w:val="00DF259B"/>
    <w:rsid w:val="00DF4DC2"/>
    <w:rsid w:val="00DF6472"/>
    <w:rsid w:val="00DF6C41"/>
    <w:rsid w:val="00E05154"/>
    <w:rsid w:val="00E07042"/>
    <w:rsid w:val="00E11468"/>
    <w:rsid w:val="00E169E2"/>
    <w:rsid w:val="00E30A06"/>
    <w:rsid w:val="00E3697A"/>
    <w:rsid w:val="00E435A0"/>
    <w:rsid w:val="00E4384E"/>
    <w:rsid w:val="00E44BBC"/>
    <w:rsid w:val="00E509DE"/>
    <w:rsid w:val="00E564F7"/>
    <w:rsid w:val="00E572A5"/>
    <w:rsid w:val="00E60A46"/>
    <w:rsid w:val="00E642F9"/>
    <w:rsid w:val="00E67ABA"/>
    <w:rsid w:val="00E740A7"/>
    <w:rsid w:val="00E741A1"/>
    <w:rsid w:val="00E75942"/>
    <w:rsid w:val="00E81216"/>
    <w:rsid w:val="00E818CE"/>
    <w:rsid w:val="00E820A7"/>
    <w:rsid w:val="00E82195"/>
    <w:rsid w:val="00E92E1B"/>
    <w:rsid w:val="00EA0729"/>
    <w:rsid w:val="00EA5796"/>
    <w:rsid w:val="00EA6103"/>
    <w:rsid w:val="00EB056B"/>
    <w:rsid w:val="00EB2690"/>
    <w:rsid w:val="00EB27D9"/>
    <w:rsid w:val="00EB310E"/>
    <w:rsid w:val="00EC0B05"/>
    <w:rsid w:val="00EC0EAD"/>
    <w:rsid w:val="00EC2EB7"/>
    <w:rsid w:val="00EC39EB"/>
    <w:rsid w:val="00EC4401"/>
    <w:rsid w:val="00EC65FA"/>
    <w:rsid w:val="00EC6A0C"/>
    <w:rsid w:val="00ED18BF"/>
    <w:rsid w:val="00EE1B93"/>
    <w:rsid w:val="00EE223E"/>
    <w:rsid w:val="00EF384E"/>
    <w:rsid w:val="00EF5408"/>
    <w:rsid w:val="00F04395"/>
    <w:rsid w:val="00F04F5A"/>
    <w:rsid w:val="00F07484"/>
    <w:rsid w:val="00F114E1"/>
    <w:rsid w:val="00F1491E"/>
    <w:rsid w:val="00F203CE"/>
    <w:rsid w:val="00F215AC"/>
    <w:rsid w:val="00F2405F"/>
    <w:rsid w:val="00F27803"/>
    <w:rsid w:val="00F31C26"/>
    <w:rsid w:val="00F422DF"/>
    <w:rsid w:val="00F540F3"/>
    <w:rsid w:val="00F567C3"/>
    <w:rsid w:val="00F6616F"/>
    <w:rsid w:val="00F73FC9"/>
    <w:rsid w:val="00F77AA2"/>
    <w:rsid w:val="00F84469"/>
    <w:rsid w:val="00F8622D"/>
    <w:rsid w:val="00F86B44"/>
    <w:rsid w:val="00F92959"/>
    <w:rsid w:val="00F92C79"/>
    <w:rsid w:val="00F960AB"/>
    <w:rsid w:val="00FA0A26"/>
    <w:rsid w:val="00FA2C7D"/>
    <w:rsid w:val="00FA6312"/>
    <w:rsid w:val="00FA754F"/>
    <w:rsid w:val="00FC01D2"/>
    <w:rsid w:val="00FC4E54"/>
    <w:rsid w:val="00FC52EA"/>
    <w:rsid w:val="00FC6495"/>
    <w:rsid w:val="00FD12E2"/>
    <w:rsid w:val="00FD130D"/>
    <w:rsid w:val="00FD316B"/>
    <w:rsid w:val="00FE1053"/>
    <w:rsid w:val="00FE1C3A"/>
    <w:rsid w:val="00FE1F7E"/>
    <w:rsid w:val="00FE21F2"/>
    <w:rsid w:val="00FE2559"/>
    <w:rsid w:val="00FE3CD2"/>
    <w:rsid w:val="00FE4288"/>
    <w:rsid w:val="00FF2BBC"/>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F611EA"/>
  <w15:chartTrackingRefBased/>
  <w15:docId w15:val="{0032F785-7C5B-4CE7-8CEE-52574518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5EE"/>
  </w:style>
  <w:style w:type="paragraph" w:styleId="Footer">
    <w:name w:val="footer"/>
    <w:basedOn w:val="Normal"/>
    <w:link w:val="FooterChar"/>
    <w:uiPriority w:val="99"/>
    <w:unhideWhenUsed/>
    <w:rsid w:val="0030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5EE"/>
  </w:style>
  <w:style w:type="paragraph" w:customStyle="1" w:styleId="Default">
    <w:name w:val="Default"/>
    <w:rsid w:val="00525206"/>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aliases w:val="ADB,ALTS FOOTNOTE,Boston 10,FN,FOOTNOTES,Font,Font: Geneva 9,Footnote,Footnote Text Char Char Char,Footnote Text Char Char Char Char,Footnote Text Char1 Char,Geneva 9,Style 7,WB-Fußnotentext,f,fn,footnote,footnote text,ft,single space,text"/>
    <w:basedOn w:val="Normal"/>
    <w:link w:val="FootnoteTextChar"/>
    <w:uiPriority w:val="99"/>
    <w:unhideWhenUsed/>
    <w:qFormat/>
    <w:rsid w:val="00890A0C"/>
    <w:pPr>
      <w:spacing w:after="0" w:line="240" w:lineRule="auto"/>
    </w:pPr>
    <w:rPr>
      <w:sz w:val="20"/>
      <w:szCs w:val="20"/>
    </w:rPr>
  </w:style>
  <w:style w:type="character" w:customStyle="1" w:styleId="FootnoteTextChar">
    <w:name w:val="Footnote Text Char"/>
    <w:aliases w:val="ADB Char,ALTS FOOTNOTE Char,Boston 10 Char,FN Char,FOOTNOTES Char,Font Char,Font: Geneva 9 Char,Footnote Char,Footnote Text Char Char Char Char1,Footnote Text Char Char Char Char Char,Footnote Text Char1 Char Char,Geneva 9 Char,f Char"/>
    <w:basedOn w:val="DefaultParagraphFont"/>
    <w:link w:val="FootnoteText"/>
    <w:uiPriority w:val="99"/>
    <w:rsid w:val="00890A0C"/>
    <w:rPr>
      <w:sz w:val="20"/>
      <w:szCs w:val="20"/>
    </w:rPr>
  </w:style>
  <w:style w:type="character" w:styleId="FootnoteReference">
    <w:name w:val="footnote reference"/>
    <w:aliases w:val=" BVI fnr, Car Car Char Car Char Car Car Char Car Char Char,16 Point,BVI fnr,Footnote Reference Number,Footnote Reference_LVL6,Footnote Reference_LVL61,Ref,SUPE,Style 6,Superscript 6 Point,de nota al pie,fr,ftref,referencia nota al pie"/>
    <w:basedOn w:val="DefaultParagraphFont"/>
    <w:link w:val="BVIfnrChar1CharCharCharCharChar"/>
    <w:unhideWhenUsed/>
    <w:qFormat/>
    <w:rsid w:val="00890A0C"/>
    <w:rPr>
      <w:vertAlign w:val="superscript"/>
    </w:rPr>
  </w:style>
  <w:style w:type="paragraph" w:customStyle="1" w:styleId="Title1">
    <w:name w:val="Title1"/>
    <w:link w:val="Title1Char"/>
    <w:qFormat/>
    <w:rsid w:val="001D2B1E"/>
    <w:pPr>
      <w:keepNext/>
      <w:tabs>
        <w:tab w:val="left" w:pos="720"/>
      </w:tabs>
      <w:spacing w:before="160" w:after="0" w:line="240" w:lineRule="auto"/>
    </w:pPr>
    <w:rPr>
      <w:rFonts w:ascii="Calibri" w:eastAsiaTheme="majorEastAsia" w:hAnsi="Calibri" w:cs="Times New Roman"/>
      <w:b/>
      <w:szCs w:val="28"/>
    </w:rPr>
  </w:style>
  <w:style w:type="character" w:customStyle="1" w:styleId="Title1Char">
    <w:name w:val="Title1 Char"/>
    <w:basedOn w:val="DefaultParagraphFont"/>
    <w:link w:val="Title1"/>
    <w:rsid w:val="001D2B1E"/>
    <w:rPr>
      <w:rFonts w:ascii="Calibri" w:eastAsiaTheme="majorEastAsia" w:hAnsi="Calibri" w:cs="Times New Roman"/>
      <w:b/>
      <w:szCs w:val="28"/>
    </w:rPr>
  </w:style>
  <w:style w:type="paragraph" w:customStyle="1" w:styleId="footnotefigure">
    <w:name w:val="footnote_figure"/>
    <w:basedOn w:val="Normal"/>
    <w:link w:val="footnotefigureChar"/>
    <w:qFormat/>
    <w:rsid w:val="001D2B1E"/>
    <w:pPr>
      <w:spacing w:after="0" w:line="240" w:lineRule="auto"/>
      <w:jc w:val="both"/>
    </w:pPr>
    <w:rPr>
      <w:rFonts w:ascii="Arial Narrow" w:hAnsi="Arial Narrow"/>
      <w:sz w:val="18"/>
      <w:szCs w:val="20"/>
    </w:rPr>
  </w:style>
  <w:style w:type="character" w:customStyle="1" w:styleId="footnotefigureChar">
    <w:name w:val="footnote_figure Char"/>
    <w:basedOn w:val="DefaultParagraphFont"/>
    <w:link w:val="footnotefigure"/>
    <w:rsid w:val="001D2B1E"/>
    <w:rPr>
      <w:rFonts w:ascii="Arial Narrow" w:hAnsi="Arial Narrow"/>
      <w:sz w:val="18"/>
      <w:szCs w:val="20"/>
    </w:rPr>
  </w:style>
  <w:style w:type="paragraph" w:styleId="ListParagraph">
    <w:name w:val="List Paragraph"/>
    <w:basedOn w:val="Normal"/>
    <w:link w:val="ListParagraphChar"/>
    <w:uiPriority w:val="34"/>
    <w:qFormat/>
    <w:rsid w:val="0096496D"/>
    <w:pPr>
      <w:ind w:left="720"/>
      <w:contextualSpacing/>
    </w:pPr>
  </w:style>
  <w:style w:type="table" w:styleId="TableGrid">
    <w:name w:val="Table Grid"/>
    <w:basedOn w:val="TableNormal"/>
    <w:uiPriority w:val="39"/>
    <w:rsid w:val="00964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ormal">
    <w:name w:val="par_normal"/>
    <w:basedOn w:val="Normal"/>
    <w:link w:val="parnormalChar"/>
    <w:qFormat/>
    <w:rsid w:val="0096496D"/>
    <w:pPr>
      <w:tabs>
        <w:tab w:val="left" w:pos="706"/>
      </w:tabs>
      <w:spacing w:after="60" w:line="240" w:lineRule="auto"/>
      <w:ind w:firstLine="432"/>
      <w:jc w:val="both"/>
    </w:pPr>
    <w:rPr>
      <w:rFonts w:ascii="Cambria" w:hAnsi="Cambria" w:cs="Times New Roman"/>
      <w:szCs w:val="24"/>
    </w:rPr>
  </w:style>
  <w:style w:type="character" w:customStyle="1" w:styleId="parnormalChar">
    <w:name w:val="par_normal Char"/>
    <w:basedOn w:val="DefaultParagraphFont"/>
    <w:link w:val="parnormal"/>
    <w:rsid w:val="0096496D"/>
    <w:rPr>
      <w:rFonts w:ascii="Cambria" w:hAnsi="Cambria" w:cs="Times New Roman"/>
      <w:szCs w:val="24"/>
    </w:rPr>
  </w:style>
  <w:style w:type="paragraph" w:customStyle="1" w:styleId="Title2">
    <w:name w:val="Title2"/>
    <w:basedOn w:val="Normal"/>
    <w:next w:val="Normal"/>
    <w:link w:val="Title2Char"/>
    <w:qFormat/>
    <w:rsid w:val="00D41E45"/>
    <w:pPr>
      <w:keepNext/>
      <w:spacing w:after="0" w:line="240" w:lineRule="auto"/>
    </w:pPr>
    <w:rPr>
      <w:rFonts w:ascii="Calibri" w:hAnsi="Calibri" w:cs="Times New Roman"/>
      <w:szCs w:val="24"/>
    </w:rPr>
  </w:style>
  <w:style w:type="character" w:customStyle="1" w:styleId="Title2Char">
    <w:name w:val="Title2 Char"/>
    <w:basedOn w:val="DefaultParagraphFont"/>
    <w:link w:val="Title2"/>
    <w:rsid w:val="00D41E45"/>
    <w:rPr>
      <w:rFonts w:ascii="Calibri" w:hAnsi="Calibri" w:cs="Times New Roman"/>
      <w:szCs w:val="24"/>
    </w:rPr>
  </w:style>
  <w:style w:type="paragraph" w:customStyle="1" w:styleId="BVIfnrChar1CharCharCharCharChar">
    <w:name w:val="BVI fnr Char1 Char Char Char Char Char"/>
    <w:aliases w:val="BVI fnr Car Car Car Car Char2 Char Char Char Char Char,BVI fnr Car Car Char1 Char Char Char Char Char,BVI fnr Car Char1 Char Char Char Char Char"/>
    <w:basedOn w:val="Normal"/>
    <w:link w:val="FootnoteReference"/>
    <w:uiPriority w:val="99"/>
    <w:rsid w:val="00A10B80"/>
    <w:pPr>
      <w:spacing w:line="240" w:lineRule="exact"/>
    </w:pPr>
    <w:rPr>
      <w:vertAlign w:val="superscript"/>
    </w:rPr>
  </w:style>
  <w:style w:type="character" w:styleId="CommentReference">
    <w:name w:val="annotation reference"/>
    <w:basedOn w:val="DefaultParagraphFont"/>
    <w:uiPriority w:val="99"/>
    <w:semiHidden/>
    <w:unhideWhenUsed/>
    <w:rsid w:val="00514E6B"/>
    <w:rPr>
      <w:sz w:val="16"/>
      <w:szCs w:val="16"/>
    </w:rPr>
  </w:style>
  <w:style w:type="paragraph" w:styleId="CommentText">
    <w:name w:val="annotation text"/>
    <w:basedOn w:val="Normal"/>
    <w:link w:val="CommentTextChar"/>
    <w:uiPriority w:val="99"/>
    <w:unhideWhenUsed/>
    <w:rsid w:val="00514E6B"/>
    <w:pPr>
      <w:spacing w:line="240" w:lineRule="auto"/>
    </w:pPr>
    <w:rPr>
      <w:sz w:val="20"/>
      <w:szCs w:val="20"/>
    </w:rPr>
  </w:style>
  <w:style w:type="character" w:customStyle="1" w:styleId="CommentTextChar">
    <w:name w:val="Comment Text Char"/>
    <w:basedOn w:val="DefaultParagraphFont"/>
    <w:link w:val="CommentText"/>
    <w:uiPriority w:val="99"/>
    <w:rsid w:val="00514E6B"/>
    <w:rPr>
      <w:sz w:val="20"/>
      <w:szCs w:val="20"/>
    </w:rPr>
  </w:style>
  <w:style w:type="paragraph" w:styleId="CommentSubject">
    <w:name w:val="annotation subject"/>
    <w:basedOn w:val="CommentText"/>
    <w:next w:val="CommentText"/>
    <w:link w:val="CommentSubjectChar"/>
    <w:uiPriority w:val="99"/>
    <w:semiHidden/>
    <w:unhideWhenUsed/>
    <w:rsid w:val="00514E6B"/>
    <w:rPr>
      <w:b/>
      <w:bCs/>
    </w:rPr>
  </w:style>
  <w:style w:type="character" w:customStyle="1" w:styleId="CommentSubjectChar">
    <w:name w:val="Comment Subject Char"/>
    <w:basedOn w:val="CommentTextChar"/>
    <w:link w:val="CommentSubject"/>
    <w:uiPriority w:val="99"/>
    <w:semiHidden/>
    <w:rsid w:val="00514E6B"/>
    <w:rPr>
      <w:b/>
      <w:bCs/>
      <w:sz w:val="20"/>
      <w:szCs w:val="20"/>
    </w:rPr>
  </w:style>
  <w:style w:type="paragraph" w:styleId="BalloonText">
    <w:name w:val="Balloon Text"/>
    <w:basedOn w:val="Normal"/>
    <w:link w:val="BalloonTextChar"/>
    <w:uiPriority w:val="99"/>
    <w:semiHidden/>
    <w:unhideWhenUsed/>
    <w:rsid w:val="00514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E6B"/>
    <w:rPr>
      <w:rFonts w:ascii="Segoe UI" w:hAnsi="Segoe UI" w:cs="Segoe UI"/>
      <w:sz w:val="18"/>
      <w:szCs w:val="18"/>
    </w:rPr>
  </w:style>
  <w:style w:type="paragraph" w:styleId="Revision">
    <w:name w:val="Revision"/>
    <w:hidden/>
    <w:uiPriority w:val="99"/>
    <w:semiHidden/>
    <w:rsid w:val="00705C90"/>
    <w:pPr>
      <w:spacing w:after="0" w:line="240" w:lineRule="auto"/>
    </w:pPr>
  </w:style>
  <w:style w:type="character" w:styleId="Hyperlink">
    <w:name w:val="Hyperlink"/>
    <w:basedOn w:val="DefaultParagraphFont"/>
    <w:uiPriority w:val="99"/>
    <w:semiHidden/>
    <w:unhideWhenUsed/>
    <w:rsid w:val="007B1F8C"/>
    <w:rPr>
      <w:color w:val="0000FF"/>
      <w:u w:val="single"/>
    </w:rPr>
  </w:style>
  <w:style w:type="paragraph" w:styleId="BodyText">
    <w:name w:val="Body Text"/>
    <w:basedOn w:val="Normal"/>
    <w:link w:val="BodyTextChar"/>
    <w:uiPriority w:val="1"/>
    <w:unhideWhenUsed/>
    <w:qFormat/>
    <w:rsid w:val="00BD4C1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BD4C11"/>
    <w:rPr>
      <w:rFonts w:ascii="Times New Roman" w:eastAsiaTheme="minorEastAsia" w:hAnsi="Times New Roman" w:cs="Times New Roman"/>
      <w:sz w:val="20"/>
      <w:szCs w:val="20"/>
    </w:rPr>
  </w:style>
  <w:style w:type="character" w:customStyle="1" w:styleId="ListParagraphChar">
    <w:name w:val="List Paragraph Char"/>
    <w:basedOn w:val="DefaultParagraphFont"/>
    <w:link w:val="ListParagraph"/>
    <w:uiPriority w:val="34"/>
    <w:rsid w:val="00D4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4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gdc.noaa.gov/eog/viirs/download_dnb_composites.html"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ngdc.noaa.gov/eog/viirs/download_dnb_composites.html" TargetMode="External"/><Relationship Id="rId14" Type="http://schemas.openxmlformats.org/officeDocument/2006/relationships/chart" Target="charts/chart3.xml"/><Relationship Id="rId22" Type="http://schemas.openxmlformats.org/officeDocument/2006/relationships/fontTable" Target="fontTable.xml"/><Relationship Id="rId27" Type="http://schemas.openxmlformats.org/officeDocument/2006/relationships/customXml" Target="../customXml/item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worldbankgroup-my.sharepoint.com/personal/asanchezdiaz_worldbank_org/Documents/Cities%20RS%20Angelica/chapter%202/chapter/TablesChapter2_alt.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worldbankgroup-my.sharepoint.com/personal/asanchezdiaz_worldbank_org/Documents/Cities%20RS%20Angelica/chapter%202/chapter/TablesChapter2_alt.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worldbankgroup-my.sharepoint.com/personal/asanchezdiaz_worldbank_org/Documents/Cities%20RS%20Angelica/chapter%202/chapter/TablesChapter2_al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485173\Documents\Transport_LAC\world_cities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823536592809622E-2"/>
          <c:y val="3.864734299516908E-2"/>
          <c:w val="0.91438355089334766"/>
          <c:h val="0.51774468408840202"/>
        </c:manualLayout>
      </c:layout>
      <c:barChart>
        <c:barDir val="col"/>
        <c:grouping val="clustered"/>
        <c:varyColors val="0"/>
        <c:ser>
          <c:idx val="0"/>
          <c:order val="0"/>
          <c:tx>
            <c:strRef>
              <c:f>dens_c!$B$8</c:f>
              <c:strCache>
                <c:ptCount val="1"/>
                <c:pt idx="0">
                  <c:v>Dense (%)</c:v>
                </c:pt>
              </c:strCache>
            </c:strRef>
          </c:tx>
          <c:spPr>
            <a:solidFill>
              <a:srgbClr val="4472C4"/>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5F6B-44F5-BB99-5913160F0E9A}"/>
              </c:ext>
            </c:extLst>
          </c:dPt>
          <c:dPt>
            <c:idx val="11"/>
            <c:invertIfNegative val="0"/>
            <c:bubble3D val="0"/>
            <c:spPr>
              <a:solidFill>
                <a:srgbClr val="4472C4"/>
              </a:solidFill>
              <a:ln>
                <a:noFill/>
              </a:ln>
              <a:effectLst/>
            </c:spPr>
            <c:extLst>
              <c:ext xmlns:c16="http://schemas.microsoft.com/office/drawing/2014/chart" uri="{C3380CC4-5D6E-409C-BE32-E72D297353CC}">
                <c16:uniqueId val="{00000003-5F6B-44F5-BB99-5913160F0E9A}"/>
              </c:ext>
            </c:extLst>
          </c:dPt>
          <c:dLbls>
            <c:dLbl>
              <c:idx val="0"/>
              <c:layout>
                <c:manualLayout>
                  <c:x val="2.2655188038060717E-2"/>
                  <c:y val="4.8076923076923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6B-44F5-BB99-5913160F0E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dens_c!$A$9:$A$44</c:f>
              <c:strCache>
                <c:ptCount val="36"/>
                <c:pt idx="0">
                  <c:v>Brazil</c:v>
                </c:pt>
                <c:pt idx="1">
                  <c:v>Peru</c:v>
                </c:pt>
                <c:pt idx="2">
                  <c:v>Venezuela, RB</c:v>
                </c:pt>
                <c:pt idx="3">
                  <c:v>Ecuador</c:v>
                </c:pt>
                <c:pt idx="4">
                  <c:v>Colombia</c:v>
                </c:pt>
                <c:pt idx="5">
                  <c:v>Bolivia</c:v>
                </c:pt>
                <c:pt idx="6">
                  <c:v>Paraguay</c:v>
                </c:pt>
                <c:pt idx="7">
                  <c:v>Uruguay</c:v>
                </c:pt>
                <c:pt idx="8">
                  <c:v>Chile</c:v>
                </c:pt>
                <c:pt idx="9">
                  <c:v>Suriname</c:v>
                </c:pt>
                <c:pt idx="10">
                  <c:v>Guyana</c:v>
                </c:pt>
                <c:pt idx="11">
                  <c:v>Argentina</c:v>
                </c:pt>
                <c:pt idx="12">
                  <c:v>Average SA</c:v>
                </c:pt>
                <c:pt idx="13">
                  <c:v>Aruba</c:v>
                </c:pt>
                <c:pt idx="14">
                  <c:v>Dominica</c:v>
                </c:pt>
                <c:pt idx="15">
                  <c:v>Cuba</c:v>
                </c:pt>
                <c:pt idx="16">
                  <c:v>Dominican Republic</c:v>
                </c:pt>
                <c:pt idx="17">
                  <c:v>St. Lucia</c:v>
                </c:pt>
                <c:pt idx="18">
                  <c:v>St. Vincent and the..</c:v>
                </c:pt>
                <c:pt idx="19">
                  <c:v>Trinidad and Tobago</c:v>
                </c:pt>
                <c:pt idx="20">
                  <c:v>Haiti</c:v>
                </c:pt>
                <c:pt idx="21">
                  <c:v>Antigua and Barbuda</c:v>
                </c:pt>
                <c:pt idx="22">
                  <c:v>Bahamas, The</c:v>
                </c:pt>
                <c:pt idx="23">
                  <c:v>St. Kitts and Nevis</c:v>
                </c:pt>
                <c:pt idx="24">
                  <c:v>Jamaica</c:v>
                </c:pt>
                <c:pt idx="25">
                  <c:v>Grenada</c:v>
                </c:pt>
                <c:pt idx="26">
                  <c:v>Barbados</c:v>
                </c:pt>
                <c:pt idx="27">
                  <c:v>Average Caribbean</c:v>
                </c:pt>
                <c:pt idx="28">
                  <c:v>Belize</c:v>
                </c:pt>
                <c:pt idx="29">
                  <c:v>Costa Rica</c:v>
                </c:pt>
                <c:pt idx="30">
                  <c:v>Panama</c:v>
                </c:pt>
                <c:pt idx="31">
                  <c:v>Honduras</c:v>
                </c:pt>
                <c:pt idx="32">
                  <c:v>Nicaragua</c:v>
                </c:pt>
                <c:pt idx="33">
                  <c:v>El Salvador</c:v>
                </c:pt>
                <c:pt idx="34">
                  <c:v>Guatemala</c:v>
                </c:pt>
                <c:pt idx="35">
                  <c:v>Mexico</c:v>
                </c:pt>
              </c:strCache>
              <c:extLst/>
            </c:strRef>
          </c:cat>
          <c:val>
            <c:numRef>
              <c:f>dens_c!$B$9:$B$44</c:f>
              <c:numCache>
                <c:formatCode>General</c:formatCode>
                <c:ptCount val="36"/>
                <c:pt idx="0">
                  <c:v>92.75</c:v>
                </c:pt>
                <c:pt idx="1">
                  <c:v>92.44</c:v>
                </c:pt>
                <c:pt idx="2">
                  <c:v>91.97</c:v>
                </c:pt>
                <c:pt idx="3">
                  <c:v>89.93</c:v>
                </c:pt>
                <c:pt idx="4">
                  <c:v>83.91</c:v>
                </c:pt>
                <c:pt idx="5">
                  <c:v>80.56</c:v>
                </c:pt>
                <c:pt idx="6">
                  <c:v>76.12</c:v>
                </c:pt>
                <c:pt idx="7">
                  <c:v>68.290000000000006</c:v>
                </c:pt>
                <c:pt idx="8">
                  <c:v>64.34</c:v>
                </c:pt>
                <c:pt idx="9">
                  <c:v>60</c:v>
                </c:pt>
                <c:pt idx="10">
                  <c:v>50</c:v>
                </c:pt>
                <c:pt idx="11">
                  <c:v>35.89</c:v>
                </c:pt>
                <c:pt idx="12">
                  <c:v>85.04</c:v>
                </c:pt>
                <c:pt idx="13">
                  <c:v>100</c:v>
                </c:pt>
                <c:pt idx="14">
                  <c:v>100</c:v>
                </c:pt>
                <c:pt idx="15">
                  <c:v>80.58</c:v>
                </c:pt>
                <c:pt idx="16">
                  <c:v>79.17</c:v>
                </c:pt>
                <c:pt idx="17">
                  <c:v>75</c:v>
                </c:pt>
                <c:pt idx="18">
                  <c:v>75</c:v>
                </c:pt>
                <c:pt idx="19">
                  <c:v>60</c:v>
                </c:pt>
                <c:pt idx="20">
                  <c:v>57.24</c:v>
                </c:pt>
                <c:pt idx="21">
                  <c:v>50</c:v>
                </c:pt>
                <c:pt idx="22">
                  <c:v>50</c:v>
                </c:pt>
                <c:pt idx="23">
                  <c:v>50</c:v>
                </c:pt>
                <c:pt idx="24">
                  <c:v>48.89</c:v>
                </c:pt>
                <c:pt idx="25">
                  <c:v>25</c:v>
                </c:pt>
                <c:pt idx="26">
                  <c:v>20</c:v>
                </c:pt>
                <c:pt idx="27">
                  <c:v>67.650000000000006</c:v>
                </c:pt>
                <c:pt idx="28">
                  <c:v>100</c:v>
                </c:pt>
                <c:pt idx="29">
                  <c:v>83.33</c:v>
                </c:pt>
                <c:pt idx="30">
                  <c:v>82.93</c:v>
                </c:pt>
                <c:pt idx="31">
                  <c:v>81.900000000000006</c:v>
                </c:pt>
                <c:pt idx="32">
                  <c:v>78.33</c:v>
                </c:pt>
                <c:pt idx="33">
                  <c:v>70.510000000000005</c:v>
                </c:pt>
                <c:pt idx="34">
                  <c:v>66.790000000000006</c:v>
                </c:pt>
                <c:pt idx="35">
                  <c:v>64.08</c:v>
                </c:pt>
              </c:numCache>
              <c:extLst/>
            </c:numRef>
          </c:val>
          <c:extLst>
            <c:ext xmlns:c16="http://schemas.microsoft.com/office/drawing/2014/chart" uri="{C3380CC4-5D6E-409C-BE32-E72D297353CC}">
              <c16:uniqueId val="{00000004-5F6B-44F5-BB99-5913160F0E9A}"/>
            </c:ext>
          </c:extLst>
        </c:ser>
        <c:dLbls>
          <c:showLegendKey val="0"/>
          <c:showVal val="0"/>
          <c:showCatName val="0"/>
          <c:showSerName val="0"/>
          <c:showPercent val="0"/>
          <c:showBubbleSize val="0"/>
        </c:dLbls>
        <c:gapWidth val="219"/>
        <c:axId val="-1531046192"/>
        <c:axId val="-1531635536"/>
      </c:barChart>
      <c:lineChart>
        <c:grouping val="standard"/>
        <c:varyColors val="0"/>
        <c:ser>
          <c:idx val="1"/>
          <c:order val="1"/>
          <c:tx>
            <c:strRef>
              <c:f>dens_c!$C$8</c:f>
              <c:strCache>
                <c:ptCount val="1"/>
                <c:pt idx="0">
                  <c:v>Line</c:v>
                </c:pt>
              </c:strCache>
            </c:strRef>
          </c:tx>
          <c:spPr>
            <a:ln w="28575" cap="rnd">
              <a:solidFill>
                <a:schemeClr val="accent2"/>
              </a:solidFill>
              <a:prstDash val="sysDash"/>
              <a:round/>
            </a:ln>
            <a:effectLst/>
          </c:spPr>
          <c:marker>
            <c:symbol val="none"/>
          </c:marker>
          <c:cat>
            <c:strRef>
              <c:f>dens_c!$A$9:$A$44</c:f>
              <c:strCache>
                <c:ptCount val="36"/>
                <c:pt idx="0">
                  <c:v>Brazil</c:v>
                </c:pt>
                <c:pt idx="1">
                  <c:v>Peru</c:v>
                </c:pt>
                <c:pt idx="2">
                  <c:v>Venezuela, RB</c:v>
                </c:pt>
                <c:pt idx="3">
                  <c:v>Ecuador</c:v>
                </c:pt>
                <c:pt idx="4">
                  <c:v>Colombia</c:v>
                </c:pt>
                <c:pt idx="5">
                  <c:v>Bolivia</c:v>
                </c:pt>
                <c:pt idx="6">
                  <c:v>Paraguay</c:v>
                </c:pt>
                <c:pt idx="7">
                  <c:v>Uruguay</c:v>
                </c:pt>
                <c:pt idx="8">
                  <c:v>Chile</c:v>
                </c:pt>
                <c:pt idx="9">
                  <c:v>Suriname</c:v>
                </c:pt>
                <c:pt idx="10">
                  <c:v>Guyana</c:v>
                </c:pt>
                <c:pt idx="11">
                  <c:v>Argentina</c:v>
                </c:pt>
                <c:pt idx="12">
                  <c:v>Average SA</c:v>
                </c:pt>
                <c:pt idx="13">
                  <c:v>Aruba</c:v>
                </c:pt>
                <c:pt idx="14">
                  <c:v>Dominica</c:v>
                </c:pt>
                <c:pt idx="15">
                  <c:v>Cuba</c:v>
                </c:pt>
                <c:pt idx="16">
                  <c:v>Dominican Republic</c:v>
                </c:pt>
                <c:pt idx="17">
                  <c:v>St. Lucia</c:v>
                </c:pt>
                <c:pt idx="18">
                  <c:v>St. Vincent and the..</c:v>
                </c:pt>
                <c:pt idx="19">
                  <c:v>Trinidad and Tobago</c:v>
                </c:pt>
                <c:pt idx="20">
                  <c:v>Haiti</c:v>
                </c:pt>
                <c:pt idx="21">
                  <c:v>Antigua and Barbuda</c:v>
                </c:pt>
                <c:pt idx="22">
                  <c:v>Bahamas, The</c:v>
                </c:pt>
                <c:pt idx="23">
                  <c:v>St. Kitts and Nevis</c:v>
                </c:pt>
                <c:pt idx="24">
                  <c:v>Jamaica</c:v>
                </c:pt>
                <c:pt idx="25">
                  <c:v>Grenada</c:v>
                </c:pt>
                <c:pt idx="26">
                  <c:v>Barbados</c:v>
                </c:pt>
                <c:pt idx="27">
                  <c:v>Average Caribbean</c:v>
                </c:pt>
                <c:pt idx="28">
                  <c:v>Belize</c:v>
                </c:pt>
                <c:pt idx="29">
                  <c:v>Costa Rica</c:v>
                </c:pt>
                <c:pt idx="30">
                  <c:v>Panama</c:v>
                </c:pt>
                <c:pt idx="31">
                  <c:v>Honduras</c:v>
                </c:pt>
                <c:pt idx="32">
                  <c:v>Nicaragua</c:v>
                </c:pt>
                <c:pt idx="33">
                  <c:v>El Salvador</c:v>
                </c:pt>
                <c:pt idx="34">
                  <c:v>Guatemala</c:v>
                </c:pt>
                <c:pt idx="35">
                  <c:v>Mexico</c:v>
                </c:pt>
              </c:strCache>
              <c:extLst/>
            </c:strRef>
          </c:cat>
          <c:val>
            <c:numRef>
              <c:f>dens_c!$C$9:$C$44</c:f>
              <c:numCache>
                <c:formatCode>General</c:formatCode>
                <c:ptCount val="36"/>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pt idx="31">
                  <c:v>50</c:v>
                </c:pt>
                <c:pt idx="32">
                  <c:v>50</c:v>
                </c:pt>
                <c:pt idx="33">
                  <c:v>50</c:v>
                </c:pt>
                <c:pt idx="34">
                  <c:v>50</c:v>
                </c:pt>
                <c:pt idx="35">
                  <c:v>50</c:v>
                </c:pt>
              </c:numCache>
              <c:extLst/>
            </c:numRef>
          </c:val>
          <c:smooth val="0"/>
          <c:extLst>
            <c:ext xmlns:c16="http://schemas.microsoft.com/office/drawing/2014/chart" uri="{C3380CC4-5D6E-409C-BE32-E72D297353CC}">
              <c16:uniqueId val="{00000005-5F6B-44F5-BB99-5913160F0E9A}"/>
            </c:ext>
          </c:extLst>
        </c:ser>
        <c:dLbls>
          <c:showLegendKey val="0"/>
          <c:showVal val="0"/>
          <c:showCatName val="0"/>
          <c:showSerName val="0"/>
          <c:showPercent val="0"/>
          <c:showBubbleSize val="0"/>
        </c:dLbls>
        <c:marker val="1"/>
        <c:smooth val="0"/>
        <c:axId val="-1531046192"/>
        <c:axId val="-1531635536"/>
      </c:lineChart>
      <c:catAx>
        <c:axId val="-1531046192"/>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31635536"/>
        <c:crosses val="autoZero"/>
        <c:auto val="1"/>
        <c:lblAlgn val="ctr"/>
        <c:lblOffset val="100"/>
        <c:noMultiLvlLbl val="0"/>
      </c:catAx>
      <c:valAx>
        <c:axId val="-1531635536"/>
        <c:scaling>
          <c:orientation val="minMax"/>
          <c:max val="100"/>
        </c:scaling>
        <c:delete val="0"/>
        <c:axPos val="l"/>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31046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ntl_comp!$B$1</c:f>
              <c:strCache>
                <c:ptCount val="1"/>
                <c:pt idx="0">
                  <c:v>LAC country</c:v>
                </c:pt>
              </c:strCache>
            </c:strRef>
          </c:tx>
          <c:spPr>
            <a:solidFill>
              <a:srgbClr val="780DB3"/>
            </a:solidFill>
            <a:ln>
              <a:solidFill>
                <a:srgbClr val="780DB3"/>
              </a:solidFill>
            </a:ln>
            <a:effectLst/>
          </c:spPr>
          <c:invertIfNegative val="0"/>
          <c:dPt>
            <c:idx val="0"/>
            <c:invertIfNegative val="0"/>
            <c:bubble3D val="0"/>
            <c:spPr>
              <a:solidFill>
                <a:srgbClr val="7030A0"/>
              </a:solidFill>
              <a:ln>
                <a:solidFill>
                  <a:srgbClr val="780DB3"/>
                </a:solidFill>
              </a:ln>
              <a:effectLst/>
            </c:spPr>
            <c:extLst>
              <c:ext xmlns:c16="http://schemas.microsoft.com/office/drawing/2014/chart" uri="{C3380CC4-5D6E-409C-BE32-E72D297353CC}">
                <c16:uniqueId val="{00000001-6016-4F12-AA2E-10F135385D47}"/>
              </c:ext>
            </c:extLst>
          </c:dPt>
          <c:dPt>
            <c:idx val="5"/>
            <c:invertIfNegative val="0"/>
            <c:bubble3D val="0"/>
            <c:spPr>
              <a:solidFill>
                <a:srgbClr val="C00000"/>
              </a:solidFill>
              <a:ln>
                <a:solidFill>
                  <a:srgbClr val="C00000"/>
                </a:solidFill>
              </a:ln>
              <a:effectLst/>
            </c:spPr>
            <c:extLst>
              <c:ext xmlns:c16="http://schemas.microsoft.com/office/drawing/2014/chart" uri="{C3380CC4-5D6E-409C-BE32-E72D297353CC}">
                <c16:uniqueId val="{00000003-6016-4F12-AA2E-10F135385D47}"/>
              </c:ext>
            </c:extLst>
          </c:dPt>
          <c:cat>
            <c:strRef>
              <c:f>ntl_comp!$A$27:$A$38</c:f>
              <c:strCache>
                <c:ptCount val="12"/>
                <c:pt idx="0">
                  <c:v>ARG</c:v>
                </c:pt>
                <c:pt idx="1">
                  <c:v>URY</c:v>
                </c:pt>
                <c:pt idx="2">
                  <c:v>PRY</c:v>
                </c:pt>
                <c:pt idx="3">
                  <c:v>CHL</c:v>
                </c:pt>
                <c:pt idx="4">
                  <c:v>SUR</c:v>
                </c:pt>
                <c:pt idx="5">
                  <c:v>BRA</c:v>
                </c:pt>
                <c:pt idx="6">
                  <c:v>VEN</c:v>
                </c:pt>
                <c:pt idx="7">
                  <c:v>BOL</c:v>
                </c:pt>
                <c:pt idx="8">
                  <c:v>ECU</c:v>
                </c:pt>
                <c:pt idx="9">
                  <c:v>COL</c:v>
                </c:pt>
                <c:pt idx="10">
                  <c:v>PER</c:v>
                </c:pt>
                <c:pt idx="11">
                  <c:v>GUY</c:v>
                </c:pt>
              </c:strCache>
            </c:strRef>
          </c:cat>
          <c:val>
            <c:numRef>
              <c:f>ntl_comp!$B$27:$B$38</c:f>
              <c:numCache>
                <c:formatCode>#,##0.000"";\-#,##0.000""</c:formatCode>
                <c:ptCount val="12"/>
                <c:pt idx="0">
                  <c:v>2.6041713338799788</c:v>
                </c:pt>
                <c:pt idx="1">
                  <c:v>2.0875451018678199</c:v>
                </c:pt>
                <c:pt idx="2">
                  <c:v>1.828059375710442</c:v>
                </c:pt>
                <c:pt idx="3">
                  <c:v>1.6427476356313007</c:v>
                </c:pt>
                <c:pt idx="4">
                  <c:v>1.473506905741077</c:v>
                </c:pt>
                <c:pt idx="5">
                  <c:v>1.3287121407954789</c:v>
                </c:pt>
                <c:pt idx="6">
                  <c:v>1.2999643549344724</c:v>
                </c:pt>
                <c:pt idx="7">
                  <c:v>0.85529555356640463</c:v>
                </c:pt>
                <c:pt idx="8">
                  <c:v>0.7236250416942227</c:v>
                </c:pt>
                <c:pt idx="9">
                  <c:v>0.34586625550590466</c:v>
                </c:pt>
                <c:pt idx="10">
                  <c:v>0.21067174179092793</c:v>
                </c:pt>
                <c:pt idx="11">
                  <c:v>0.13948193105060075</c:v>
                </c:pt>
              </c:numCache>
            </c:numRef>
          </c:val>
          <c:extLst>
            <c:ext xmlns:c16="http://schemas.microsoft.com/office/drawing/2014/chart" uri="{C3380CC4-5D6E-409C-BE32-E72D297353CC}">
              <c16:uniqueId val="{00000004-6016-4F12-AA2E-10F135385D47}"/>
            </c:ext>
          </c:extLst>
        </c:ser>
        <c:dLbls>
          <c:showLegendKey val="0"/>
          <c:showVal val="0"/>
          <c:showCatName val="0"/>
          <c:showSerName val="0"/>
          <c:showPercent val="0"/>
          <c:showBubbleSize val="0"/>
        </c:dLbls>
        <c:gapWidth val="150"/>
        <c:axId val="-1530710800"/>
        <c:axId val="-1530708752"/>
      </c:barChart>
      <c:lineChart>
        <c:grouping val="standard"/>
        <c:varyColors val="0"/>
        <c:ser>
          <c:idx val="1"/>
          <c:order val="1"/>
          <c:tx>
            <c:strRef>
              <c:f>ntl_comp!$C$1</c:f>
              <c:strCache>
                <c:ptCount val="1"/>
                <c:pt idx="0">
                  <c:v>Comparator 1</c:v>
                </c:pt>
              </c:strCache>
            </c:strRef>
          </c:tx>
          <c:spPr>
            <a:ln w="28575" cap="rnd">
              <a:noFill/>
              <a:round/>
            </a:ln>
            <a:effectLst/>
          </c:spPr>
          <c:marker>
            <c:symbol val="circle"/>
            <c:size val="5"/>
            <c:spPr>
              <a:solidFill>
                <a:srgbClr val="00B050">
                  <a:alpha val="97000"/>
                </a:srgbClr>
              </a:solidFill>
              <a:ln w="9525">
                <a:solidFill>
                  <a:srgbClr val="00B050"/>
                </a:solidFill>
              </a:ln>
              <a:effectLst/>
            </c:spPr>
          </c:marker>
          <c:cat>
            <c:strRef>
              <c:f>ntl_comp!$A$27:$A$38</c:f>
              <c:strCache>
                <c:ptCount val="12"/>
                <c:pt idx="0">
                  <c:v>ARG</c:v>
                </c:pt>
                <c:pt idx="1">
                  <c:v>URY</c:v>
                </c:pt>
                <c:pt idx="2">
                  <c:v>PRY</c:v>
                </c:pt>
                <c:pt idx="3">
                  <c:v>CHL</c:v>
                </c:pt>
                <c:pt idx="4">
                  <c:v>SUR</c:v>
                </c:pt>
                <c:pt idx="5">
                  <c:v>BRA</c:v>
                </c:pt>
                <c:pt idx="6">
                  <c:v>VEN</c:v>
                </c:pt>
                <c:pt idx="7">
                  <c:v>BOL</c:v>
                </c:pt>
                <c:pt idx="8">
                  <c:v>ECU</c:v>
                </c:pt>
                <c:pt idx="9">
                  <c:v>COL</c:v>
                </c:pt>
                <c:pt idx="10">
                  <c:v>PER</c:v>
                </c:pt>
                <c:pt idx="11">
                  <c:v>GUY</c:v>
                </c:pt>
              </c:strCache>
            </c:strRef>
          </c:cat>
          <c:val>
            <c:numRef>
              <c:f>ntl_comp!$C$27:$C$38</c:f>
              <c:numCache>
                <c:formatCode>#,##0.000"";\-#,##0.000""</c:formatCode>
                <c:ptCount val="12"/>
                <c:pt idx="0">
                  <c:v>-2.8732396953504553</c:v>
                </c:pt>
                <c:pt idx="1">
                  <c:v>-0.58069513012895391</c:v>
                </c:pt>
                <c:pt idx="2">
                  <c:v>2.2125608737546196</c:v>
                </c:pt>
                <c:pt idx="3">
                  <c:v>-2.8732396953504553</c:v>
                </c:pt>
                <c:pt idx="4">
                  <c:v>2.0171988186480134</c:v>
                </c:pt>
                <c:pt idx="5">
                  <c:v>-0.96433704255727171</c:v>
                </c:pt>
                <c:pt idx="6">
                  <c:v>0.74358363818137529</c:v>
                </c:pt>
                <c:pt idx="7">
                  <c:v>0.19938234494292947</c:v>
                </c:pt>
                <c:pt idx="8">
                  <c:v>-2.8732396953504553</c:v>
                </c:pt>
                <c:pt idx="9">
                  <c:v>-2.6386545163000652</c:v>
                </c:pt>
                <c:pt idx="10">
                  <c:v>-2.8732396953504553</c:v>
                </c:pt>
                <c:pt idx="11">
                  <c:v>-0.58069513012895391</c:v>
                </c:pt>
              </c:numCache>
            </c:numRef>
          </c:val>
          <c:smooth val="0"/>
          <c:extLst>
            <c:ext xmlns:c16="http://schemas.microsoft.com/office/drawing/2014/chart" uri="{C3380CC4-5D6E-409C-BE32-E72D297353CC}">
              <c16:uniqueId val="{00000005-6016-4F12-AA2E-10F135385D47}"/>
            </c:ext>
          </c:extLst>
        </c:ser>
        <c:ser>
          <c:idx val="2"/>
          <c:order val="2"/>
          <c:tx>
            <c:strRef>
              <c:f>ntl_comp!$D$1</c:f>
              <c:strCache>
                <c:ptCount val="1"/>
                <c:pt idx="0">
                  <c:v>Comparator 2</c:v>
                </c:pt>
              </c:strCache>
            </c:strRef>
          </c:tx>
          <c:spPr>
            <a:ln w="28575" cap="rnd">
              <a:noFill/>
              <a:round/>
            </a:ln>
            <a:effectLst/>
          </c:spPr>
          <c:marker>
            <c:symbol val="circle"/>
            <c:size val="5"/>
            <c:spPr>
              <a:solidFill>
                <a:srgbClr val="FFC000"/>
              </a:solidFill>
              <a:ln w="9525">
                <a:solidFill>
                  <a:srgbClr val="FFC000"/>
                </a:solidFill>
              </a:ln>
              <a:effectLst/>
            </c:spPr>
          </c:marker>
          <c:cat>
            <c:strRef>
              <c:f>ntl_comp!$A$27:$A$38</c:f>
              <c:strCache>
                <c:ptCount val="12"/>
                <c:pt idx="0">
                  <c:v>ARG</c:v>
                </c:pt>
                <c:pt idx="1">
                  <c:v>URY</c:v>
                </c:pt>
                <c:pt idx="2">
                  <c:v>PRY</c:v>
                </c:pt>
                <c:pt idx="3">
                  <c:v>CHL</c:v>
                </c:pt>
                <c:pt idx="4">
                  <c:v>SUR</c:v>
                </c:pt>
                <c:pt idx="5">
                  <c:v>BRA</c:v>
                </c:pt>
                <c:pt idx="6">
                  <c:v>VEN</c:v>
                </c:pt>
                <c:pt idx="7">
                  <c:v>BOL</c:v>
                </c:pt>
                <c:pt idx="8">
                  <c:v>ECU</c:v>
                </c:pt>
                <c:pt idx="9">
                  <c:v>COL</c:v>
                </c:pt>
                <c:pt idx="10">
                  <c:v>PER</c:v>
                </c:pt>
                <c:pt idx="11">
                  <c:v>GUY</c:v>
                </c:pt>
              </c:strCache>
            </c:strRef>
          </c:cat>
          <c:val>
            <c:numRef>
              <c:f>ntl_comp!$D$27:$D$38</c:f>
              <c:numCache>
                <c:formatCode>#,##0.000"";\-#,##0.000""</c:formatCode>
                <c:ptCount val="12"/>
                <c:pt idx="0">
                  <c:v>0.43384069988815671</c:v>
                </c:pt>
                <c:pt idx="1">
                  <c:v>3.8694467827866021</c:v>
                </c:pt>
                <c:pt idx="2">
                  <c:v>1.6633469264931018</c:v>
                </c:pt>
                <c:pt idx="3">
                  <c:v>3.7412129389302398</c:v>
                </c:pt>
                <c:pt idx="4">
                  <c:v>2.3623514001987762</c:v>
                </c:pt>
                <c:pt idx="5">
                  <c:v>1.7116075366968995</c:v>
                </c:pt>
                <c:pt idx="6">
                  <c:v>0.43384069988815671</c:v>
                </c:pt>
                <c:pt idx="7">
                  <c:v>1.6633469264931018</c:v>
                </c:pt>
                <c:pt idx="8">
                  <c:v>0</c:v>
                </c:pt>
                <c:pt idx="9">
                  <c:v>0.43384069988815671</c:v>
                </c:pt>
                <c:pt idx="10">
                  <c:v>0.43384069988815671</c:v>
                </c:pt>
                <c:pt idx="11">
                  <c:v>3.1859619246177471</c:v>
                </c:pt>
              </c:numCache>
            </c:numRef>
          </c:val>
          <c:smooth val="0"/>
          <c:extLst>
            <c:ext xmlns:c16="http://schemas.microsoft.com/office/drawing/2014/chart" uri="{C3380CC4-5D6E-409C-BE32-E72D297353CC}">
              <c16:uniqueId val="{00000006-6016-4F12-AA2E-10F135385D47}"/>
            </c:ext>
          </c:extLst>
        </c:ser>
        <c:ser>
          <c:idx val="3"/>
          <c:order val="3"/>
          <c:tx>
            <c:strRef>
              <c:f>ntl_comp!$E$1</c:f>
              <c:strCache>
                <c:ptCount val="1"/>
                <c:pt idx="0">
                  <c:v>Comparator 3</c:v>
                </c:pt>
              </c:strCache>
            </c:strRef>
          </c:tx>
          <c:spPr>
            <a:ln w="28575" cap="rnd">
              <a:noFill/>
              <a:round/>
            </a:ln>
            <a:effectLst/>
          </c:spPr>
          <c:marker>
            <c:symbol val="circle"/>
            <c:size val="5"/>
            <c:spPr>
              <a:solidFill>
                <a:srgbClr val="FF0000"/>
              </a:solidFill>
              <a:ln w="9525">
                <a:solidFill>
                  <a:srgbClr val="FF0000"/>
                </a:solidFill>
              </a:ln>
              <a:effectLst/>
            </c:spPr>
          </c:marker>
          <c:cat>
            <c:strRef>
              <c:f>ntl_comp!$A$27:$A$38</c:f>
              <c:strCache>
                <c:ptCount val="12"/>
                <c:pt idx="0">
                  <c:v>ARG</c:v>
                </c:pt>
                <c:pt idx="1">
                  <c:v>URY</c:v>
                </c:pt>
                <c:pt idx="2">
                  <c:v>PRY</c:v>
                </c:pt>
                <c:pt idx="3">
                  <c:v>CHL</c:v>
                </c:pt>
                <c:pt idx="4">
                  <c:v>SUR</c:v>
                </c:pt>
                <c:pt idx="5">
                  <c:v>BRA</c:v>
                </c:pt>
                <c:pt idx="6">
                  <c:v>VEN</c:v>
                </c:pt>
                <c:pt idx="7">
                  <c:v>BOL</c:v>
                </c:pt>
                <c:pt idx="8">
                  <c:v>ECU</c:v>
                </c:pt>
                <c:pt idx="9">
                  <c:v>COL</c:v>
                </c:pt>
                <c:pt idx="10">
                  <c:v>PER</c:v>
                </c:pt>
                <c:pt idx="11">
                  <c:v>GUY</c:v>
                </c:pt>
              </c:strCache>
            </c:strRef>
          </c:cat>
          <c:val>
            <c:numRef>
              <c:f>ntl_comp!$E$27:$E$38</c:f>
              <c:numCache>
                <c:formatCode>#,##0.000"";\-#,##0.000""</c:formatCode>
                <c:ptCount val="12"/>
                <c:pt idx="0">
                  <c:v>1.3380524849494404</c:v>
                </c:pt>
                <c:pt idx="1">
                  <c:v>1.1569299335005165</c:v>
                </c:pt>
                <c:pt idx="2">
                  <c:v>-1.0067120863667884</c:v>
                </c:pt>
                <c:pt idx="3">
                  <c:v>-1.9341437515150068</c:v>
                </c:pt>
                <c:pt idx="4">
                  <c:v>-1.211497258091214</c:v>
                </c:pt>
                <c:pt idx="5">
                  <c:v>2.9436846961145053</c:v>
                </c:pt>
                <c:pt idx="6">
                  <c:v>-1.4610170480999616</c:v>
                </c:pt>
                <c:pt idx="7">
                  <c:v>-3.1210763686669138</c:v>
                </c:pt>
                <c:pt idx="8">
                  <c:v>-1.0252781711604386</c:v>
                </c:pt>
                <c:pt idx="9">
                  <c:v>1.1123474282638874</c:v>
                </c:pt>
                <c:pt idx="10">
                  <c:v>-0.87751402876700901</c:v>
                </c:pt>
                <c:pt idx="11">
                  <c:v>2.3623514001987762</c:v>
                </c:pt>
              </c:numCache>
            </c:numRef>
          </c:val>
          <c:smooth val="0"/>
          <c:extLst>
            <c:ext xmlns:c16="http://schemas.microsoft.com/office/drawing/2014/chart" uri="{C3380CC4-5D6E-409C-BE32-E72D297353CC}">
              <c16:uniqueId val="{00000007-6016-4F12-AA2E-10F135385D47}"/>
            </c:ext>
          </c:extLst>
        </c:ser>
        <c:dLbls>
          <c:showLegendKey val="0"/>
          <c:showVal val="0"/>
          <c:showCatName val="0"/>
          <c:showSerName val="0"/>
          <c:showPercent val="0"/>
          <c:showBubbleSize val="0"/>
        </c:dLbls>
        <c:marker val="1"/>
        <c:smooth val="0"/>
        <c:axId val="-1530710800"/>
        <c:axId val="-1530708752"/>
      </c:lineChart>
      <c:catAx>
        <c:axId val="-15307108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30708752"/>
        <c:crosses val="autoZero"/>
        <c:auto val="1"/>
        <c:lblAlgn val="ctr"/>
        <c:lblOffset val="100"/>
        <c:noMultiLvlLbl val="0"/>
      </c:catAx>
      <c:valAx>
        <c:axId val="-1530708752"/>
        <c:scaling>
          <c:orientation val="minMax"/>
        </c:scaling>
        <c:delete val="0"/>
        <c:axPos val="l"/>
        <c:majorGridlines>
          <c:spPr>
            <a:ln w="9525" cap="flat" cmpd="sng" algn="ctr">
              <a:solidFill>
                <a:schemeClr val="bg1">
                  <a:lumMod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3071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862294831984E-2"/>
          <c:y val="6.47820965842167E-2"/>
          <c:w val="0.91492995868914295"/>
          <c:h val="0.50951003032748099"/>
        </c:manualLayout>
      </c:layout>
      <c:barChart>
        <c:barDir val="col"/>
        <c:grouping val="clustered"/>
        <c:varyColors val="0"/>
        <c:ser>
          <c:idx val="0"/>
          <c:order val="0"/>
          <c:tx>
            <c:strRef>
              <c:f>primacy_c!$B$6</c:f>
              <c:strCache>
                <c:ptCount val="1"/>
                <c:pt idx="0">
                  <c:v>LAC country</c:v>
                </c:pt>
              </c:strCache>
            </c:strRef>
          </c:tx>
          <c:spPr>
            <a:solidFill>
              <a:schemeClr val="accent1"/>
            </a:solidFill>
            <a:ln>
              <a:noFill/>
            </a:ln>
            <a:effectLst/>
          </c:spPr>
          <c:invertIfNegative val="0"/>
          <c:dPt>
            <c:idx val="5"/>
            <c:invertIfNegative val="0"/>
            <c:bubble3D val="0"/>
            <c:spPr>
              <a:solidFill>
                <a:srgbClr val="4472C4"/>
              </a:solidFill>
              <a:ln>
                <a:noFill/>
              </a:ln>
              <a:effectLst/>
            </c:spPr>
            <c:extLst>
              <c:ext xmlns:c16="http://schemas.microsoft.com/office/drawing/2014/chart" uri="{C3380CC4-5D6E-409C-BE32-E72D297353CC}">
                <c16:uniqueId val="{00000001-9F81-4312-A94C-E8908CBC8F30}"/>
              </c:ext>
            </c:extLst>
          </c:dPt>
          <c:dPt>
            <c:idx val="11"/>
            <c:invertIfNegative val="0"/>
            <c:bubble3D val="0"/>
            <c:spPr>
              <a:solidFill>
                <a:srgbClr val="C00000"/>
              </a:solidFill>
              <a:ln>
                <a:noFill/>
              </a:ln>
              <a:effectLst/>
            </c:spPr>
            <c:extLst>
              <c:ext xmlns:c16="http://schemas.microsoft.com/office/drawing/2014/chart" uri="{C3380CC4-5D6E-409C-BE32-E72D297353CC}">
                <c16:uniqueId val="{00000003-9F81-4312-A94C-E8908CBC8F30}"/>
              </c:ext>
            </c:extLst>
          </c:dPt>
          <c:cat>
            <c:strRef>
              <c:f>primacy_c!$A$31:$A$42</c:f>
              <c:strCache>
                <c:ptCount val="12"/>
                <c:pt idx="0">
                  <c:v>Suriname</c:v>
                </c:pt>
                <c:pt idx="1">
                  <c:v>Uruguay</c:v>
                </c:pt>
                <c:pt idx="2">
                  <c:v>Paraguay</c:v>
                </c:pt>
                <c:pt idx="3">
                  <c:v>Guyana</c:v>
                </c:pt>
                <c:pt idx="4">
                  <c:v>Peru</c:v>
                </c:pt>
                <c:pt idx="5">
                  <c:v>Argentina</c:v>
                </c:pt>
                <c:pt idx="6">
                  <c:v>Chile</c:v>
                </c:pt>
                <c:pt idx="7">
                  <c:v>Bolivia</c:v>
                </c:pt>
                <c:pt idx="8">
                  <c:v>Ecuador</c:v>
                </c:pt>
                <c:pt idx="9">
                  <c:v>Colombia</c:v>
                </c:pt>
                <c:pt idx="10">
                  <c:v>Venezuela, RB</c:v>
                </c:pt>
                <c:pt idx="11">
                  <c:v>Brazil</c:v>
                </c:pt>
              </c:strCache>
            </c:strRef>
          </c:cat>
          <c:val>
            <c:numRef>
              <c:f>primacy_c!$B$31:$B$42</c:f>
              <c:numCache>
                <c:formatCode>General</c:formatCode>
                <c:ptCount val="12"/>
                <c:pt idx="0">
                  <c:v>88.544934999999995</c:v>
                </c:pt>
                <c:pt idx="1">
                  <c:v>59.941251000000001</c:v>
                </c:pt>
                <c:pt idx="2">
                  <c:v>58.586468000000004</c:v>
                </c:pt>
                <c:pt idx="3">
                  <c:v>57.833188999999997</c:v>
                </c:pt>
                <c:pt idx="4">
                  <c:v>48.253768000000001</c:v>
                </c:pt>
                <c:pt idx="5">
                  <c:v>44.411946999999998</c:v>
                </c:pt>
                <c:pt idx="6">
                  <c:v>43.245199</c:v>
                </c:pt>
                <c:pt idx="7">
                  <c:v>28.941538999999999</c:v>
                </c:pt>
                <c:pt idx="8">
                  <c:v>26.155539999999998</c:v>
                </c:pt>
                <c:pt idx="9">
                  <c:v>24.489529999999998</c:v>
                </c:pt>
                <c:pt idx="10">
                  <c:v>14.716196999999999</c:v>
                </c:pt>
                <c:pt idx="11">
                  <c:v>13.100564</c:v>
                </c:pt>
              </c:numCache>
            </c:numRef>
          </c:val>
          <c:extLst>
            <c:ext xmlns:c16="http://schemas.microsoft.com/office/drawing/2014/chart" uri="{C3380CC4-5D6E-409C-BE32-E72D297353CC}">
              <c16:uniqueId val="{00000004-9F81-4312-A94C-E8908CBC8F30}"/>
            </c:ext>
          </c:extLst>
        </c:ser>
        <c:dLbls>
          <c:showLegendKey val="0"/>
          <c:showVal val="0"/>
          <c:showCatName val="0"/>
          <c:showSerName val="0"/>
          <c:showPercent val="0"/>
          <c:showBubbleSize val="0"/>
        </c:dLbls>
        <c:gapWidth val="219"/>
        <c:axId val="-1530896416"/>
        <c:axId val="-1530894368"/>
      </c:barChart>
      <c:lineChart>
        <c:grouping val="standard"/>
        <c:varyColors val="0"/>
        <c:ser>
          <c:idx val="1"/>
          <c:order val="1"/>
          <c:tx>
            <c:strRef>
              <c:f>primacy_c!$C$6</c:f>
              <c:strCache>
                <c:ptCount val="1"/>
                <c:pt idx="0">
                  <c:v>Average comparators</c:v>
                </c:pt>
              </c:strCache>
            </c:strRef>
          </c:tx>
          <c:spPr>
            <a:ln w="28575" cap="rnd">
              <a:noFill/>
              <a:round/>
            </a:ln>
            <a:effectLst/>
          </c:spPr>
          <c:marker>
            <c:symbol val="triangle"/>
            <c:size val="8"/>
            <c:spPr>
              <a:solidFill>
                <a:srgbClr val="FFC000"/>
              </a:solidFill>
              <a:ln w="9525">
                <a:solidFill>
                  <a:srgbClr val="EE1212"/>
                </a:solidFill>
              </a:ln>
              <a:effectLst/>
            </c:spPr>
          </c:marker>
          <c:cat>
            <c:strRef>
              <c:f>primacy_c!$A$31:$A$42</c:f>
              <c:strCache>
                <c:ptCount val="12"/>
                <c:pt idx="0">
                  <c:v>Suriname</c:v>
                </c:pt>
                <c:pt idx="1">
                  <c:v>Uruguay</c:v>
                </c:pt>
                <c:pt idx="2">
                  <c:v>Paraguay</c:v>
                </c:pt>
                <c:pt idx="3">
                  <c:v>Guyana</c:v>
                </c:pt>
                <c:pt idx="4">
                  <c:v>Peru</c:v>
                </c:pt>
                <c:pt idx="5">
                  <c:v>Argentina</c:v>
                </c:pt>
                <c:pt idx="6">
                  <c:v>Chile</c:v>
                </c:pt>
                <c:pt idx="7">
                  <c:v>Bolivia</c:v>
                </c:pt>
                <c:pt idx="8">
                  <c:v>Ecuador</c:v>
                </c:pt>
                <c:pt idx="9">
                  <c:v>Colombia</c:v>
                </c:pt>
                <c:pt idx="10">
                  <c:v>Venezuela, RB</c:v>
                </c:pt>
                <c:pt idx="11">
                  <c:v>Brazil</c:v>
                </c:pt>
              </c:strCache>
            </c:strRef>
          </c:cat>
          <c:val>
            <c:numRef>
              <c:f>primacy_c!$C$31:$C$42</c:f>
              <c:numCache>
                <c:formatCode>0.0000</c:formatCode>
                <c:ptCount val="12"/>
                <c:pt idx="0">
                  <c:v>65.532504333333335</c:v>
                </c:pt>
                <c:pt idx="1">
                  <c:v>37.755693666666666</c:v>
                </c:pt>
                <c:pt idx="2">
                  <c:v>26.426040333333333</c:v>
                </c:pt>
                <c:pt idx="3">
                  <c:v>46.074186999999995</c:v>
                </c:pt>
                <c:pt idx="4">
                  <c:v>30.391079933333334</c:v>
                </c:pt>
                <c:pt idx="5">
                  <c:v>22.172314933333336</c:v>
                </c:pt>
                <c:pt idx="6">
                  <c:v>29.650651999999997</c:v>
                </c:pt>
                <c:pt idx="7">
                  <c:v>29.317178999999999</c:v>
                </c:pt>
                <c:pt idx="8">
                  <c:v>35.753140999999999</c:v>
                </c:pt>
                <c:pt idx="9">
                  <c:v>15.818440600000002</c:v>
                </c:pt>
                <c:pt idx="10">
                  <c:v>23.005422266666667</c:v>
                </c:pt>
                <c:pt idx="11">
                  <c:v>18.187578333333331</c:v>
                </c:pt>
              </c:numCache>
            </c:numRef>
          </c:val>
          <c:smooth val="0"/>
          <c:extLst>
            <c:ext xmlns:c16="http://schemas.microsoft.com/office/drawing/2014/chart" uri="{C3380CC4-5D6E-409C-BE32-E72D297353CC}">
              <c16:uniqueId val="{00000005-9F81-4312-A94C-E8908CBC8F30}"/>
            </c:ext>
          </c:extLst>
        </c:ser>
        <c:dLbls>
          <c:showLegendKey val="0"/>
          <c:showVal val="0"/>
          <c:showCatName val="0"/>
          <c:showSerName val="0"/>
          <c:showPercent val="0"/>
          <c:showBubbleSize val="0"/>
        </c:dLbls>
        <c:marker val="1"/>
        <c:smooth val="0"/>
        <c:axId val="-1530896416"/>
        <c:axId val="-1530894368"/>
      </c:lineChart>
      <c:catAx>
        <c:axId val="-1530896416"/>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30894368"/>
        <c:crosses val="autoZero"/>
        <c:auto val="1"/>
        <c:lblAlgn val="ctr"/>
        <c:lblOffset val="100"/>
        <c:noMultiLvlLbl val="0"/>
      </c:catAx>
      <c:valAx>
        <c:axId val="-1530894368"/>
        <c:scaling>
          <c:orientation val="minMax"/>
        </c:scaling>
        <c:delete val="0"/>
        <c:axPos val="l"/>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3089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[world_cities_2015.xlsx]Sheet11!$D$1</c:f>
              <c:strCache>
                <c:ptCount val="1"/>
                <c:pt idx="0">
                  <c:v>LENGTH_GEO</c:v>
                </c:pt>
              </c:strCache>
            </c:strRef>
          </c:tx>
          <c:spPr>
            <a:solidFill>
              <a:schemeClr val="accent1"/>
            </a:solidFill>
            <a:ln>
              <a:noFill/>
            </a:ln>
            <a:effectLst/>
          </c:spPr>
          <c:invertIfNegative val="0"/>
          <c:dPt>
            <c:idx val="3"/>
            <c:invertIfNegative val="0"/>
            <c:bubble3D val="0"/>
            <c:spPr>
              <a:solidFill>
                <a:srgbClr val="C00000"/>
              </a:solidFill>
              <a:ln>
                <a:noFill/>
              </a:ln>
              <a:effectLst/>
            </c:spPr>
            <c:extLst>
              <c:ext xmlns:c16="http://schemas.microsoft.com/office/drawing/2014/chart" uri="{C3380CC4-5D6E-409C-BE32-E72D297353CC}">
                <c16:uniqueId val="{00000004-0EF9-4702-B285-F0CE2C921E57}"/>
              </c:ext>
            </c:extLst>
          </c:dPt>
          <c:dPt>
            <c:idx val="7"/>
            <c:invertIfNegative val="0"/>
            <c:bubble3D val="0"/>
            <c:extLst>
              <c:ext xmlns:c16="http://schemas.microsoft.com/office/drawing/2014/chart" uri="{C3380CC4-5D6E-409C-BE32-E72D297353CC}">
                <c16:uniqueId val="{00000003-8E51-4364-9936-9CE4F147966C}"/>
              </c:ext>
            </c:extLst>
          </c:dPt>
          <c:dPt>
            <c:idx val="11"/>
            <c:invertIfNegative val="0"/>
            <c:bubble3D val="0"/>
            <c:spPr>
              <a:solidFill>
                <a:schemeClr val="accent2"/>
              </a:solidFill>
              <a:ln>
                <a:noFill/>
              </a:ln>
              <a:effectLst/>
            </c:spPr>
            <c:extLst>
              <c:ext xmlns:c16="http://schemas.microsoft.com/office/drawing/2014/chart" uri="{C3380CC4-5D6E-409C-BE32-E72D297353CC}">
                <c16:uniqueId val="{00000001-8E51-4364-9936-9CE4F147966C}"/>
              </c:ext>
            </c:extLst>
          </c:dPt>
          <c:cat>
            <c:strRef>
              <c:f>[world_cities_2015.xlsx]Sheet11!$C$2:$C$21</c:f>
              <c:strCache>
                <c:ptCount val="20"/>
                <c:pt idx="0">
                  <c:v>Peru</c:v>
                </c:pt>
                <c:pt idx="1">
                  <c:v>Panama</c:v>
                </c:pt>
                <c:pt idx="2">
                  <c:v>Bolivia</c:v>
                </c:pt>
                <c:pt idx="3">
                  <c:v>Brazil</c:v>
                </c:pt>
                <c:pt idx="4">
                  <c:v>Mexico</c:v>
                </c:pt>
                <c:pt idx="5">
                  <c:v>El Salvador</c:v>
                </c:pt>
                <c:pt idx="6">
                  <c:v>Venezuela</c:v>
                </c:pt>
                <c:pt idx="7">
                  <c:v>Argentina</c:v>
                </c:pt>
                <c:pt idx="8">
                  <c:v>Colombia</c:v>
                </c:pt>
                <c:pt idx="9">
                  <c:v>Cuba</c:v>
                </c:pt>
                <c:pt idx="10">
                  <c:v>Haiti</c:v>
                </c:pt>
                <c:pt idx="11">
                  <c:v>LAC 19</c:v>
                </c:pt>
                <c:pt idx="12">
                  <c:v>Paraguay</c:v>
                </c:pt>
                <c:pt idx="13">
                  <c:v>Ecuador</c:v>
                </c:pt>
                <c:pt idx="14">
                  <c:v>Dominican Republic</c:v>
                </c:pt>
                <c:pt idx="15">
                  <c:v>Costa Rica</c:v>
                </c:pt>
                <c:pt idx="16">
                  <c:v>Guatemala</c:v>
                </c:pt>
                <c:pt idx="17">
                  <c:v>Chile</c:v>
                </c:pt>
                <c:pt idx="18">
                  <c:v>Honduras</c:v>
                </c:pt>
                <c:pt idx="19">
                  <c:v>Puerto Rico</c:v>
                </c:pt>
              </c:strCache>
            </c:strRef>
          </c:cat>
          <c:val>
            <c:numRef>
              <c:f>[world_cities_2015.xlsx]Sheet11!$D$2:$D$21</c:f>
              <c:numCache>
                <c:formatCode>0</c:formatCode>
                <c:ptCount val="20"/>
                <c:pt idx="0">
                  <c:v>200.2319</c:v>
                </c:pt>
                <c:pt idx="1">
                  <c:v>221.49289999999999</c:v>
                </c:pt>
                <c:pt idx="2">
                  <c:v>286.81652000000003</c:v>
                </c:pt>
                <c:pt idx="3">
                  <c:v>347.80014</c:v>
                </c:pt>
                <c:pt idx="4">
                  <c:v>397.37335000000002</c:v>
                </c:pt>
                <c:pt idx="5">
                  <c:v>398.52510999999902</c:v>
                </c:pt>
                <c:pt idx="6">
                  <c:v>416.20843000000002</c:v>
                </c:pt>
                <c:pt idx="7">
                  <c:v>427.84697</c:v>
                </c:pt>
                <c:pt idx="8">
                  <c:v>439.85178999999999</c:v>
                </c:pt>
                <c:pt idx="9">
                  <c:v>450.66415000000001</c:v>
                </c:pt>
                <c:pt idx="10">
                  <c:v>472.89753999999903</c:v>
                </c:pt>
                <c:pt idx="11">
                  <c:v>499</c:v>
                </c:pt>
                <c:pt idx="12">
                  <c:v>510.65602999999999</c:v>
                </c:pt>
                <c:pt idx="13">
                  <c:v>645.19758999999999</c:v>
                </c:pt>
                <c:pt idx="14">
                  <c:v>653.75313000000006</c:v>
                </c:pt>
                <c:pt idx="15">
                  <c:v>659.43741999999838</c:v>
                </c:pt>
                <c:pt idx="16">
                  <c:v>718.50924999999938</c:v>
                </c:pt>
                <c:pt idx="17">
                  <c:v>730.42413999999997</c:v>
                </c:pt>
                <c:pt idx="18">
                  <c:v>734.43583000000001</c:v>
                </c:pt>
                <c:pt idx="19">
                  <c:v>767.75345000000004</c:v>
                </c:pt>
              </c:numCache>
            </c:numRef>
          </c:val>
          <c:extLst>
            <c:ext xmlns:c16="http://schemas.microsoft.com/office/drawing/2014/chart" uri="{C3380CC4-5D6E-409C-BE32-E72D297353CC}">
              <c16:uniqueId val="{00000002-8E51-4364-9936-9CE4F147966C}"/>
            </c:ext>
          </c:extLst>
        </c:ser>
        <c:dLbls>
          <c:showLegendKey val="0"/>
          <c:showVal val="0"/>
          <c:showCatName val="0"/>
          <c:showSerName val="0"/>
          <c:showPercent val="0"/>
          <c:showBubbleSize val="0"/>
        </c:dLbls>
        <c:gapWidth val="182"/>
        <c:axId val="591659536"/>
        <c:axId val="591671536"/>
      </c:barChart>
      <c:catAx>
        <c:axId val="591659536"/>
        <c:scaling>
          <c:orientation val="minMax"/>
        </c:scaling>
        <c:delete val="0"/>
        <c:axPos val="l"/>
        <c:title>
          <c:tx>
            <c:rich>
              <a:bodyPr rot="-5400000" vert="horz"/>
              <a:lstStyle/>
              <a:p>
                <a:pPr>
                  <a:defRPr/>
                </a:pPr>
                <a:r>
                  <a:rPr lang="en-US"/>
                  <a:t>Country</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591671536"/>
        <c:crosses val="autoZero"/>
        <c:auto val="1"/>
        <c:lblAlgn val="ctr"/>
        <c:lblOffset val="100"/>
        <c:noMultiLvlLbl val="0"/>
      </c:catAx>
      <c:valAx>
        <c:axId val="5916715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en-US"/>
                  <a:t>Average Road Length (km)</a:t>
                </a:r>
              </a:p>
            </c:rich>
          </c:tx>
          <c:layout>
            <c:manualLayout>
              <c:xMode val="edge"/>
              <c:yMode val="edge"/>
              <c:x val="0.38648128443404001"/>
              <c:y val="0.91915826771653497"/>
            </c:manualLayout>
          </c:layout>
          <c:overlay val="0"/>
          <c:spPr>
            <a:noFill/>
            <a:ln>
              <a:noFill/>
            </a:ln>
            <a:effectLst/>
          </c:spPr>
        </c:title>
        <c:numFmt formatCode="0" sourceLinked="1"/>
        <c:majorTickMark val="none"/>
        <c:minorTickMark val="none"/>
        <c:tickLblPos val="nextTo"/>
        <c:spPr>
          <a:noFill/>
          <a:ln>
            <a:noFill/>
          </a:ln>
          <a:effectLst/>
        </c:spPr>
        <c:txPr>
          <a:bodyPr rot="-60000000" vert="horz"/>
          <a:lstStyle/>
          <a:p>
            <a:pPr>
              <a:defRPr/>
            </a:pPr>
            <a:endParaRPr lang="en-US"/>
          </a:p>
        </c:txPr>
        <c:crossAx val="591659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413C9CE4F7C45543A112DDC12EF695C9" ma:contentTypeVersion="3" ma:contentTypeDescription="" ma:contentTypeScope="" ma:versionID="ddee7b1f76f2688a478accfcd0d816f8">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000227883:Nancy Lozano Gracia:nlozano@worldbank.org;</DocAuthors>
    <Authors xmlns="b99a068c-3844-4a16-badd-77233eea0529">
      <UserInfo>
        <DisplayName>i:0#.w|wb\wb227883</DisplayName>
        <AccountId>4145</AccountId>
        <AccountType/>
      </UserInfo>
      <UserInfo>
        <DisplayName/>
        <AccountId xsi:nil="true"/>
        <AccountType/>
      </UserInfo>
    </Authors>
    <Cordis_x0020_ID xmlns="b99a068c-3844-4a16-badd-77233eea0529" xsi:nil="true"/>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2018-06-15T04:00:00+00:00</DocumentDate>
    <WBDocType xmlns="b99a068c-3844-4a16-badd-77233eea0529">Report</WBDocType>
    <SecurityClassification xmlns="b99a068c-3844-4a16-badd-77233eea0529">Public</SecurityClassification>
    <DeliverableID xmlns="b99a068c-3844-4a16-badd-77233eea0529">DLV0213931</DeliverableID>
    <ProjectID xmlns="b99a068c-3844-4a16-badd-77233eea0529">P166311</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03D1F40C-76C2-475C-8804-DF5D8A0B3075}"/>
</file>

<file path=customXml/itemProps2.xml><?xml version="1.0" encoding="utf-8"?>
<ds:datastoreItem xmlns:ds="http://schemas.openxmlformats.org/officeDocument/2006/customXml" ds:itemID="{2332B7EF-32AD-44E9-A2AE-A170FC57FF3D}"/>
</file>

<file path=customXml/itemProps3.xml><?xml version="1.0" encoding="utf-8"?>
<ds:datastoreItem xmlns:ds="http://schemas.openxmlformats.org/officeDocument/2006/customXml" ds:itemID="{55582C85-D37A-466E-AE9A-78EF7FA5862A}"/>
</file>

<file path=customXml/itemProps4.xml><?xml version="1.0" encoding="utf-8"?>
<ds:datastoreItem xmlns:ds="http://schemas.openxmlformats.org/officeDocument/2006/customXml" ds:itemID="{69C9702D-F150-40CC-85FD-14C483A45B09}"/>
</file>

<file path=customXml/itemProps5.xml><?xml version="1.0" encoding="utf-8"?>
<ds:datastoreItem xmlns:ds="http://schemas.openxmlformats.org/officeDocument/2006/customXml" ds:itemID="{396E850A-9552-4BCD-9D0C-F617616DE9DD}"/>
</file>

<file path=docProps/app.xml><?xml version="1.0" encoding="utf-8"?>
<Properties xmlns="http://schemas.openxmlformats.org/officeDocument/2006/extended-properties" xmlns:vt="http://schemas.openxmlformats.org/officeDocument/2006/docPropsVTypes">
  <Template>Normal.dotm</Template>
  <TotalTime>5</TotalTime>
  <Pages>16</Pages>
  <Words>6448</Words>
  <Characters>36757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the Bar for Productive Cities In LAC_Brazil_06</dc:title>
  <dc:subject/>
  <dc:creator>Nathalie Picarelli</dc:creator>
  <cp:keywords/>
  <dc:description/>
  <cp:lastModifiedBy>Nancy Lozano Gracia</cp:lastModifiedBy>
  <cp:revision>3</cp:revision>
  <dcterms:created xsi:type="dcterms:W3CDTF">2018-06-13T22:41:00Z</dcterms:created>
  <dcterms:modified xsi:type="dcterms:W3CDTF">2018-06-15T12:54:00Z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0x01010054E0FEF4951F9D49A6F48A35419983C700413C9CE4F7C45543A112DDC12EF695C9</vt:lpwstr>
  </property>
  <property fmtid="{D5CDD505-2E9C-101B-9397-08002B2CF9AE}" pid="5" name="RatedBy">
    <vt:lpwstr/>
  </property>
  <property fmtid="{D5CDD505-2E9C-101B-9397-08002B2CF9AE}" pid="7" name="LikedBy">
    <vt:lpwstr/>
  </property>
</Properties>
</file>