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olors2.xml" ContentType="application/vnd.ms-office.chartcolorstyle+xml"/>
  <Override PartName="/word/charts/style2.xml" ContentType="application/vnd.ms-office.chartstyle+xml"/>
  <Override PartName="/word/charts/colors1.xml" ContentType="application/vnd.ms-office.chartcolorstyle+xml"/>
  <Override PartName="/word/charts/style1.xml" ContentType="application/vnd.ms-office.chartstyl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42F2B" w14:textId="77777777" w:rsidR="00084C31" w:rsidRDefault="00084C31" w:rsidP="008769F4">
      <w:pPr>
        <w:spacing w:after="120"/>
        <w:jc w:val="both"/>
        <w:rPr>
          <w:rFonts w:ascii="Sylfaen" w:hAnsi="Sylfaen"/>
          <w:sz w:val="28"/>
        </w:rPr>
      </w:pPr>
    </w:p>
    <w:p w14:paraId="6318FF64" w14:textId="77777777" w:rsidR="00084C31" w:rsidRPr="00FA7075" w:rsidRDefault="00084C31" w:rsidP="008769F4">
      <w:pPr>
        <w:spacing w:after="120"/>
        <w:jc w:val="both"/>
        <w:rPr>
          <w:rFonts w:ascii="Sylfaen" w:hAnsi="Sylfaen"/>
          <w:sz w:val="28"/>
        </w:rPr>
      </w:pPr>
    </w:p>
    <w:p w14:paraId="599F92C7" w14:textId="77777777" w:rsidR="00084C31" w:rsidRPr="00FA7075" w:rsidRDefault="00084C31" w:rsidP="008769F4">
      <w:pPr>
        <w:spacing w:after="120"/>
        <w:jc w:val="both"/>
        <w:rPr>
          <w:rFonts w:ascii="Sylfaen" w:hAnsi="Sylfaen"/>
          <w:sz w:val="28"/>
        </w:rPr>
      </w:pPr>
    </w:p>
    <w:p w14:paraId="442BBBD5" w14:textId="40F4AA95" w:rsidR="00084C31" w:rsidRPr="00FA7075" w:rsidRDefault="00084C31" w:rsidP="008769F4">
      <w:pPr>
        <w:spacing w:after="120"/>
        <w:jc w:val="both"/>
        <w:rPr>
          <w:rFonts w:ascii="Sylfaen" w:hAnsi="Sylfaen"/>
          <w:sz w:val="28"/>
        </w:rPr>
      </w:pPr>
    </w:p>
    <w:p w14:paraId="7799FD61" w14:textId="77777777" w:rsidR="00424DCF" w:rsidRPr="00FA7075" w:rsidRDefault="00424DCF" w:rsidP="008769F4">
      <w:pPr>
        <w:spacing w:after="120"/>
        <w:jc w:val="both"/>
        <w:rPr>
          <w:rFonts w:ascii="Sylfaen" w:hAnsi="Sylfaen"/>
          <w:sz w:val="28"/>
        </w:rPr>
      </w:pPr>
    </w:p>
    <w:p w14:paraId="2A6FE82A" w14:textId="77777777" w:rsidR="00084C31" w:rsidRPr="00FA7075" w:rsidRDefault="00084C31" w:rsidP="008769F4">
      <w:pPr>
        <w:spacing w:after="120"/>
        <w:jc w:val="center"/>
        <w:rPr>
          <w:rFonts w:ascii="Sylfaen" w:hAnsi="Sylfaen"/>
          <w:sz w:val="28"/>
        </w:rPr>
      </w:pPr>
    </w:p>
    <w:p w14:paraId="7052C48D" w14:textId="3A69DC03" w:rsidR="0008769C" w:rsidRPr="00034A4A" w:rsidRDefault="007D6903" w:rsidP="008769F4">
      <w:pPr>
        <w:spacing w:after="120"/>
        <w:jc w:val="center"/>
        <w:rPr>
          <w:rFonts w:ascii="Sylfaen" w:hAnsi="Sylfaen"/>
          <w:b/>
          <w:sz w:val="32"/>
          <w:szCs w:val="32"/>
        </w:rPr>
      </w:pPr>
      <w:r w:rsidRPr="00034A4A">
        <w:rPr>
          <w:rFonts w:ascii="Sylfaen" w:hAnsi="Sylfaen"/>
          <w:b/>
          <w:sz w:val="32"/>
          <w:szCs w:val="32"/>
        </w:rPr>
        <w:t>Jobs in Iraq: a</w:t>
      </w:r>
      <w:r w:rsidR="00982E8E" w:rsidRPr="00034A4A">
        <w:rPr>
          <w:rFonts w:ascii="Sylfaen" w:hAnsi="Sylfaen"/>
          <w:b/>
          <w:sz w:val="32"/>
          <w:szCs w:val="32"/>
        </w:rPr>
        <w:t xml:space="preserve"> primer on </w:t>
      </w:r>
      <w:r w:rsidR="00357690" w:rsidRPr="00034A4A">
        <w:rPr>
          <w:rFonts w:ascii="Sylfaen" w:hAnsi="Sylfaen"/>
          <w:b/>
          <w:sz w:val="32"/>
          <w:szCs w:val="32"/>
        </w:rPr>
        <w:t>job creation in the short-term</w:t>
      </w:r>
    </w:p>
    <w:p w14:paraId="26767048" w14:textId="4BE4CE3F" w:rsidR="003E4775" w:rsidRPr="00034A4A" w:rsidRDefault="003E4775" w:rsidP="008769F4">
      <w:pPr>
        <w:spacing w:after="120"/>
        <w:jc w:val="center"/>
        <w:rPr>
          <w:rFonts w:ascii="Sylfaen" w:hAnsi="Sylfaen"/>
          <w:sz w:val="24"/>
          <w:szCs w:val="24"/>
        </w:rPr>
      </w:pPr>
    </w:p>
    <w:p w14:paraId="23C923A6" w14:textId="77777777" w:rsidR="00982E8E" w:rsidRPr="00034A4A" w:rsidRDefault="00982E8E" w:rsidP="008769F4">
      <w:pPr>
        <w:spacing w:after="120"/>
        <w:jc w:val="center"/>
        <w:rPr>
          <w:rFonts w:ascii="Sylfaen" w:hAnsi="Sylfaen"/>
          <w:sz w:val="24"/>
          <w:szCs w:val="24"/>
        </w:rPr>
      </w:pPr>
    </w:p>
    <w:p w14:paraId="59174444" w14:textId="01C04251" w:rsidR="00084C31" w:rsidRPr="00034A4A" w:rsidRDefault="008C4FA3" w:rsidP="008769F4">
      <w:pPr>
        <w:spacing w:after="120"/>
        <w:jc w:val="center"/>
        <w:rPr>
          <w:rFonts w:ascii="Sylfaen" w:hAnsi="Sylfaen"/>
          <w:sz w:val="24"/>
          <w:szCs w:val="24"/>
        </w:rPr>
      </w:pPr>
      <w:r w:rsidRPr="00034A4A">
        <w:rPr>
          <w:rFonts w:ascii="Sylfaen" w:hAnsi="Sylfaen"/>
          <w:sz w:val="24"/>
          <w:szCs w:val="24"/>
        </w:rPr>
        <w:t xml:space="preserve">June </w:t>
      </w:r>
      <w:r w:rsidR="00A10C2C" w:rsidRPr="00034A4A">
        <w:rPr>
          <w:rFonts w:ascii="Sylfaen" w:hAnsi="Sylfaen"/>
          <w:sz w:val="24"/>
          <w:szCs w:val="24"/>
        </w:rPr>
        <w:t>15</w:t>
      </w:r>
      <w:r w:rsidR="00084C31" w:rsidRPr="00034A4A">
        <w:rPr>
          <w:rFonts w:ascii="Sylfaen" w:hAnsi="Sylfaen"/>
          <w:sz w:val="24"/>
          <w:szCs w:val="24"/>
        </w:rPr>
        <w:t>, 2018</w:t>
      </w:r>
    </w:p>
    <w:p w14:paraId="50F3AC5E" w14:textId="33717DFF" w:rsidR="005A10DD" w:rsidRPr="00034A4A" w:rsidRDefault="005A10DD" w:rsidP="008769F4">
      <w:pPr>
        <w:spacing w:after="120"/>
        <w:jc w:val="center"/>
        <w:rPr>
          <w:rFonts w:ascii="Sylfaen" w:hAnsi="Sylfaen"/>
          <w:color w:val="000000" w:themeColor="text1"/>
          <w:sz w:val="28"/>
        </w:rPr>
      </w:pPr>
    </w:p>
    <w:p w14:paraId="23FB64DF" w14:textId="7BFFF775" w:rsidR="00084C31" w:rsidRPr="00034A4A" w:rsidRDefault="00084C31" w:rsidP="008769F4">
      <w:pPr>
        <w:spacing w:after="120"/>
        <w:jc w:val="both"/>
        <w:rPr>
          <w:rFonts w:ascii="Sylfaen" w:hAnsi="Sylfaen"/>
          <w:color w:val="000000" w:themeColor="text1"/>
          <w:sz w:val="28"/>
        </w:rPr>
      </w:pPr>
    </w:p>
    <w:p w14:paraId="25C53B2B" w14:textId="75D19BC1" w:rsidR="00084C31" w:rsidRPr="00034A4A" w:rsidRDefault="00084C31" w:rsidP="008769F4">
      <w:pPr>
        <w:spacing w:after="120"/>
        <w:jc w:val="both"/>
        <w:rPr>
          <w:rFonts w:ascii="Sylfaen" w:hAnsi="Sylfaen"/>
          <w:color w:val="000000" w:themeColor="text1"/>
          <w:sz w:val="28"/>
        </w:rPr>
      </w:pPr>
    </w:p>
    <w:p w14:paraId="055125F7" w14:textId="46968D65" w:rsidR="00084C31" w:rsidRPr="00034A4A" w:rsidRDefault="00084C31" w:rsidP="008769F4">
      <w:pPr>
        <w:spacing w:after="120"/>
        <w:jc w:val="both"/>
        <w:rPr>
          <w:rFonts w:ascii="Sylfaen" w:hAnsi="Sylfaen"/>
          <w:color w:val="000000" w:themeColor="text1"/>
          <w:sz w:val="28"/>
        </w:rPr>
      </w:pPr>
    </w:p>
    <w:p w14:paraId="18BB3D07" w14:textId="77777777" w:rsidR="00084C31" w:rsidRPr="00034A4A" w:rsidRDefault="00084C31" w:rsidP="008769F4">
      <w:pPr>
        <w:spacing w:after="120"/>
        <w:jc w:val="both"/>
        <w:rPr>
          <w:rFonts w:ascii="Sylfaen" w:hAnsi="Sylfaen"/>
          <w:color w:val="000000" w:themeColor="text1"/>
          <w:sz w:val="28"/>
        </w:rPr>
      </w:pPr>
    </w:p>
    <w:p w14:paraId="39C0FCEF" w14:textId="77777777" w:rsidR="00BD1F48" w:rsidRPr="00034A4A" w:rsidRDefault="00084C31" w:rsidP="008769F4">
      <w:pPr>
        <w:spacing w:after="120"/>
        <w:jc w:val="both"/>
        <w:rPr>
          <w:rFonts w:ascii="Sylfaen" w:hAnsi="Sylfaen"/>
          <w:color w:val="000000" w:themeColor="text1"/>
        </w:rPr>
      </w:pPr>
      <w:r w:rsidRPr="00034A4A">
        <w:rPr>
          <w:rFonts w:ascii="Sylfaen" w:hAnsi="Sylfaen"/>
          <w:color w:val="000000" w:themeColor="text1"/>
        </w:rPr>
        <w:br w:type="page"/>
      </w:r>
    </w:p>
    <w:p w14:paraId="5E5A0451" w14:textId="14430C7E" w:rsidR="00084C31" w:rsidRPr="00034A4A" w:rsidRDefault="00084C31" w:rsidP="008769F4">
      <w:pPr>
        <w:spacing w:after="120"/>
        <w:jc w:val="both"/>
        <w:rPr>
          <w:rFonts w:ascii="Sylfaen" w:hAnsi="Sylfaen"/>
        </w:rPr>
      </w:pPr>
      <w:r w:rsidRPr="008769F4">
        <w:rPr>
          <w:rFonts w:ascii="Sylfaen" w:hAnsi="Sylfaen"/>
          <w:b/>
        </w:rPr>
        <w:lastRenderedPageBreak/>
        <w:t>Acknowledgments.</w:t>
      </w:r>
      <w:r w:rsidRPr="008769F4">
        <w:rPr>
          <w:rFonts w:ascii="Sylfaen" w:hAnsi="Sylfaen"/>
        </w:rPr>
        <w:t xml:space="preserve"> </w:t>
      </w:r>
      <w:r w:rsidR="003722BA" w:rsidRPr="008769F4">
        <w:rPr>
          <w:rFonts w:ascii="Sylfaen" w:hAnsi="Sylfaen"/>
        </w:rPr>
        <w:t>This note was prepared by</w:t>
      </w:r>
      <w:r w:rsidR="00BD1F48" w:rsidRPr="008769F4">
        <w:rPr>
          <w:rFonts w:ascii="Sylfaen" w:hAnsi="Sylfaen"/>
        </w:rPr>
        <w:t xml:space="preserve"> </w:t>
      </w:r>
      <w:r w:rsidRPr="008769F4">
        <w:rPr>
          <w:rFonts w:ascii="Sylfaen" w:hAnsi="Sylfaen"/>
        </w:rPr>
        <w:t xml:space="preserve">Luca Bandiera, Vandana Chandra (TTL), </w:t>
      </w:r>
      <w:r w:rsidR="00BD1F48" w:rsidRPr="008769F4">
        <w:rPr>
          <w:rFonts w:ascii="Sylfaen" w:hAnsi="Sylfaen"/>
        </w:rPr>
        <w:t xml:space="preserve">Jasmine Fosque, </w:t>
      </w:r>
      <w:r w:rsidRPr="008769F4">
        <w:rPr>
          <w:rFonts w:ascii="Sylfaen" w:hAnsi="Sylfaen"/>
        </w:rPr>
        <w:t>Jan von der Goltz (co-TTL), Teresa Maria Peterburs, Nadia Piffaretti, Joseph Saba, and Collette Wheeler.</w:t>
      </w:r>
      <w:r w:rsidR="00BD1F48" w:rsidRPr="008769F4">
        <w:rPr>
          <w:rFonts w:ascii="Sylfaen" w:hAnsi="Sylfaen"/>
        </w:rPr>
        <w:t xml:space="preserve"> Kevin Carey (Program Manager, MFI), Alvaro Gonzalez (Principal Economist, Jobs Group), and David Robalino (Manager, Jobs Group) s</w:t>
      </w:r>
      <w:r w:rsidR="00E85413" w:rsidRPr="008769F4">
        <w:rPr>
          <w:rFonts w:ascii="Sylfaen" w:hAnsi="Sylfaen"/>
        </w:rPr>
        <w:t>upervised its preparation</w:t>
      </w:r>
      <w:r w:rsidR="00BD1F48" w:rsidRPr="008769F4">
        <w:rPr>
          <w:rFonts w:ascii="Sylfaen" w:hAnsi="Sylfaen"/>
        </w:rPr>
        <w:t xml:space="preserve">. </w:t>
      </w:r>
      <w:bookmarkStart w:id="0" w:name="_Hlk516803567"/>
      <w:r w:rsidR="00413A71" w:rsidRPr="008769F4">
        <w:rPr>
          <w:rFonts w:ascii="Sylfaen" w:hAnsi="Sylfaen"/>
        </w:rPr>
        <w:t xml:space="preserve">Yara Salem (Country Manager, MNCIQ) and the Iraq Country Office </w:t>
      </w:r>
      <w:r w:rsidR="00E85413" w:rsidRPr="008769F4">
        <w:rPr>
          <w:rFonts w:ascii="Sylfaen" w:hAnsi="Sylfaen"/>
        </w:rPr>
        <w:t xml:space="preserve">provided </w:t>
      </w:r>
      <w:r w:rsidR="00413A71" w:rsidRPr="008769F4">
        <w:rPr>
          <w:rFonts w:ascii="Sylfaen" w:hAnsi="Sylfaen"/>
        </w:rPr>
        <w:t>guidance and facilitated consultations.</w:t>
      </w:r>
      <w:bookmarkEnd w:id="0"/>
      <w:r w:rsidR="00413A71" w:rsidRPr="008769F4">
        <w:rPr>
          <w:rFonts w:ascii="Sylfaen" w:hAnsi="Sylfaen"/>
        </w:rPr>
        <w:t xml:space="preserve"> </w:t>
      </w:r>
      <w:r w:rsidR="00846E64" w:rsidRPr="008769F4">
        <w:rPr>
          <w:rFonts w:ascii="Sylfaen" w:hAnsi="Sylfaen"/>
        </w:rPr>
        <w:t xml:space="preserve">The </w:t>
      </w:r>
      <w:r w:rsidR="0031446F" w:rsidRPr="008769F4">
        <w:rPr>
          <w:rFonts w:ascii="Sylfaen" w:hAnsi="Sylfaen"/>
        </w:rPr>
        <w:t>g</w:t>
      </w:r>
      <w:r w:rsidR="00846E64" w:rsidRPr="008769F4">
        <w:rPr>
          <w:rFonts w:ascii="Sylfaen" w:hAnsi="Sylfaen"/>
        </w:rPr>
        <w:t xml:space="preserve">overnment of Iraq gave feedback and directions in the course of a workshop in Baghdad </w:t>
      </w:r>
      <w:r w:rsidR="00C56EBC" w:rsidRPr="008769F4">
        <w:rPr>
          <w:rFonts w:ascii="Sylfaen" w:hAnsi="Sylfaen"/>
        </w:rPr>
        <w:t>17-18 December, 2017</w:t>
      </w:r>
      <w:r w:rsidR="007D742F" w:rsidRPr="008769F4">
        <w:rPr>
          <w:rFonts w:ascii="Sylfaen" w:hAnsi="Sylfaen"/>
        </w:rPr>
        <w:t>,</w:t>
      </w:r>
      <w:r w:rsidR="00C56EBC" w:rsidRPr="008769F4">
        <w:rPr>
          <w:rFonts w:ascii="Sylfaen" w:hAnsi="Sylfaen"/>
        </w:rPr>
        <w:t xml:space="preserve"> </w:t>
      </w:r>
      <w:r w:rsidR="00846E64" w:rsidRPr="008769F4">
        <w:rPr>
          <w:rFonts w:ascii="Sylfaen" w:hAnsi="Sylfaen"/>
        </w:rPr>
        <w:t xml:space="preserve">under the aegis of the </w:t>
      </w:r>
      <w:r w:rsidR="00846E64" w:rsidRPr="008769F4">
        <w:rPr>
          <w:rFonts w:ascii="Sylfaen" w:hAnsi="Sylfaen"/>
          <w:i/>
        </w:rPr>
        <w:t xml:space="preserve">Vision 2030 </w:t>
      </w:r>
      <w:r w:rsidR="00846E64" w:rsidRPr="008769F4">
        <w:rPr>
          <w:rFonts w:ascii="Sylfaen" w:hAnsi="Sylfaen"/>
        </w:rPr>
        <w:t xml:space="preserve">process led by Luca Bandiera. </w:t>
      </w:r>
      <w:r w:rsidR="0036017C" w:rsidRPr="008769F4">
        <w:rPr>
          <w:rFonts w:ascii="Sylfaen" w:hAnsi="Sylfaen"/>
        </w:rPr>
        <w:t xml:space="preserve">The team gratefully acknowledges helpful peer review comments received from Eric Le Borgne and John Speakman. </w:t>
      </w:r>
      <w:r w:rsidR="00BD1F48" w:rsidRPr="008769F4">
        <w:rPr>
          <w:rFonts w:ascii="Sylfaen" w:hAnsi="Sylfaen"/>
        </w:rPr>
        <w:t xml:space="preserve">The paper has benefited enormously from generous </w:t>
      </w:r>
      <w:r w:rsidRPr="008769F4">
        <w:rPr>
          <w:rFonts w:ascii="Sylfaen" w:hAnsi="Sylfaen"/>
        </w:rPr>
        <w:t>advice from</w:t>
      </w:r>
      <w:r w:rsidR="00BD1F48" w:rsidRPr="008769F4">
        <w:rPr>
          <w:rFonts w:ascii="Sylfaen" w:hAnsi="Sylfaen"/>
        </w:rPr>
        <w:t xml:space="preserve"> </w:t>
      </w:r>
      <w:r w:rsidR="00E86084" w:rsidRPr="008769F4">
        <w:rPr>
          <w:rFonts w:ascii="Sylfaen" w:hAnsi="Sylfaen"/>
        </w:rPr>
        <w:t xml:space="preserve">Leena Al Abbasy, Nazaneen Ali, </w:t>
      </w:r>
      <w:r w:rsidR="003722BA" w:rsidRPr="008769F4">
        <w:rPr>
          <w:rFonts w:ascii="Sylfaen" w:hAnsi="Sylfaen"/>
        </w:rPr>
        <w:t xml:space="preserve">Ghassan Alkhoja, </w:t>
      </w:r>
      <w:r w:rsidR="00C56EBC" w:rsidRPr="008769F4">
        <w:rPr>
          <w:rFonts w:ascii="Sylfaen" w:hAnsi="Sylfaen"/>
        </w:rPr>
        <w:t xml:space="preserve">Raja Arshad, </w:t>
      </w:r>
      <w:r w:rsidRPr="008769F4">
        <w:rPr>
          <w:rFonts w:ascii="Sylfaen" w:hAnsi="Sylfaen"/>
        </w:rPr>
        <w:t>Nabila Assaf</w:t>
      </w:r>
      <w:r w:rsidR="001C654E" w:rsidRPr="008769F4">
        <w:rPr>
          <w:rFonts w:ascii="Sylfaen" w:hAnsi="Sylfaen"/>
        </w:rPr>
        <w:t xml:space="preserve">, </w:t>
      </w:r>
      <w:r w:rsidR="009E60C3" w:rsidRPr="008769F4">
        <w:rPr>
          <w:rFonts w:ascii="Sylfaen" w:hAnsi="Sylfaen"/>
        </w:rPr>
        <w:t xml:space="preserve">Ibrahim Dajani, </w:t>
      </w:r>
      <w:r w:rsidR="005F314B" w:rsidRPr="008769F4">
        <w:rPr>
          <w:rFonts w:ascii="Sylfaen" w:hAnsi="Sylfaen"/>
        </w:rPr>
        <w:t xml:space="preserve">Abderrahim Fraiji, </w:t>
      </w:r>
      <w:r w:rsidR="00E86084" w:rsidRPr="008769F4">
        <w:rPr>
          <w:rFonts w:ascii="Sylfaen" w:hAnsi="Sylfaen"/>
        </w:rPr>
        <w:t xml:space="preserve">Mekbib Haile, </w:t>
      </w:r>
      <w:r w:rsidR="00C56EBC" w:rsidRPr="008769F4">
        <w:rPr>
          <w:rFonts w:ascii="Sylfaen" w:hAnsi="Sylfaen"/>
        </w:rPr>
        <w:t xml:space="preserve">Syed Hassan, </w:t>
      </w:r>
      <w:r w:rsidR="00A657E9" w:rsidRPr="008769F4">
        <w:rPr>
          <w:rFonts w:ascii="Sylfaen" w:hAnsi="Sylfaen"/>
        </w:rPr>
        <w:t xml:space="preserve">Pierre Joseph Kumano, </w:t>
      </w:r>
      <w:r w:rsidR="00C56EBC" w:rsidRPr="008769F4">
        <w:rPr>
          <w:rFonts w:ascii="Sylfaen" w:hAnsi="Sylfaen"/>
        </w:rPr>
        <w:t xml:space="preserve">Alan Moody, </w:t>
      </w:r>
      <w:r w:rsidR="003722BA" w:rsidRPr="008769F4">
        <w:rPr>
          <w:rFonts w:ascii="Sylfaen" w:hAnsi="Sylfaen"/>
        </w:rPr>
        <w:t xml:space="preserve">Peter Mousley, </w:t>
      </w:r>
      <w:r w:rsidR="00C56EBC" w:rsidRPr="008769F4">
        <w:rPr>
          <w:rFonts w:ascii="Sylfaen" w:hAnsi="Sylfaen"/>
        </w:rPr>
        <w:t xml:space="preserve">Timothy Robertson, </w:t>
      </w:r>
      <w:r w:rsidR="001C654E" w:rsidRPr="008769F4">
        <w:rPr>
          <w:rFonts w:ascii="Sylfaen" w:hAnsi="Sylfaen"/>
        </w:rPr>
        <w:t>Kinley</w:t>
      </w:r>
      <w:r w:rsidR="00BD1F48" w:rsidRPr="008769F4">
        <w:rPr>
          <w:rFonts w:ascii="Sylfaen" w:hAnsi="Sylfaen"/>
        </w:rPr>
        <w:t xml:space="preserve"> Salmon, </w:t>
      </w:r>
      <w:r w:rsidR="003722BA" w:rsidRPr="008769F4">
        <w:rPr>
          <w:rFonts w:ascii="Sylfaen" w:hAnsi="Sylfaen"/>
        </w:rPr>
        <w:t xml:space="preserve">Haneen Sayed, </w:t>
      </w:r>
      <w:r w:rsidR="00E86084" w:rsidRPr="008769F4">
        <w:rPr>
          <w:rFonts w:ascii="Sylfaen" w:hAnsi="Sylfaen"/>
        </w:rPr>
        <w:t xml:space="preserve">Bekzod Shamsiev, </w:t>
      </w:r>
      <w:r w:rsidR="00C56EBC" w:rsidRPr="008769F4">
        <w:rPr>
          <w:rFonts w:ascii="Sylfaen" w:hAnsi="Sylfaen"/>
        </w:rPr>
        <w:t xml:space="preserve">and </w:t>
      </w:r>
      <w:r w:rsidR="00BD1F48" w:rsidRPr="008769F4">
        <w:rPr>
          <w:rFonts w:ascii="Sylfaen" w:hAnsi="Sylfaen"/>
        </w:rPr>
        <w:t>Dorte Verner.</w:t>
      </w:r>
      <w:r w:rsidR="00846E64" w:rsidRPr="008769F4">
        <w:rPr>
          <w:rFonts w:ascii="Sylfaen" w:hAnsi="Sylfaen"/>
        </w:rPr>
        <w:t xml:space="preserve"> The team </w:t>
      </w:r>
      <w:r w:rsidR="00C56EBC" w:rsidRPr="008769F4">
        <w:rPr>
          <w:rFonts w:ascii="Sylfaen" w:hAnsi="Sylfaen"/>
        </w:rPr>
        <w:t xml:space="preserve">also </w:t>
      </w:r>
      <w:r w:rsidR="00846E64" w:rsidRPr="008769F4">
        <w:rPr>
          <w:rFonts w:ascii="Sylfaen" w:hAnsi="Sylfaen"/>
        </w:rPr>
        <w:t xml:space="preserve">appreciates feedback from participants </w:t>
      </w:r>
      <w:r w:rsidR="0031446F" w:rsidRPr="008769F4">
        <w:rPr>
          <w:rFonts w:ascii="Sylfaen" w:hAnsi="Sylfaen"/>
        </w:rPr>
        <w:t xml:space="preserve">in a June </w:t>
      </w:r>
      <w:r w:rsidR="00C56EBC" w:rsidRPr="008769F4">
        <w:rPr>
          <w:rFonts w:ascii="Sylfaen" w:hAnsi="Sylfaen"/>
        </w:rPr>
        <w:t xml:space="preserve">2017 Bank-wide workshop on the </w:t>
      </w:r>
      <w:r w:rsidR="00C56EBC" w:rsidRPr="008769F4">
        <w:rPr>
          <w:rFonts w:ascii="Sylfaen" w:hAnsi="Sylfaen"/>
          <w:i/>
        </w:rPr>
        <w:t>Vision 2030</w:t>
      </w:r>
      <w:r w:rsidR="00C56EBC" w:rsidRPr="008769F4">
        <w:rPr>
          <w:rFonts w:ascii="Sylfaen" w:hAnsi="Sylfaen"/>
        </w:rPr>
        <w:t>.</w:t>
      </w:r>
    </w:p>
    <w:p w14:paraId="7C31A973" w14:textId="77777777" w:rsidR="00E86084" w:rsidRPr="00034A4A" w:rsidRDefault="00E86084" w:rsidP="008769F4">
      <w:pPr>
        <w:spacing w:after="120"/>
        <w:jc w:val="both"/>
        <w:rPr>
          <w:rFonts w:ascii="Sylfaen" w:hAnsi="Sylfaen"/>
        </w:rPr>
      </w:pPr>
    </w:p>
    <w:p w14:paraId="223822E9" w14:textId="622986B9" w:rsidR="00846E64" w:rsidRPr="00034A4A" w:rsidRDefault="00D2048F" w:rsidP="008769F4">
      <w:pPr>
        <w:spacing w:after="120"/>
        <w:jc w:val="both"/>
        <w:rPr>
          <w:rFonts w:ascii="Sylfaen" w:hAnsi="Sylfaen"/>
        </w:rPr>
      </w:pPr>
      <w:r w:rsidRPr="00034A4A">
        <w:rPr>
          <w:rFonts w:ascii="Sylfaen" w:hAnsi="Sylfaen"/>
        </w:rPr>
        <w:t xml:space="preserve">This report has been made possible </w:t>
      </w:r>
      <w:r w:rsidR="003722BA" w:rsidRPr="00034A4A">
        <w:rPr>
          <w:rFonts w:ascii="Sylfaen" w:hAnsi="Sylfaen"/>
        </w:rPr>
        <w:t xml:space="preserve">in part </w:t>
      </w:r>
      <w:r w:rsidRPr="00034A4A">
        <w:rPr>
          <w:rFonts w:ascii="Sylfaen" w:hAnsi="Sylfaen"/>
        </w:rPr>
        <w:t>through a grant from the World Bank’s Jobs Umbrella Trust Fund, which is supported by the Department for Internation</w:t>
      </w:r>
      <w:r w:rsidR="0031446F">
        <w:rPr>
          <w:rFonts w:ascii="Sylfaen" w:hAnsi="Sylfaen"/>
        </w:rPr>
        <w:t>al Development/UK AID, and the g</w:t>
      </w:r>
      <w:r w:rsidRPr="00034A4A">
        <w:rPr>
          <w:rFonts w:ascii="Sylfaen" w:hAnsi="Sylfaen"/>
        </w:rPr>
        <w:t xml:space="preserve">overnments of Norway, Germany, Austria, the Austrian Development Agency, and Swedish </w:t>
      </w:r>
      <w:r w:rsidR="0031446F">
        <w:rPr>
          <w:rFonts w:ascii="Sylfaen" w:hAnsi="Sylfaen"/>
        </w:rPr>
        <w:t xml:space="preserve">International </w:t>
      </w:r>
      <w:r w:rsidRPr="00034A4A">
        <w:rPr>
          <w:rFonts w:ascii="Sylfaen" w:hAnsi="Sylfaen"/>
        </w:rPr>
        <w:t xml:space="preserve">Development </w:t>
      </w:r>
      <w:r w:rsidR="0031446F">
        <w:rPr>
          <w:rFonts w:ascii="Sylfaen" w:hAnsi="Sylfaen"/>
        </w:rPr>
        <w:t xml:space="preserve">Cooperation </w:t>
      </w:r>
      <w:r w:rsidRPr="00034A4A">
        <w:rPr>
          <w:rFonts w:ascii="Sylfaen" w:hAnsi="Sylfaen"/>
        </w:rPr>
        <w:t>Agency S</w:t>
      </w:r>
      <w:r w:rsidR="00E85413">
        <w:rPr>
          <w:rFonts w:ascii="Sylfaen" w:hAnsi="Sylfaen"/>
        </w:rPr>
        <w:t>ida</w:t>
      </w:r>
      <w:r w:rsidRPr="00034A4A">
        <w:rPr>
          <w:rFonts w:ascii="Sylfaen" w:hAnsi="Sylfaen"/>
        </w:rPr>
        <w:t>.</w:t>
      </w:r>
    </w:p>
    <w:p w14:paraId="41AA78F0" w14:textId="77777777" w:rsidR="00FA7075" w:rsidRPr="00034A4A" w:rsidRDefault="00FA7075" w:rsidP="008769F4">
      <w:pPr>
        <w:spacing w:after="120"/>
        <w:jc w:val="both"/>
        <w:rPr>
          <w:rFonts w:ascii="Sylfaen" w:hAnsi="Sylfaen"/>
        </w:rPr>
        <w:sectPr w:rsidR="00FA7075" w:rsidRPr="00034A4A" w:rsidSect="00321288">
          <w:pgSz w:w="12240" w:h="15840"/>
          <w:pgMar w:top="1440" w:right="1440" w:bottom="1440" w:left="1440" w:header="720" w:footer="720" w:gutter="0"/>
          <w:cols w:space="720"/>
          <w:titlePg/>
          <w:docGrid w:linePitch="360"/>
        </w:sectPr>
      </w:pPr>
    </w:p>
    <w:p w14:paraId="58FA4AFA" w14:textId="69CCE496" w:rsidR="00084C31" w:rsidRPr="00034A4A" w:rsidRDefault="00084C31" w:rsidP="008769F4">
      <w:pPr>
        <w:autoSpaceDE w:val="0"/>
        <w:autoSpaceDN w:val="0"/>
        <w:adjustRightInd w:val="0"/>
        <w:spacing w:after="120"/>
        <w:jc w:val="both"/>
        <w:rPr>
          <w:rFonts w:ascii="Sylfaen" w:hAnsi="Sylfaen" w:cs="Times New Roman"/>
          <w:b/>
          <w:color w:val="0070C0"/>
          <w:sz w:val="28"/>
          <w:szCs w:val="28"/>
        </w:rPr>
      </w:pPr>
      <w:r w:rsidRPr="00034A4A">
        <w:rPr>
          <w:rFonts w:ascii="Sylfaen" w:hAnsi="Sylfaen" w:cs="Times New Roman"/>
          <w:b/>
          <w:color w:val="0070C0"/>
          <w:sz w:val="28"/>
          <w:szCs w:val="28"/>
        </w:rPr>
        <w:t>Summary</w:t>
      </w:r>
    </w:p>
    <w:p w14:paraId="3085908E" w14:textId="5E28A21C" w:rsidR="004B0A28" w:rsidRPr="00034A4A" w:rsidRDefault="009D5BE9" w:rsidP="008769F4">
      <w:pPr>
        <w:spacing w:after="120"/>
        <w:jc w:val="both"/>
        <w:rPr>
          <w:rFonts w:ascii="Sylfaen" w:hAnsi="Sylfaen"/>
        </w:rPr>
      </w:pPr>
      <w:bookmarkStart w:id="1" w:name="_Hlk509558354"/>
      <w:r w:rsidRPr="00034A4A">
        <w:rPr>
          <w:rFonts w:ascii="Sylfaen" w:hAnsi="Sylfaen"/>
          <w:b/>
        </w:rPr>
        <w:t>Iraq needs a strategy to make rapid progress in tackling it</w:t>
      </w:r>
      <w:r w:rsidR="007D742F" w:rsidRPr="00034A4A">
        <w:rPr>
          <w:rFonts w:ascii="Sylfaen" w:hAnsi="Sylfaen"/>
          <w:b/>
        </w:rPr>
        <w:t>s profound</w:t>
      </w:r>
      <w:r w:rsidRPr="00034A4A">
        <w:rPr>
          <w:rFonts w:ascii="Sylfaen" w:hAnsi="Sylfaen"/>
          <w:b/>
        </w:rPr>
        <w:t xml:space="preserve"> jobs challenges.</w:t>
      </w:r>
      <w:r w:rsidRPr="00034A4A">
        <w:rPr>
          <w:rFonts w:ascii="Sylfaen" w:hAnsi="Sylfaen"/>
        </w:rPr>
        <w:t xml:space="preserve"> </w:t>
      </w:r>
      <w:r w:rsidR="005A10DD" w:rsidRPr="00034A4A">
        <w:rPr>
          <w:rFonts w:ascii="Sylfaen" w:hAnsi="Sylfaen"/>
        </w:rPr>
        <w:t>Iraq is facing a jobs crisis of unprecedented proportions</w:t>
      </w:r>
      <w:r w:rsidR="00084C31" w:rsidRPr="00034A4A">
        <w:rPr>
          <w:rFonts w:ascii="Sylfaen" w:hAnsi="Sylfaen"/>
        </w:rPr>
        <w:t>.</w:t>
      </w:r>
      <w:r w:rsidR="005A10DD" w:rsidRPr="00034A4A">
        <w:rPr>
          <w:rFonts w:ascii="Sylfaen" w:hAnsi="Sylfaen"/>
        </w:rPr>
        <w:t xml:space="preserve"> </w:t>
      </w:r>
      <w:r w:rsidR="00084C31" w:rsidRPr="00034A4A">
        <w:rPr>
          <w:rFonts w:ascii="Sylfaen" w:hAnsi="Sylfaen"/>
        </w:rPr>
        <w:t xml:space="preserve">It </w:t>
      </w:r>
      <w:r w:rsidR="005A10DD" w:rsidRPr="00034A4A">
        <w:rPr>
          <w:rFonts w:ascii="Sylfaen" w:hAnsi="Sylfaen"/>
        </w:rPr>
        <w:t xml:space="preserve">could foment a resurgence in violence unless the </w:t>
      </w:r>
      <w:r w:rsidR="00084C31" w:rsidRPr="00034A4A">
        <w:rPr>
          <w:rFonts w:ascii="Sylfaen" w:hAnsi="Sylfaen"/>
        </w:rPr>
        <w:t xml:space="preserve">Government of Iraq </w:t>
      </w:r>
      <w:r w:rsidR="005A10DD" w:rsidRPr="00034A4A">
        <w:rPr>
          <w:rFonts w:ascii="Sylfaen" w:hAnsi="Sylfaen"/>
        </w:rPr>
        <w:t xml:space="preserve">makes credible and </w:t>
      </w:r>
      <w:r w:rsidR="0031446F">
        <w:rPr>
          <w:rFonts w:ascii="Sylfaen" w:hAnsi="Sylfaen"/>
        </w:rPr>
        <w:t xml:space="preserve">swift </w:t>
      </w:r>
      <w:r w:rsidR="00A93CBF" w:rsidRPr="00034A4A">
        <w:rPr>
          <w:rFonts w:ascii="Sylfaen" w:hAnsi="Sylfaen"/>
        </w:rPr>
        <w:t>progress in j</w:t>
      </w:r>
      <w:r w:rsidR="005A10DD" w:rsidRPr="00034A4A">
        <w:rPr>
          <w:rFonts w:ascii="Sylfaen" w:hAnsi="Sylfaen"/>
        </w:rPr>
        <w:t xml:space="preserve">ob creation and reconstruction. </w:t>
      </w:r>
      <w:r w:rsidR="00976938" w:rsidRPr="00034A4A">
        <w:rPr>
          <w:rFonts w:ascii="Sylfaen" w:hAnsi="Sylfaen"/>
        </w:rPr>
        <w:t>To shape a longer-term vision, Iraq can look beyond its recent history of conflict, and to its past as a diversified economy and home of an educated workforce. However, i</w:t>
      </w:r>
      <w:r w:rsidR="005A10DD" w:rsidRPr="00034A4A">
        <w:rPr>
          <w:rFonts w:ascii="Sylfaen" w:hAnsi="Sylfaen"/>
        </w:rPr>
        <w:t xml:space="preserve">n the short-term, neither private nor public sector hiring can create jobs at the desired scale without significant new policy action. The first-best solution for large-scale private sector job creation hinges on structural reforms that </w:t>
      </w:r>
      <w:r w:rsidR="00A50EBC" w:rsidRPr="00034A4A">
        <w:rPr>
          <w:rFonts w:ascii="Sylfaen" w:hAnsi="Sylfaen"/>
        </w:rPr>
        <w:t>must begin</w:t>
      </w:r>
      <w:r w:rsidR="00982E8E" w:rsidRPr="00034A4A">
        <w:rPr>
          <w:rFonts w:ascii="Sylfaen" w:hAnsi="Sylfaen"/>
        </w:rPr>
        <w:t xml:space="preserve"> now</w:t>
      </w:r>
      <w:r w:rsidR="00A50EBC" w:rsidRPr="00034A4A">
        <w:rPr>
          <w:rFonts w:ascii="Sylfaen" w:hAnsi="Sylfaen"/>
        </w:rPr>
        <w:t xml:space="preserve">, but </w:t>
      </w:r>
      <w:r w:rsidR="005A10DD" w:rsidRPr="00034A4A">
        <w:rPr>
          <w:rFonts w:ascii="Sylfaen" w:hAnsi="Sylfaen"/>
        </w:rPr>
        <w:t xml:space="preserve">are achievable only in the medium to longer term. This paper </w:t>
      </w:r>
      <w:r w:rsidR="00982E8E" w:rsidRPr="00034A4A">
        <w:rPr>
          <w:rFonts w:ascii="Sylfaen" w:hAnsi="Sylfaen"/>
        </w:rPr>
        <w:t xml:space="preserve">provides a primer on </w:t>
      </w:r>
      <w:r w:rsidR="0008769C" w:rsidRPr="00034A4A">
        <w:rPr>
          <w:rFonts w:ascii="Sylfaen" w:hAnsi="Sylfaen"/>
        </w:rPr>
        <w:t xml:space="preserve">options </w:t>
      </w:r>
      <w:r w:rsidR="00D76EE9" w:rsidRPr="00034A4A">
        <w:rPr>
          <w:rFonts w:ascii="Sylfaen" w:hAnsi="Sylfaen"/>
        </w:rPr>
        <w:t xml:space="preserve">to deliver large-scale job creation in the short term, </w:t>
      </w:r>
      <w:r w:rsidR="005A10DD" w:rsidRPr="00034A4A">
        <w:rPr>
          <w:rFonts w:ascii="Sylfaen" w:hAnsi="Sylfaen"/>
        </w:rPr>
        <w:t xml:space="preserve">based on investments in construction, agriculture and agribusiness, </w:t>
      </w:r>
      <w:r w:rsidR="0031446F">
        <w:rPr>
          <w:rFonts w:ascii="Sylfaen" w:hAnsi="Sylfaen"/>
        </w:rPr>
        <w:t>small and medium enterprises</w:t>
      </w:r>
      <w:r w:rsidR="00084C31" w:rsidRPr="00034A4A">
        <w:rPr>
          <w:rFonts w:ascii="Sylfaen" w:hAnsi="Sylfaen"/>
        </w:rPr>
        <w:t>,</w:t>
      </w:r>
      <w:r w:rsidR="005A10DD" w:rsidRPr="00034A4A">
        <w:rPr>
          <w:rFonts w:ascii="Sylfaen" w:hAnsi="Sylfaen"/>
        </w:rPr>
        <w:t xml:space="preserve"> and vocational skills. </w:t>
      </w:r>
      <w:r w:rsidR="00982E8E" w:rsidRPr="00034A4A">
        <w:rPr>
          <w:rFonts w:ascii="Sylfaen" w:hAnsi="Sylfaen"/>
        </w:rPr>
        <w:t xml:space="preserve">Its aim is to outline </w:t>
      </w:r>
      <w:r w:rsidR="00A93CBF" w:rsidRPr="00034A4A">
        <w:rPr>
          <w:rFonts w:ascii="Sylfaen" w:hAnsi="Sylfaen"/>
        </w:rPr>
        <w:t xml:space="preserve">workable </w:t>
      </w:r>
      <w:r w:rsidR="00FA7075" w:rsidRPr="00034A4A">
        <w:rPr>
          <w:rFonts w:ascii="Sylfaen" w:hAnsi="Sylfaen"/>
        </w:rPr>
        <w:t xml:space="preserve">steps for progress in </w:t>
      </w:r>
      <w:r w:rsidR="00A93CBF" w:rsidRPr="00034A4A">
        <w:rPr>
          <w:rFonts w:ascii="Sylfaen" w:hAnsi="Sylfaen"/>
        </w:rPr>
        <w:t xml:space="preserve">a jobs crisis in a post-conflict situation. </w:t>
      </w:r>
      <w:r w:rsidR="00C80349" w:rsidRPr="00034A4A">
        <w:rPr>
          <w:rFonts w:ascii="Sylfaen" w:hAnsi="Sylfaen"/>
        </w:rPr>
        <w:t>B</w:t>
      </w:r>
      <w:r w:rsidR="005A10DD" w:rsidRPr="00034A4A">
        <w:rPr>
          <w:rFonts w:ascii="Sylfaen" w:hAnsi="Sylfaen"/>
        </w:rPr>
        <w:t xml:space="preserve">ecause </w:t>
      </w:r>
      <w:r w:rsidR="0031446F">
        <w:rPr>
          <w:rFonts w:ascii="Sylfaen" w:hAnsi="Sylfaen"/>
        </w:rPr>
        <w:t>these steps focus</w:t>
      </w:r>
      <w:r w:rsidR="005A10DD" w:rsidRPr="00034A4A">
        <w:rPr>
          <w:rFonts w:ascii="Sylfaen" w:hAnsi="Sylfaen"/>
        </w:rPr>
        <w:t xml:space="preserve"> on rapid impact at scale, rather than structural reform, </w:t>
      </w:r>
      <w:r w:rsidR="0031446F">
        <w:rPr>
          <w:rFonts w:ascii="Sylfaen" w:hAnsi="Sylfaen"/>
        </w:rPr>
        <w:t xml:space="preserve">they are </w:t>
      </w:r>
      <w:r w:rsidR="004B0A28" w:rsidRPr="00034A4A">
        <w:rPr>
          <w:rFonts w:ascii="Sylfaen" w:hAnsi="Sylfaen"/>
        </w:rPr>
        <w:t xml:space="preserve">less-than-ideal or second-best. </w:t>
      </w:r>
      <w:r w:rsidR="00FA7075" w:rsidRPr="00034A4A">
        <w:rPr>
          <w:rFonts w:ascii="Sylfaen" w:hAnsi="Sylfaen"/>
        </w:rPr>
        <w:t xml:space="preserve">A similar logic applies to financing options. </w:t>
      </w:r>
      <w:r w:rsidR="004B0A28" w:rsidRPr="00034A4A">
        <w:rPr>
          <w:rFonts w:ascii="Sylfaen" w:hAnsi="Sylfaen"/>
        </w:rPr>
        <w:t>Financing needs for jobs are large</w:t>
      </w:r>
      <w:r w:rsidR="00FA7075" w:rsidRPr="00034A4A">
        <w:rPr>
          <w:rFonts w:ascii="Sylfaen" w:hAnsi="Sylfaen"/>
        </w:rPr>
        <w:t xml:space="preserve">, and while business climate reforms are </w:t>
      </w:r>
      <w:r w:rsidR="00DD175D" w:rsidRPr="00034A4A">
        <w:rPr>
          <w:rFonts w:ascii="Sylfaen" w:hAnsi="Sylfaen"/>
        </w:rPr>
        <w:t>under way</w:t>
      </w:r>
      <w:r w:rsidR="00FA7075" w:rsidRPr="00034A4A">
        <w:rPr>
          <w:rFonts w:ascii="Sylfaen" w:hAnsi="Sylfaen"/>
        </w:rPr>
        <w:t>, first-best private investment in jobs will remain limited</w:t>
      </w:r>
      <w:r w:rsidR="004B0A28" w:rsidRPr="00034A4A">
        <w:rPr>
          <w:rFonts w:ascii="Sylfaen" w:hAnsi="Sylfaen"/>
        </w:rPr>
        <w:t xml:space="preserve">. </w:t>
      </w:r>
      <w:r w:rsidR="00E9786D" w:rsidRPr="00034A4A">
        <w:rPr>
          <w:rFonts w:ascii="Sylfaen" w:hAnsi="Sylfaen"/>
        </w:rPr>
        <w:t>Yet, t</w:t>
      </w:r>
      <w:r w:rsidR="004B0A28" w:rsidRPr="00034A4A">
        <w:rPr>
          <w:rFonts w:ascii="Sylfaen" w:hAnsi="Sylfaen"/>
        </w:rPr>
        <w:t>he recent oil price hike offers the Government of Iraq a uniquely timely opportunity to make an investment in jobs that makes a real difference.</w:t>
      </w:r>
    </w:p>
    <w:p w14:paraId="58DD1BF9" w14:textId="5E0D2A16" w:rsidR="005A10DD" w:rsidRPr="00034A4A" w:rsidRDefault="00C56EBC" w:rsidP="008769F4">
      <w:pPr>
        <w:spacing w:after="120"/>
        <w:jc w:val="both"/>
        <w:rPr>
          <w:rFonts w:ascii="Sylfaen" w:hAnsi="Sylfaen"/>
        </w:rPr>
      </w:pPr>
      <w:r w:rsidRPr="00034A4A">
        <w:rPr>
          <w:rFonts w:ascii="Sylfaen" w:hAnsi="Sylfaen"/>
          <w:b/>
        </w:rPr>
        <w:t xml:space="preserve">This </w:t>
      </w:r>
      <w:r w:rsidR="0031446F">
        <w:rPr>
          <w:rFonts w:ascii="Sylfaen" w:hAnsi="Sylfaen"/>
          <w:b/>
        </w:rPr>
        <w:t xml:space="preserve">paper </w:t>
      </w:r>
      <w:r w:rsidRPr="00034A4A">
        <w:rPr>
          <w:rFonts w:ascii="Sylfaen" w:hAnsi="Sylfaen"/>
          <w:b/>
        </w:rPr>
        <w:t xml:space="preserve">aims to set the stage for dialogue on </w:t>
      </w:r>
      <w:r w:rsidR="0008769C" w:rsidRPr="00034A4A">
        <w:rPr>
          <w:rFonts w:ascii="Sylfaen" w:hAnsi="Sylfaen"/>
          <w:b/>
        </w:rPr>
        <w:t>job</w:t>
      </w:r>
      <w:r w:rsidR="007D742F" w:rsidRPr="00034A4A">
        <w:rPr>
          <w:rFonts w:ascii="Sylfaen" w:hAnsi="Sylfaen"/>
          <w:b/>
        </w:rPr>
        <w:t xml:space="preserve"> </w:t>
      </w:r>
      <w:r w:rsidR="0031446F">
        <w:rPr>
          <w:rFonts w:ascii="Sylfaen" w:hAnsi="Sylfaen"/>
          <w:b/>
        </w:rPr>
        <w:t>creation in the short-term</w:t>
      </w:r>
      <w:r w:rsidRPr="00034A4A">
        <w:rPr>
          <w:rFonts w:ascii="Sylfaen" w:hAnsi="Sylfaen"/>
          <w:b/>
        </w:rPr>
        <w:t xml:space="preserve">. </w:t>
      </w:r>
      <w:r w:rsidR="009E60C3" w:rsidRPr="00034A4A">
        <w:rPr>
          <w:rFonts w:ascii="Sylfaen" w:hAnsi="Sylfaen"/>
        </w:rPr>
        <w:t xml:space="preserve">The </w:t>
      </w:r>
      <w:r w:rsidR="00D05EFC" w:rsidRPr="00034A4A">
        <w:rPr>
          <w:rFonts w:ascii="Sylfaen" w:hAnsi="Sylfaen"/>
        </w:rPr>
        <w:t xml:space="preserve">evidence base </w:t>
      </w:r>
      <w:r w:rsidR="009E60C3" w:rsidRPr="00034A4A">
        <w:rPr>
          <w:rFonts w:ascii="Sylfaen" w:hAnsi="Sylfaen"/>
        </w:rPr>
        <w:t xml:space="preserve">on jobs in Iraq </w:t>
      </w:r>
      <w:r w:rsidRPr="00034A4A">
        <w:rPr>
          <w:rFonts w:ascii="Sylfaen" w:hAnsi="Sylfaen"/>
        </w:rPr>
        <w:t xml:space="preserve">remains </w:t>
      </w:r>
      <w:r w:rsidR="007D742F" w:rsidRPr="00034A4A">
        <w:rPr>
          <w:rFonts w:ascii="Sylfaen" w:hAnsi="Sylfaen"/>
        </w:rPr>
        <w:t xml:space="preserve">thin. </w:t>
      </w:r>
      <w:r w:rsidR="009D5BE9" w:rsidRPr="00034A4A">
        <w:rPr>
          <w:rFonts w:ascii="Sylfaen" w:hAnsi="Sylfaen"/>
        </w:rPr>
        <w:t xml:space="preserve">This paper aims </w:t>
      </w:r>
      <w:r w:rsidR="00982E8E" w:rsidRPr="00034A4A">
        <w:rPr>
          <w:rFonts w:ascii="Sylfaen" w:hAnsi="Sylfaen"/>
        </w:rPr>
        <w:t xml:space="preserve">to set the stage for dialogue on </w:t>
      </w:r>
      <w:r w:rsidR="009D5BE9" w:rsidRPr="00034A4A">
        <w:rPr>
          <w:rFonts w:ascii="Sylfaen" w:hAnsi="Sylfaen"/>
        </w:rPr>
        <w:t>jobs issues, d</w:t>
      </w:r>
      <w:r w:rsidRPr="00034A4A">
        <w:rPr>
          <w:rFonts w:ascii="Sylfaen" w:hAnsi="Sylfaen"/>
        </w:rPr>
        <w:t>raw</w:t>
      </w:r>
      <w:r w:rsidR="009D5BE9" w:rsidRPr="00034A4A">
        <w:rPr>
          <w:rFonts w:ascii="Sylfaen" w:hAnsi="Sylfaen"/>
        </w:rPr>
        <w:t>ing</w:t>
      </w:r>
      <w:r w:rsidRPr="00034A4A">
        <w:rPr>
          <w:rFonts w:ascii="Sylfaen" w:hAnsi="Sylfaen"/>
        </w:rPr>
        <w:t xml:space="preserve"> upon </w:t>
      </w:r>
      <w:r w:rsidR="009D5BE9" w:rsidRPr="00034A4A">
        <w:rPr>
          <w:rFonts w:ascii="Sylfaen" w:hAnsi="Sylfaen"/>
        </w:rPr>
        <w:t xml:space="preserve">expert interviews in addition to </w:t>
      </w:r>
      <w:r w:rsidRPr="00034A4A">
        <w:rPr>
          <w:rFonts w:ascii="Sylfaen" w:hAnsi="Sylfaen"/>
        </w:rPr>
        <w:t xml:space="preserve">various </w:t>
      </w:r>
      <w:r w:rsidR="009D5BE9" w:rsidRPr="00034A4A">
        <w:rPr>
          <w:rFonts w:ascii="Sylfaen" w:hAnsi="Sylfaen"/>
        </w:rPr>
        <w:t xml:space="preserve">primary </w:t>
      </w:r>
      <w:r w:rsidRPr="00034A4A">
        <w:rPr>
          <w:rFonts w:ascii="Sylfaen" w:hAnsi="Sylfaen"/>
        </w:rPr>
        <w:t>data sources</w:t>
      </w:r>
      <w:r w:rsidR="009D5BE9" w:rsidRPr="00034A4A">
        <w:rPr>
          <w:rFonts w:ascii="Sylfaen" w:hAnsi="Sylfaen"/>
        </w:rPr>
        <w:t>,</w:t>
      </w:r>
      <w:r w:rsidRPr="00034A4A">
        <w:rPr>
          <w:rFonts w:ascii="Sylfaen" w:hAnsi="Sylfaen"/>
        </w:rPr>
        <w:t xml:space="preserve"> </w:t>
      </w:r>
      <w:r w:rsidR="009D5BE9" w:rsidRPr="00034A4A">
        <w:rPr>
          <w:rFonts w:ascii="Sylfaen" w:hAnsi="Sylfaen"/>
        </w:rPr>
        <w:t xml:space="preserve">policy reports, and the background papers prepared for Iraq’s </w:t>
      </w:r>
      <w:r w:rsidR="009D5BE9" w:rsidRPr="00034A4A">
        <w:rPr>
          <w:rFonts w:ascii="Sylfaen" w:hAnsi="Sylfaen"/>
          <w:i/>
        </w:rPr>
        <w:t>Vision 2030</w:t>
      </w:r>
      <w:r w:rsidR="009D5BE9" w:rsidRPr="00034A4A">
        <w:rPr>
          <w:rFonts w:ascii="Sylfaen" w:hAnsi="Sylfaen"/>
        </w:rPr>
        <w:t xml:space="preserve">. It </w:t>
      </w:r>
      <w:r w:rsidR="009E60C3" w:rsidRPr="00034A4A">
        <w:rPr>
          <w:rFonts w:ascii="Sylfaen" w:hAnsi="Sylfaen"/>
        </w:rPr>
        <w:t xml:space="preserve">flags some </w:t>
      </w:r>
      <w:r w:rsidR="009D5BE9" w:rsidRPr="00034A4A">
        <w:rPr>
          <w:rFonts w:ascii="Sylfaen" w:hAnsi="Sylfaen"/>
        </w:rPr>
        <w:t xml:space="preserve">analytical </w:t>
      </w:r>
      <w:r w:rsidR="009E60C3" w:rsidRPr="00034A4A">
        <w:rPr>
          <w:rFonts w:ascii="Sylfaen" w:hAnsi="Sylfaen"/>
        </w:rPr>
        <w:t>questions that urgently need answering. T</w:t>
      </w:r>
      <w:r w:rsidR="00D05EFC" w:rsidRPr="00034A4A">
        <w:rPr>
          <w:rFonts w:ascii="Sylfaen" w:hAnsi="Sylfaen"/>
        </w:rPr>
        <w:t xml:space="preserve">he conclusions presented here will no doubt need to be revisited. </w:t>
      </w:r>
      <w:r w:rsidR="005A10DD" w:rsidRPr="00034A4A">
        <w:rPr>
          <w:rFonts w:ascii="Sylfaen" w:hAnsi="Sylfaen"/>
        </w:rPr>
        <w:t>The diagnostics, concepts</w:t>
      </w:r>
      <w:r w:rsidR="003722BA" w:rsidRPr="00034A4A">
        <w:rPr>
          <w:rFonts w:ascii="Sylfaen" w:hAnsi="Sylfaen"/>
        </w:rPr>
        <w:t>,</w:t>
      </w:r>
      <w:r w:rsidR="005A10DD" w:rsidRPr="00034A4A">
        <w:rPr>
          <w:rFonts w:ascii="Sylfaen" w:hAnsi="Sylfaen"/>
        </w:rPr>
        <w:t xml:space="preserve"> and financing model were presented </w:t>
      </w:r>
      <w:r w:rsidR="00084C31" w:rsidRPr="00034A4A">
        <w:rPr>
          <w:rFonts w:ascii="Sylfaen" w:hAnsi="Sylfaen"/>
        </w:rPr>
        <w:t xml:space="preserve">and validated </w:t>
      </w:r>
      <w:r w:rsidR="005A10DD" w:rsidRPr="00034A4A">
        <w:rPr>
          <w:rFonts w:ascii="Sylfaen" w:hAnsi="Sylfaen"/>
        </w:rPr>
        <w:t xml:space="preserve">at </w:t>
      </w:r>
      <w:r w:rsidR="00084C31" w:rsidRPr="00034A4A">
        <w:rPr>
          <w:rFonts w:ascii="Sylfaen" w:hAnsi="Sylfaen"/>
        </w:rPr>
        <w:t xml:space="preserve">a </w:t>
      </w:r>
      <w:r w:rsidR="005A10DD" w:rsidRPr="00034A4A">
        <w:rPr>
          <w:rFonts w:ascii="Sylfaen" w:hAnsi="Sylfaen"/>
        </w:rPr>
        <w:t xml:space="preserve">June 2017 </w:t>
      </w:r>
      <w:r w:rsidR="00084C31" w:rsidRPr="00034A4A">
        <w:rPr>
          <w:rFonts w:ascii="Sylfaen" w:hAnsi="Sylfaen"/>
        </w:rPr>
        <w:t xml:space="preserve">Bank-wide </w:t>
      </w:r>
      <w:r w:rsidR="005A10DD" w:rsidRPr="00034A4A">
        <w:rPr>
          <w:rFonts w:ascii="Sylfaen" w:hAnsi="Sylfaen"/>
        </w:rPr>
        <w:t>workshop</w:t>
      </w:r>
      <w:r w:rsidR="00084C31" w:rsidRPr="00034A4A">
        <w:rPr>
          <w:rFonts w:ascii="Sylfaen" w:hAnsi="Sylfaen"/>
        </w:rPr>
        <w:t xml:space="preserve">, </w:t>
      </w:r>
      <w:r w:rsidR="00177C11" w:rsidRPr="00034A4A">
        <w:rPr>
          <w:rFonts w:ascii="Sylfaen" w:hAnsi="Sylfaen"/>
        </w:rPr>
        <w:t xml:space="preserve">and discussed in </w:t>
      </w:r>
      <w:r w:rsidR="00084C31" w:rsidRPr="00034A4A">
        <w:rPr>
          <w:rFonts w:ascii="Sylfaen" w:hAnsi="Sylfaen"/>
        </w:rPr>
        <w:t>a workshop with the Government of Iraq in December 2017</w:t>
      </w:r>
      <w:r w:rsidR="005A10DD" w:rsidRPr="00034A4A">
        <w:rPr>
          <w:rFonts w:ascii="Sylfaen" w:hAnsi="Sylfaen"/>
        </w:rPr>
        <w:t>.</w:t>
      </w:r>
    </w:p>
    <w:bookmarkEnd w:id="1"/>
    <w:p w14:paraId="16E2886C" w14:textId="77777777" w:rsidR="001C3F9C" w:rsidRPr="00034A4A" w:rsidRDefault="001C3F9C" w:rsidP="008769F4">
      <w:pPr>
        <w:pStyle w:val="ListParagraph"/>
        <w:autoSpaceDE w:val="0"/>
        <w:autoSpaceDN w:val="0"/>
        <w:adjustRightInd w:val="0"/>
        <w:spacing w:after="120"/>
        <w:ind w:left="360"/>
        <w:contextualSpacing w:val="0"/>
        <w:jc w:val="both"/>
        <w:rPr>
          <w:rFonts w:ascii="Sylfaen" w:hAnsi="Sylfaen" w:cs="Times New Roman"/>
          <w:b/>
          <w:color w:val="0070C0"/>
          <w:sz w:val="28"/>
          <w:szCs w:val="28"/>
        </w:rPr>
      </w:pPr>
    </w:p>
    <w:p w14:paraId="1257D01D" w14:textId="4C709A76" w:rsidR="003E4775" w:rsidRPr="00034A4A" w:rsidRDefault="00F33F83" w:rsidP="008769F4">
      <w:pPr>
        <w:pStyle w:val="ListParagraph"/>
        <w:numPr>
          <w:ilvl w:val="0"/>
          <w:numId w:val="36"/>
        </w:numPr>
        <w:autoSpaceDE w:val="0"/>
        <w:autoSpaceDN w:val="0"/>
        <w:adjustRightInd w:val="0"/>
        <w:spacing w:after="120"/>
        <w:ind w:left="360"/>
        <w:contextualSpacing w:val="0"/>
        <w:jc w:val="both"/>
        <w:rPr>
          <w:rFonts w:ascii="Sylfaen" w:hAnsi="Sylfaen" w:cs="Times New Roman"/>
          <w:b/>
          <w:color w:val="0070C0"/>
          <w:sz w:val="28"/>
          <w:szCs w:val="28"/>
        </w:rPr>
      </w:pPr>
      <w:r w:rsidRPr="00034A4A">
        <w:rPr>
          <w:rFonts w:ascii="Sylfaen" w:hAnsi="Sylfaen" w:cs="Times New Roman"/>
          <w:b/>
          <w:color w:val="0070C0"/>
          <w:sz w:val="28"/>
          <w:szCs w:val="28"/>
        </w:rPr>
        <w:t>The j</w:t>
      </w:r>
      <w:r w:rsidR="00C5462E" w:rsidRPr="00034A4A">
        <w:rPr>
          <w:rFonts w:ascii="Sylfaen" w:hAnsi="Sylfaen" w:cs="Times New Roman"/>
          <w:b/>
          <w:color w:val="0070C0"/>
          <w:sz w:val="28"/>
          <w:szCs w:val="28"/>
        </w:rPr>
        <w:t>obs environment</w:t>
      </w:r>
      <w:r w:rsidRPr="00034A4A">
        <w:rPr>
          <w:rFonts w:ascii="Sylfaen" w:hAnsi="Sylfaen" w:cs="Times New Roman"/>
          <w:b/>
          <w:color w:val="0070C0"/>
          <w:sz w:val="28"/>
          <w:szCs w:val="28"/>
        </w:rPr>
        <w:t>: enormous needs and heavy constraints on job creation</w:t>
      </w:r>
    </w:p>
    <w:p w14:paraId="236A6346" w14:textId="6C86A1A5" w:rsidR="00296E26" w:rsidRPr="00034A4A" w:rsidRDefault="00296E26" w:rsidP="008769F4">
      <w:pPr>
        <w:autoSpaceDE w:val="0"/>
        <w:autoSpaceDN w:val="0"/>
        <w:adjustRightInd w:val="0"/>
        <w:spacing w:after="120"/>
        <w:jc w:val="both"/>
        <w:rPr>
          <w:rFonts w:ascii="Sylfaen" w:hAnsi="Sylfaen" w:cs="Times New Roman"/>
        </w:rPr>
      </w:pPr>
      <w:r w:rsidRPr="00034A4A">
        <w:rPr>
          <w:rFonts w:ascii="Sylfaen" w:hAnsi="Sylfaen" w:cs="Times New Roman"/>
          <w:b/>
        </w:rPr>
        <w:t>The demand for jobs in Iraq presents an extraordinary challenge.</w:t>
      </w:r>
      <w:r w:rsidRPr="00034A4A">
        <w:rPr>
          <w:rFonts w:ascii="Sylfaen" w:hAnsi="Sylfaen" w:cs="Times New Roman"/>
        </w:rPr>
        <w:t xml:space="preserve"> At least 2.5 million unemployed Iraqis urgently need jobs today. </w:t>
      </w:r>
      <w:r w:rsidR="007C36A6" w:rsidRPr="00034A4A">
        <w:rPr>
          <w:rFonts w:ascii="Sylfaen" w:hAnsi="Sylfaen" w:cs="Times New Roman"/>
        </w:rPr>
        <w:t xml:space="preserve">Most of the unemployed are young: compared to the national unemployment rate of 16 percent, youth unemployment is about 36 percent (Figure 1.B). </w:t>
      </w:r>
      <w:r w:rsidRPr="00034A4A">
        <w:rPr>
          <w:rFonts w:ascii="Sylfaen" w:hAnsi="Sylfaen" w:cs="Times New Roman"/>
        </w:rPr>
        <w:t xml:space="preserve">By 2030, </w:t>
      </w:r>
      <w:r w:rsidR="000543B6" w:rsidRPr="00034A4A">
        <w:rPr>
          <w:rFonts w:ascii="Sylfaen" w:hAnsi="Sylfaen" w:cs="Times New Roman"/>
        </w:rPr>
        <w:t xml:space="preserve">Iraq’s adult population will increase from 20 to 32 million (Figures 1.C and 1.D), and </w:t>
      </w:r>
      <w:r w:rsidRPr="00034A4A">
        <w:rPr>
          <w:rFonts w:ascii="Sylfaen" w:hAnsi="Sylfaen" w:cs="Times New Roman"/>
        </w:rPr>
        <w:t xml:space="preserve">the number of Iraqis in need of new jobs is projected to range between </w:t>
      </w:r>
      <w:r w:rsidR="00DF280A">
        <w:rPr>
          <w:rFonts w:ascii="Sylfaen" w:hAnsi="Sylfaen" w:cs="Times New Roman"/>
        </w:rPr>
        <w:t xml:space="preserve">five </w:t>
      </w:r>
      <w:r w:rsidR="00CA0A24" w:rsidRPr="00034A4A">
        <w:rPr>
          <w:rFonts w:ascii="Sylfaen" w:hAnsi="Sylfaen" w:cs="Times New Roman"/>
        </w:rPr>
        <w:t xml:space="preserve">and </w:t>
      </w:r>
      <w:r w:rsidR="00DF280A">
        <w:rPr>
          <w:rFonts w:ascii="Sylfaen" w:hAnsi="Sylfaen" w:cs="Times New Roman"/>
        </w:rPr>
        <w:t xml:space="preserve">seven </w:t>
      </w:r>
      <w:r w:rsidRPr="00034A4A">
        <w:rPr>
          <w:rFonts w:ascii="Sylfaen" w:hAnsi="Sylfaen" w:cs="Times New Roman"/>
        </w:rPr>
        <w:t>million (holding labor force participation and public employment constant – see Figure 1.A). Th</w:t>
      </w:r>
      <w:r w:rsidR="007C36A6" w:rsidRPr="00034A4A">
        <w:rPr>
          <w:rFonts w:ascii="Sylfaen" w:hAnsi="Sylfaen" w:cs="Times New Roman"/>
        </w:rPr>
        <w:t>is</w:t>
      </w:r>
      <w:r w:rsidRPr="00034A4A">
        <w:rPr>
          <w:rFonts w:ascii="Sylfaen" w:hAnsi="Sylfaen" w:cs="Times New Roman"/>
        </w:rPr>
        <w:t xml:space="preserve"> projected increase of 100 </w:t>
      </w:r>
      <w:r w:rsidR="0031446F">
        <w:rPr>
          <w:rFonts w:ascii="Sylfaen" w:hAnsi="Sylfaen" w:cs="Times New Roman"/>
        </w:rPr>
        <w:t xml:space="preserve">to </w:t>
      </w:r>
      <w:r w:rsidRPr="00034A4A">
        <w:rPr>
          <w:rFonts w:ascii="Sylfaen" w:hAnsi="Sylfaen" w:cs="Times New Roman"/>
        </w:rPr>
        <w:t xml:space="preserve">180 percent in the demand for new jobs in the next 13 years underscores </w:t>
      </w:r>
      <w:r w:rsidR="000543B6" w:rsidRPr="00034A4A">
        <w:rPr>
          <w:rFonts w:ascii="Sylfaen" w:hAnsi="Sylfaen" w:cs="Times New Roman"/>
        </w:rPr>
        <w:t xml:space="preserve">that Iraq’s jobs challenge is </w:t>
      </w:r>
      <w:r w:rsidR="00CA42FA" w:rsidRPr="00034A4A">
        <w:rPr>
          <w:rFonts w:ascii="Sylfaen" w:hAnsi="Sylfaen" w:cs="Times New Roman"/>
        </w:rPr>
        <w:t xml:space="preserve">anything but </w:t>
      </w:r>
      <w:r w:rsidR="000543B6" w:rsidRPr="00034A4A">
        <w:rPr>
          <w:rFonts w:ascii="Sylfaen" w:hAnsi="Sylfaen" w:cs="Times New Roman"/>
        </w:rPr>
        <w:t xml:space="preserve">a short-term phenomenon. Rather, </w:t>
      </w:r>
      <w:r w:rsidR="0031446F">
        <w:rPr>
          <w:rFonts w:ascii="Sylfaen" w:hAnsi="Sylfaen" w:cs="Times New Roman"/>
        </w:rPr>
        <w:t xml:space="preserve">the challenge’s </w:t>
      </w:r>
      <w:r w:rsidRPr="00034A4A">
        <w:rPr>
          <w:rFonts w:ascii="Sylfaen" w:hAnsi="Sylfaen" w:cs="Times New Roman"/>
        </w:rPr>
        <w:t xml:space="preserve">magnitude </w:t>
      </w:r>
      <w:r w:rsidR="000543B6" w:rsidRPr="00034A4A">
        <w:rPr>
          <w:rFonts w:ascii="Sylfaen" w:hAnsi="Sylfaen" w:cs="Times New Roman"/>
        </w:rPr>
        <w:t xml:space="preserve">could </w:t>
      </w:r>
      <w:r w:rsidRPr="00034A4A">
        <w:rPr>
          <w:rFonts w:ascii="Sylfaen" w:hAnsi="Sylfaen" w:cs="Times New Roman"/>
        </w:rPr>
        <w:t>reach crisis proportions</w:t>
      </w:r>
      <w:r w:rsidR="000543B6" w:rsidRPr="00034A4A">
        <w:rPr>
          <w:rFonts w:ascii="Sylfaen" w:hAnsi="Sylfaen" w:cs="Times New Roman"/>
        </w:rPr>
        <w:t xml:space="preserve"> </w:t>
      </w:r>
      <w:r w:rsidR="0031446F">
        <w:rPr>
          <w:rFonts w:ascii="Sylfaen" w:hAnsi="Sylfaen" w:cs="Times New Roman"/>
        </w:rPr>
        <w:t xml:space="preserve">unless </w:t>
      </w:r>
      <w:r w:rsidR="000543B6" w:rsidRPr="00034A4A">
        <w:rPr>
          <w:rFonts w:ascii="Sylfaen" w:hAnsi="Sylfaen" w:cs="Times New Roman"/>
        </w:rPr>
        <w:t>positive changes</w:t>
      </w:r>
      <w:r w:rsidR="0031446F">
        <w:rPr>
          <w:rFonts w:ascii="Sylfaen" w:hAnsi="Sylfaen" w:cs="Times New Roman"/>
        </w:rPr>
        <w:t xml:space="preserve"> are enacted</w:t>
      </w:r>
      <w:r w:rsidRPr="00034A4A">
        <w:rPr>
          <w:rFonts w:ascii="Sylfaen" w:hAnsi="Sylfaen" w:cs="Times New Roman"/>
        </w:rPr>
        <w:t xml:space="preserve">. </w:t>
      </w:r>
      <w:r w:rsidR="0031446F">
        <w:rPr>
          <w:rFonts w:ascii="Sylfaen" w:hAnsi="Sylfaen" w:cs="Times New Roman"/>
        </w:rPr>
        <w:t>B</w:t>
      </w:r>
      <w:r w:rsidR="000543B6" w:rsidRPr="00034A4A">
        <w:rPr>
          <w:rFonts w:ascii="Sylfaen" w:hAnsi="Sylfaen" w:cs="Times New Roman"/>
        </w:rPr>
        <w:t xml:space="preserve">etter jobs prospects matter in meeting the expectations Iraqis have for their lives. </w:t>
      </w:r>
      <w:r w:rsidR="0031446F">
        <w:rPr>
          <w:rFonts w:ascii="Sylfaen" w:hAnsi="Sylfaen" w:cs="Times New Roman"/>
        </w:rPr>
        <w:t>Because of the magnitude of the challenge, t</w:t>
      </w:r>
      <w:r w:rsidR="000543B6" w:rsidRPr="00034A4A">
        <w:rPr>
          <w:rFonts w:ascii="Sylfaen" w:hAnsi="Sylfaen" w:cs="Times New Roman"/>
        </w:rPr>
        <w:t>hey also matter for stability</w:t>
      </w:r>
      <w:r w:rsidR="009B0FBC" w:rsidRPr="00034A4A">
        <w:rPr>
          <w:rFonts w:ascii="Sylfaen" w:hAnsi="Sylfaen" w:cs="Times New Roman"/>
        </w:rPr>
        <w:t xml:space="preserve"> and the success of reconstruction</w:t>
      </w:r>
      <w:r w:rsidR="000543B6" w:rsidRPr="00034A4A">
        <w:rPr>
          <w:rFonts w:ascii="Sylfaen" w:hAnsi="Sylfaen" w:cs="Times New Roman"/>
        </w:rPr>
        <w:t xml:space="preserve">. </w:t>
      </w:r>
      <w:r w:rsidRPr="00034A4A">
        <w:rPr>
          <w:rFonts w:ascii="Sylfaen" w:hAnsi="Sylfaen" w:cs="Times New Roman"/>
        </w:rPr>
        <w:t xml:space="preserve">Without </w:t>
      </w:r>
      <w:r w:rsidR="000543B6" w:rsidRPr="00034A4A">
        <w:rPr>
          <w:rFonts w:ascii="Sylfaen" w:hAnsi="Sylfaen" w:cs="Times New Roman"/>
        </w:rPr>
        <w:t xml:space="preserve">the </w:t>
      </w:r>
      <w:r w:rsidRPr="00034A4A">
        <w:rPr>
          <w:rFonts w:ascii="Sylfaen" w:hAnsi="Sylfaen" w:cs="Times New Roman"/>
        </w:rPr>
        <w:t xml:space="preserve">hope for a better future, </w:t>
      </w:r>
      <w:r w:rsidR="000543B6" w:rsidRPr="00034A4A">
        <w:rPr>
          <w:rFonts w:ascii="Sylfaen" w:hAnsi="Sylfaen" w:cs="Times New Roman"/>
        </w:rPr>
        <w:t>the unemployed</w:t>
      </w:r>
      <w:r w:rsidR="009B0FBC" w:rsidRPr="00034A4A">
        <w:rPr>
          <w:rFonts w:ascii="Sylfaen" w:hAnsi="Sylfaen" w:cs="Times New Roman"/>
        </w:rPr>
        <w:t>,</w:t>
      </w:r>
      <w:r w:rsidR="000543B6" w:rsidRPr="00034A4A">
        <w:rPr>
          <w:rFonts w:ascii="Sylfaen" w:hAnsi="Sylfaen" w:cs="Times New Roman"/>
        </w:rPr>
        <w:t xml:space="preserve"> and in particular youth</w:t>
      </w:r>
      <w:r w:rsidR="009B0FBC" w:rsidRPr="00034A4A">
        <w:rPr>
          <w:rFonts w:ascii="Sylfaen" w:hAnsi="Sylfaen" w:cs="Times New Roman"/>
        </w:rPr>
        <w:t xml:space="preserve">, may give up on their ideas and aspirations, disengage from the project of building a better future for Iraq, seek to leave, or potentially become </w:t>
      </w:r>
      <w:r w:rsidRPr="00034A4A">
        <w:rPr>
          <w:rFonts w:ascii="Sylfaen" w:hAnsi="Sylfaen" w:cs="Times New Roman"/>
        </w:rPr>
        <w:t xml:space="preserve">targets for recruitment by </w:t>
      </w:r>
      <w:r w:rsidR="000543B6" w:rsidRPr="00034A4A">
        <w:rPr>
          <w:rFonts w:ascii="Sylfaen" w:hAnsi="Sylfaen" w:cs="Times New Roman"/>
        </w:rPr>
        <w:t>armed factions</w:t>
      </w:r>
      <w:r w:rsidR="009B0FBC" w:rsidRPr="00034A4A">
        <w:rPr>
          <w:rFonts w:ascii="Sylfaen" w:hAnsi="Sylfaen" w:cs="Times New Roman"/>
        </w:rPr>
        <w:t>.</w:t>
      </w:r>
    </w:p>
    <w:p w14:paraId="4CF578C9" w14:textId="46B751E4" w:rsidR="00096B9D" w:rsidRPr="00034A4A" w:rsidRDefault="000543B6" w:rsidP="008769F4">
      <w:pPr>
        <w:autoSpaceDE w:val="0"/>
        <w:autoSpaceDN w:val="0"/>
        <w:adjustRightInd w:val="0"/>
        <w:spacing w:after="120"/>
        <w:jc w:val="both"/>
        <w:rPr>
          <w:rFonts w:ascii="Sylfaen" w:hAnsi="Sylfaen" w:cs="Times New Roman"/>
        </w:rPr>
      </w:pPr>
      <w:r w:rsidRPr="00034A4A">
        <w:rPr>
          <w:rFonts w:ascii="Sylfaen" w:hAnsi="Sylfaen" w:cs="Times New Roman"/>
          <w:b/>
        </w:rPr>
        <w:t xml:space="preserve">The </w:t>
      </w:r>
      <w:r w:rsidR="0031446F">
        <w:rPr>
          <w:rFonts w:ascii="Sylfaen" w:hAnsi="Sylfaen" w:cs="Times New Roman"/>
          <w:b/>
        </w:rPr>
        <w:t xml:space="preserve">potential </w:t>
      </w:r>
      <w:r w:rsidRPr="00034A4A">
        <w:rPr>
          <w:rFonts w:ascii="Sylfaen" w:hAnsi="Sylfaen" w:cs="Times New Roman"/>
          <w:b/>
        </w:rPr>
        <w:t xml:space="preserve">future unmet demand for jobs hinges on </w:t>
      </w:r>
      <w:r w:rsidR="004B510C" w:rsidRPr="00034A4A">
        <w:rPr>
          <w:rFonts w:ascii="Sylfaen" w:hAnsi="Sylfaen" w:cs="Times New Roman"/>
          <w:b/>
        </w:rPr>
        <w:t>policy choices</w:t>
      </w:r>
      <w:r w:rsidR="00296E26" w:rsidRPr="00034A4A">
        <w:rPr>
          <w:rFonts w:ascii="Sylfaen" w:hAnsi="Sylfaen" w:cs="Times New Roman"/>
          <w:b/>
        </w:rPr>
        <w:t>.</w:t>
      </w:r>
      <w:r w:rsidR="00296E26" w:rsidRPr="00034A4A">
        <w:rPr>
          <w:rFonts w:ascii="Sylfaen" w:hAnsi="Sylfaen" w:cs="Times New Roman"/>
        </w:rPr>
        <w:t xml:space="preserve"> </w:t>
      </w:r>
      <w:r w:rsidR="00DF280A">
        <w:rPr>
          <w:rFonts w:ascii="Sylfaen" w:hAnsi="Sylfaen" w:cs="Times New Roman"/>
        </w:rPr>
        <w:t xml:space="preserve">Even </w:t>
      </w:r>
      <w:r w:rsidR="00296E26" w:rsidRPr="00034A4A">
        <w:rPr>
          <w:rFonts w:ascii="Sylfaen" w:hAnsi="Sylfaen" w:cs="Times New Roman"/>
        </w:rPr>
        <w:t xml:space="preserve">if all current </w:t>
      </w:r>
      <w:r w:rsidR="000D2D99" w:rsidRPr="00034A4A">
        <w:rPr>
          <w:rFonts w:ascii="Sylfaen" w:hAnsi="Sylfaen" w:cs="Times New Roman"/>
        </w:rPr>
        <w:t xml:space="preserve">public sector </w:t>
      </w:r>
      <w:r w:rsidR="00296E26" w:rsidRPr="00034A4A">
        <w:rPr>
          <w:rFonts w:ascii="Sylfaen" w:hAnsi="Sylfaen" w:cs="Times New Roman"/>
        </w:rPr>
        <w:t xml:space="preserve">jobs remain, there will be </w:t>
      </w:r>
      <w:r w:rsidR="000D2D99" w:rsidRPr="00034A4A">
        <w:rPr>
          <w:rFonts w:ascii="Sylfaen" w:hAnsi="Sylfaen" w:cs="Times New Roman"/>
        </w:rPr>
        <w:t xml:space="preserve">unmet </w:t>
      </w:r>
      <w:r w:rsidR="00296E26" w:rsidRPr="00034A4A">
        <w:rPr>
          <w:rFonts w:ascii="Sylfaen" w:hAnsi="Sylfaen" w:cs="Times New Roman"/>
        </w:rPr>
        <w:t xml:space="preserve">demand for at least </w:t>
      </w:r>
      <w:r w:rsidR="00DF280A">
        <w:rPr>
          <w:rFonts w:ascii="Sylfaen" w:hAnsi="Sylfaen" w:cs="Times New Roman"/>
        </w:rPr>
        <w:t>five</w:t>
      </w:r>
      <w:r w:rsidR="00296E26" w:rsidRPr="00034A4A">
        <w:rPr>
          <w:rFonts w:ascii="Sylfaen" w:hAnsi="Sylfaen" w:cs="Times New Roman"/>
        </w:rPr>
        <w:t xml:space="preserve"> million new jobs in 2030. If </w:t>
      </w:r>
      <w:r w:rsidR="00084C31" w:rsidRPr="00034A4A">
        <w:rPr>
          <w:rFonts w:ascii="Sylfaen" w:hAnsi="Sylfaen" w:cs="Times New Roman"/>
        </w:rPr>
        <w:t>the Government of Iraq (GOI)</w:t>
      </w:r>
      <w:r w:rsidR="00296E26" w:rsidRPr="00034A4A">
        <w:rPr>
          <w:rFonts w:ascii="Sylfaen" w:hAnsi="Sylfaen" w:cs="Times New Roman"/>
        </w:rPr>
        <w:t xml:space="preserve"> </w:t>
      </w:r>
      <w:r w:rsidR="000D2D99" w:rsidRPr="00034A4A">
        <w:rPr>
          <w:rFonts w:ascii="Sylfaen" w:hAnsi="Sylfaen" w:cs="Times New Roman"/>
        </w:rPr>
        <w:t xml:space="preserve">were to cut </w:t>
      </w:r>
      <w:r w:rsidR="00296E26" w:rsidRPr="00034A4A">
        <w:rPr>
          <w:rFonts w:ascii="Sylfaen" w:hAnsi="Sylfaen" w:cs="Times New Roman"/>
        </w:rPr>
        <w:t xml:space="preserve">public sector employment by 50 percent, Iraq </w:t>
      </w:r>
      <w:r w:rsidR="00CA42FA" w:rsidRPr="00034A4A">
        <w:rPr>
          <w:rFonts w:ascii="Sylfaen" w:hAnsi="Sylfaen" w:cs="Times New Roman"/>
        </w:rPr>
        <w:t>would</w:t>
      </w:r>
      <w:r w:rsidR="00296E26" w:rsidRPr="00034A4A">
        <w:rPr>
          <w:rFonts w:ascii="Sylfaen" w:hAnsi="Sylfaen" w:cs="Times New Roman"/>
        </w:rPr>
        <w:t xml:space="preserve"> need </w:t>
      </w:r>
      <w:r w:rsidR="0031446F">
        <w:rPr>
          <w:rFonts w:ascii="Sylfaen" w:hAnsi="Sylfaen" w:cs="Times New Roman"/>
        </w:rPr>
        <w:t xml:space="preserve">7 </w:t>
      </w:r>
      <w:r w:rsidR="00296E26" w:rsidRPr="00034A4A">
        <w:rPr>
          <w:rFonts w:ascii="Sylfaen" w:hAnsi="Sylfaen" w:cs="Times New Roman"/>
        </w:rPr>
        <w:t xml:space="preserve">million new jobs. </w:t>
      </w:r>
      <w:r w:rsidR="00296E26" w:rsidRPr="00034A4A">
        <w:rPr>
          <w:rFonts w:ascii="Sylfaen" w:hAnsi="Sylfaen" w:cs="Times New Roman"/>
          <w:bCs/>
        </w:rPr>
        <w:t xml:space="preserve">Two </w:t>
      </w:r>
      <w:r w:rsidR="00DF280A">
        <w:rPr>
          <w:rFonts w:ascii="Sylfaen" w:hAnsi="Sylfaen" w:cs="Times New Roman"/>
          <w:bCs/>
        </w:rPr>
        <w:t xml:space="preserve">other </w:t>
      </w:r>
      <w:r w:rsidR="00296E26" w:rsidRPr="00034A4A">
        <w:rPr>
          <w:rFonts w:ascii="Sylfaen" w:hAnsi="Sylfaen" w:cs="Times New Roman"/>
          <w:bCs/>
        </w:rPr>
        <w:t xml:space="preserve">factors will </w:t>
      </w:r>
      <w:r w:rsidR="00DF280A">
        <w:rPr>
          <w:rFonts w:ascii="Sylfaen" w:hAnsi="Sylfaen" w:cs="Times New Roman"/>
          <w:bCs/>
        </w:rPr>
        <w:t xml:space="preserve">influence </w:t>
      </w:r>
      <w:r w:rsidR="00296E26" w:rsidRPr="00034A4A">
        <w:rPr>
          <w:rFonts w:ascii="Sylfaen" w:hAnsi="Sylfaen" w:cs="Times New Roman"/>
          <w:bCs/>
        </w:rPr>
        <w:t xml:space="preserve">the </w:t>
      </w:r>
      <w:r w:rsidR="000D2D99" w:rsidRPr="00034A4A">
        <w:rPr>
          <w:rFonts w:ascii="Sylfaen" w:hAnsi="Sylfaen" w:cs="Times New Roman"/>
          <w:bCs/>
        </w:rPr>
        <w:t xml:space="preserve">unmet </w:t>
      </w:r>
      <w:r w:rsidR="00296E26" w:rsidRPr="00034A4A">
        <w:rPr>
          <w:rFonts w:ascii="Sylfaen" w:hAnsi="Sylfaen" w:cs="Times New Roman"/>
          <w:bCs/>
        </w:rPr>
        <w:t xml:space="preserve">demand for jobs in the medium term. </w:t>
      </w:r>
      <w:r w:rsidR="0031446F">
        <w:rPr>
          <w:rFonts w:ascii="Sylfaen" w:hAnsi="Sylfaen" w:cs="Times New Roman"/>
          <w:bCs/>
        </w:rPr>
        <w:t>First</w:t>
      </w:r>
      <w:r w:rsidR="00296E26" w:rsidRPr="00034A4A">
        <w:rPr>
          <w:rFonts w:ascii="Sylfaen" w:hAnsi="Sylfaen" w:cs="Times New Roman"/>
          <w:bCs/>
        </w:rPr>
        <w:t xml:space="preserve">, depleting </w:t>
      </w:r>
      <w:r w:rsidR="00296E26" w:rsidRPr="00034A4A">
        <w:rPr>
          <w:rFonts w:ascii="Sylfaen" w:hAnsi="Sylfaen" w:cs="Times New Roman"/>
        </w:rPr>
        <w:t>sources of subsistence in rural areas have triggered large numbers of the poor to migrate to urban areas, exacerbating the demand for urb</w:t>
      </w:r>
      <w:r w:rsidR="00CA42FA" w:rsidRPr="00034A4A">
        <w:rPr>
          <w:rFonts w:ascii="Sylfaen" w:hAnsi="Sylfaen" w:cs="Times New Roman"/>
        </w:rPr>
        <w:t xml:space="preserve">an jobs. Evidently, more than </w:t>
      </w:r>
      <w:r w:rsidR="00DF280A">
        <w:rPr>
          <w:rFonts w:ascii="Sylfaen" w:hAnsi="Sylfaen" w:cs="Times New Roman"/>
        </w:rPr>
        <w:t>eleven</w:t>
      </w:r>
      <w:r w:rsidR="0031446F">
        <w:rPr>
          <w:rFonts w:ascii="Sylfaen" w:hAnsi="Sylfaen" w:cs="Times New Roman"/>
        </w:rPr>
        <w:t xml:space="preserve"> </w:t>
      </w:r>
      <w:r w:rsidR="00296E26" w:rsidRPr="00034A4A">
        <w:rPr>
          <w:rFonts w:ascii="Sylfaen" w:hAnsi="Sylfaen" w:cs="Times New Roman"/>
        </w:rPr>
        <w:t>million Iraqis are currently considered to need some form of humanitarian assistance, and in 2014, poverty was estimated to vary between the national average of 22 percent and 44 percent in</w:t>
      </w:r>
      <w:r w:rsidR="00AD33C9" w:rsidRPr="00034A4A">
        <w:rPr>
          <w:rFonts w:ascii="Sylfaen" w:hAnsi="Sylfaen" w:cs="Times New Roman"/>
        </w:rPr>
        <w:t xml:space="preserve"> Daesh</w:t>
      </w:r>
      <w:r w:rsidR="00296E26" w:rsidRPr="00034A4A">
        <w:rPr>
          <w:rFonts w:ascii="Times New Roman" w:hAnsi="Times New Roman" w:cs="Times New Roman"/>
        </w:rPr>
        <w:t>‐</w:t>
      </w:r>
      <w:r w:rsidR="00296E26" w:rsidRPr="00034A4A">
        <w:rPr>
          <w:rFonts w:ascii="Sylfaen" w:hAnsi="Sylfaen" w:cs="Times New Roman"/>
        </w:rPr>
        <w:t xml:space="preserve">occupied areas. Two, </w:t>
      </w:r>
      <w:r w:rsidR="009B0FBC" w:rsidRPr="00034A4A">
        <w:rPr>
          <w:rFonts w:ascii="Sylfaen" w:hAnsi="Sylfaen" w:cs="Times New Roman"/>
        </w:rPr>
        <w:t xml:space="preserve">many </w:t>
      </w:r>
      <w:r w:rsidR="00296E26" w:rsidRPr="00034A4A">
        <w:rPr>
          <w:rFonts w:ascii="Sylfaen" w:hAnsi="Sylfaen" w:cs="Times New Roman"/>
        </w:rPr>
        <w:t xml:space="preserve">Iraqis lack the practical skills necessary to find a job in a fragile, post-conflict country that is grappling with multiple challenges. </w:t>
      </w:r>
      <w:r w:rsidR="00296E26" w:rsidRPr="00034A4A">
        <w:rPr>
          <w:rFonts w:ascii="Sylfaen" w:eastAsia="Garamond" w:hAnsi="Sylfaen" w:cs="Times New Roman"/>
        </w:rPr>
        <w:t>About 33 percent of the youth</w:t>
      </w:r>
      <w:r w:rsidR="00296E26" w:rsidRPr="00034A4A">
        <w:rPr>
          <w:rFonts w:ascii="Sylfaen" w:eastAsia="Garamond" w:hAnsi="Sylfaen" w:cs="Times New Roman"/>
          <w:spacing w:val="2"/>
        </w:rPr>
        <w:t xml:space="preserve"> </w:t>
      </w:r>
      <w:r w:rsidR="00296E26" w:rsidRPr="00034A4A">
        <w:rPr>
          <w:rFonts w:ascii="Sylfaen" w:eastAsia="Garamond" w:hAnsi="Sylfaen" w:cs="Times New Roman"/>
        </w:rPr>
        <w:t>bet</w:t>
      </w:r>
      <w:r w:rsidR="00296E26" w:rsidRPr="00034A4A">
        <w:rPr>
          <w:rFonts w:ascii="Sylfaen" w:eastAsia="Garamond" w:hAnsi="Sylfaen" w:cs="Times New Roman"/>
          <w:spacing w:val="1"/>
        </w:rPr>
        <w:t>w</w:t>
      </w:r>
      <w:r w:rsidR="00296E26" w:rsidRPr="00034A4A">
        <w:rPr>
          <w:rFonts w:ascii="Sylfaen" w:eastAsia="Garamond" w:hAnsi="Sylfaen" w:cs="Times New Roman"/>
        </w:rPr>
        <w:t>e</w:t>
      </w:r>
      <w:r w:rsidR="00296E26" w:rsidRPr="00034A4A">
        <w:rPr>
          <w:rFonts w:ascii="Sylfaen" w:eastAsia="Garamond" w:hAnsi="Sylfaen" w:cs="Times New Roman"/>
          <w:spacing w:val="1"/>
        </w:rPr>
        <w:t>e</w:t>
      </w:r>
      <w:r w:rsidR="00296E26" w:rsidRPr="00034A4A">
        <w:rPr>
          <w:rFonts w:ascii="Sylfaen" w:eastAsia="Garamond" w:hAnsi="Sylfaen" w:cs="Times New Roman"/>
        </w:rPr>
        <w:t>n</w:t>
      </w:r>
      <w:r w:rsidR="00296E26" w:rsidRPr="00034A4A">
        <w:rPr>
          <w:rFonts w:ascii="Sylfaen" w:eastAsia="Garamond" w:hAnsi="Sylfaen" w:cs="Times New Roman"/>
          <w:spacing w:val="1"/>
        </w:rPr>
        <w:t xml:space="preserve"> </w:t>
      </w:r>
      <w:r w:rsidR="00296E26" w:rsidRPr="00034A4A">
        <w:rPr>
          <w:rFonts w:ascii="Sylfaen" w:eastAsia="Garamond" w:hAnsi="Sylfaen" w:cs="Times New Roman"/>
        </w:rPr>
        <w:t>the</w:t>
      </w:r>
      <w:r w:rsidR="00296E26" w:rsidRPr="00034A4A">
        <w:rPr>
          <w:rFonts w:ascii="Sylfaen" w:eastAsia="Garamond" w:hAnsi="Sylfaen" w:cs="Times New Roman"/>
          <w:spacing w:val="2"/>
        </w:rPr>
        <w:t xml:space="preserve"> </w:t>
      </w:r>
      <w:r w:rsidR="00296E26" w:rsidRPr="00034A4A">
        <w:rPr>
          <w:rFonts w:ascii="Sylfaen" w:eastAsia="Garamond" w:hAnsi="Sylfaen" w:cs="Times New Roman"/>
          <w:spacing w:val="1"/>
        </w:rPr>
        <w:t>a</w:t>
      </w:r>
      <w:r w:rsidR="00296E26" w:rsidRPr="00034A4A">
        <w:rPr>
          <w:rFonts w:ascii="Sylfaen" w:eastAsia="Garamond" w:hAnsi="Sylfaen" w:cs="Times New Roman"/>
        </w:rPr>
        <w:t>g</w:t>
      </w:r>
      <w:r w:rsidR="00296E26" w:rsidRPr="00034A4A">
        <w:rPr>
          <w:rFonts w:ascii="Sylfaen" w:eastAsia="Garamond" w:hAnsi="Sylfaen" w:cs="Times New Roman"/>
          <w:spacing w:val="1"/>
        </w:rPr>
        <w:t>e</w:t>
      </w:r>
      <w:r w:rsidR="00296E26" w:rsidRPr="00034A4A">
        <w:rPr>
          <w:rFonts w:ascii="Sylfaen" w:eastAsia="Garamond" w:hAnsi="Sylfaen" w:cs="Times New Roman"/>
        </w:rPr>
        <w:t>s of</w:t>
      </w:r>
      <w:r w:rsidR="00296E26" w:rsidRPr="00034A4A">
        <w:rPr>
          <w:rFonts w:ascii="Sylfaen" w:eastAsia="Garamond" w:hAnsi="Sylfaen" w:cs="Times New Roman"/>
          <w:spacing w:val="6"/>
        </w:rPr>
        <w:t xml:space="preserve"> </w:t>
      </w:r>
      <w:r w:rsidR="00296E26" w:rsidRPr="00034A4A">
        <w:rPr>
          <w:rFonts w:ascii="Sylfaen" w:eastAsia="Garamond" w:hAnsi="Sylfaen" w:cs="Times New Roman"/>
        </w:rPr>
        <w:t>15</w:t>
      </w:r>
      <w:r w:rsidR="00296E26" w:rsidRPr="00034A4A">
        <w:rPr>
          <w:rFonts w:ascii="Sylfaen" w:eastAsia="Garamond" w:hAnsi="Sylfaen" w:cs="Times New Roman"/>
          <w:spacing w:val="5"/>
        </w:rPr>
        <w:t xml:space="preserve"> </w:t>
      </w:r>
      <w:r w:rsidR="00296E26" w:rsidRPr="00034A4A">
        <w:rPr>
          <w:rFonts w:ascii="Sylfaen" w:eastAsia="Garamond" w:hAnsi="Sylfaen" w:cs="Times New Roman"/>
          <w:spacing w:val="1"/>
        </w:rPr>
        <w:t>a</w:t>
      </w:r>
      <w:r w:rsidR="00296E26" w:rsidRPr="00034A4A">
        <w:rPr>
          <w:rFonts w:ascii="Sylfaen" w:eastAsia="Garamond" w:hAnsi="Sylfaen" w:cs="Times New Roman"/>
        </w:rPr>
        <w:t>nd</w:t>
      </w:r>
      <w:r w:rsidR="00296E26" w:rsidRPr="00034A4A">
        <w:rPr>
          <w:rFonts w:ascii="Sylfaen" w:eastAsia="Garamond" w:hAnsi="Sylfaen" w:cs="Times New Roman"/>
          <w:spacing w:val="7"/>
        </w:rPr>
        <w:t xml:space="preserve"> </w:t>
      </w:r>
      <w:r w:rsidR="00296E26" w:rsidRPr="00034A4A">
        <w:rPr>
          <w:rFonts w:ascii="Sylfaen" w:eastAsia="Garamond" w:hAnsi="Sylfaen" w:cs="Times New Roman"/>
        </w:rPr>
        <w:t>29</w:t>
      </w:r>
      <w:r w:rsidR="00296E26" w:rsidRPr="00034A4A">
        <w:rPr>
          <w:rFonts w:ascii="Sylfaen" w:eastAsia="Garamond" w:hAnsi="Sylfaen" w:cs="Times New Roman"/>
          <w:spacing w:val="5"/>
        </w:rPr>
        <w:t xml:space="preserve"> </w:t>
      </w:r>
      <w:r w:rsidR="00296E26" w:rsidRPr="00034A4A">
        <w:rPr>
          <w:rFonts w:ascii="Sylfaen" w:eastAsia="Garamond" w:hAnsi="Sylfaen" w:cs="Times New Roman"/>
          <w:spacing w:val="1"/>
        </w:rPr>
        <w:t>a</w:t>
      </w:r>
      <w:r w:rsidR="00296E26" w:rsidRPr="00034A4A">
        <w:rPr>
          <w:rFonts w:ascii="Sylfaen" w:eastAsia="Garamond" w:hAnsi="Sylfaen" w:cs="Times New Roman"/>
        </w:rPr>
        <w:t>re</w:t>
      </w:r>
      <w:r w:rsidR="00296E26" w:rsidRPr="00034A4A">
        <w:rPr>
          <w:rFonts w:ascii="Sylfaen" w:eastAsia="Garamond" w:hAnsi="Sylfaen" w:cs="Times New Roman"/>
          <w:spacing w:val="7"/>
        </w:rPr>
        <w:t xml:space="preserve"> </w:t>
      </w:r>
      <w:r w:rsidR="00296E26" w:rsidRPr="00034A4A">
        <w:rPr>
          <w:rFonts w:ascii="Sylfaen" w:eastAsia="Garamond" w:hAnsi="Sylfaen" w:cs="Times New Roman"/>
        </w:rPr>
        <w:t>ill</w:t>
      </w:r>
      <w:r w:rsidR="00296E26" w:rsidRPr="00034A4A">
        <w:rPr>
          <w:rFonts w:ascii="Sylfaen" w:eastAsia="Garamond" w:hAnsi="Sylfaen" w:cs="Times New Roman"/>
          <w:spacing w:val="1"/>
        </w:rPr>
        <w:t>i</w:t>
      </w:r>
      <w:r w:rsidR="00296E26" w:rsidRPr="00034A4A">
        <w:rPr>
          <w:rFonts w:ascii="Sylfaen" w:eastAsia="Garamond" w:hAnsi="Sylfaen" w:cs="Times New Roman"/>
        </w:rPr>
        <w:t>tera</w:t>
      </w:r>
      <w:r w:rsidR="00296E26" w:rsidRPr="00034A4A">
        <w:rPr>
          <w:rFonts w:ascii="Sylfaen" w:eastAsia="Garamond" w:hAnsi="Sylfaen" w:cs="Times New Roman"/>
          <w:spacing w:val="-2"/>
        </w:rPr>
        <w:t>t</w:t>
      </w:r>
      <w:r w:rsidR="00296E26" w:rsidRPr="00034A4A">
        <w:rPr>
          <w:rFonts w:ascii="Sylfaen" w:eastAsia="Garamond" w:hAnsi="Sylfaen" w:cs="Times New Roman"/>
        </w:rPr>
        <w:t>e or</w:t>
      </w:r>
      <w:r w:rsidR="00296E26" w:rsidRPr="00034A4A">
        <w:rPr>
          <w:rFonts w:ascii="Sylfaen" w:eastAsia="Garamond" w:hAnsi="Sylfaen" w:cs="Times New Roman"/>
          <w:spacing w:val="6"/>
        </w:rPr>
        <w:t xml:space="preserve"> </w:t>
      </w:r>
      <w:r w:rsidR="00296E26" w:rsidRPr="00034A4A">
        <w:rPr>
          <w:rFonts w:ascii="Sylfaen" w:eastAsia="Garamond" w:hAnsi="Sylfaen" w:cs="Times New Roman"/>
        </w:rPr>
        <w:t xml:space="preserve">only </w:t>
      </w:r>
      <w:r w:rsidR="00296E26" w:rsidRPr="00034A4A">
        <w:rPr>
          <w:rFonts w:ascii="Sylfaen" w:eastAsia="Garamond" w:hAnsi="Sylfaen" w:cs="Times New Roman"/>
          <w:spacing w:val="-1"/>
        </w:rPr>
        <w:t>s</w:t>
      </w:r>
      <w:r w:rsidR="00296E26" w:rsidRPr="00034A4A">
        <w:rPr>
          <w:rFonts w:ascii="Sylfaen" w:eastAsia="Garamond" w:hAnsi="Sylfaen" w:cs="Times New Roman"/>
        </w:rPr>
        <w:t>em</w:t>
      </w:r>
      <w:r w:rsidR="00296E26" w:rsidRPr="00034A4A">
        <w:rPr>
          <w:rFonts w:ascii="Sylfaen" w:eastAsia="Garamond" w:hAnsi="Sylfaen" w:cs="Times New Roman"/>
          <w:spacing w:val="1"/>
        </w:rPr>
        <w:t>i</w:t>
      </w:r>
      <w:r w:rsidR="00296E26" w:rsidRPr="00034A4A">
        <w:rPr>
          <w:rFonts w:ascii="Sylfaen" w:eastAsia="Garamond" w:hAnsi="Sylfaen" w:cs="Times New Roman"/>
          <w:spacing w:val="-1"/>
        </w:rPr>
        <w:t>-</w:t>
      </w:r>
      <w:r w:rsidR="00296E26" w:rsidRPr="00034A4A">
        <w:rPr>
          <w:rFonts w:ascii="Sylfaen" w:eastAsia="Garamond" w:hAnsi="Sylfaen" w:cs="Times New Roman"/>
        </w:rPr>
        <w:t>liter</w:t>
      </w:r>
      <w:r w:rsidR="00296E26" w:rsidRPr="00034A4A">
        <w:rPr>
          <w:rFonts w:ascii="Sylfaen" w:eastAsia="Garamond" w:hAnsi="Sylfaen" w:cs="Times New Roman"/>
          <w:spacing w:val="1"/>
        </w:rPr>
        <w:t>a</w:t>
      </w:r>
      <w:r w:rsidR="00296E26" w:rsidRPr="00034A4A">
        <w:rPr>
          <w:rFonts w:ascii="Sylfaen" w:eastAsia="Garamond" w:hAnsi="Sylfaen" w:cs="Times New Roman"/>
        </w:rPr>
        <w:t xml:space="preserve">te, </w:t>
      </w:r>
      <w:r w:rsidR="00296E26" w:rsidRPr="00034A4A">
        <w:rPr>
          <w:rFonts w:ascii="Sylfaen" w:hAnsi="Sylfaen" w:cs="Times New Roman"/>
        </w:rPr>
        <w:t xml:space="preserve">33 percent have completed primary school, 28 percent have finished middle or high school, and only </w:t>
      </w:r>
      <w:r w:rsidR="000D2D99" w:rsidRPr="00034A4A">
        <w:rPr>
          <w:rFonts w:ascii="Sylfaen" w:hAnsi="Sylfaen" w:cs="Times New Roman"/>
        </w:rPr>
        <w:t>seven</w:t>
      </w:r>
      <w:r w:rsidR="00296E26" w:rsidRPr="00034A4A">
        <w:rPr>
          <w:rFonts w:ascii="Sylfaen" w:hAnsi="Sylfaen" w:cs="Times New Roman"/>
        </w:rPr>
        <w:t xml:space="preserve"> percent have completed post-secondary education.</w:t>
      </w:r>
      <w:r w:rsidR="003B4228" w:rsidRPr="00034A4A">
        <w:rPr>
          <w:rStyle w:val="FootnoteReference"/>
          <w:rFonts w:ascii="Sylfaen" w:hAnsi="Sylfaen" w:cs="Times New Roman"/>
        </w:rPr>
        <w:footnoteReference w:id="2"/>
      </w:r>
    </w:p>
    <w:p w14:paraId="62EA5AD3" w14:textId="0C6628C1" w:rsidR="00234178" w:rsidRPr="00034A4A" w:rsidRDefault="004B510C" w:rsidP="008769F4">
      <w:pPr>
        <w:pStyle w:val="Default"/>
        <w:spacing w:after="120" w:line="259" w:lineRule="auto"/>
        <w:jc w:val="both"/>
        <w:rPr>
          <w:rFonts w:ascii="Sylfaen" w:hAnsi="Sylfaen" w:cs="Times New Roman"/>
          <w:bCs/>
          <w:color w:val="auto"/>
          <w:sz w:val="22"/>
          <w:szCs w:val="22"/>
        </w:rPr>
      </w:pPr>
      <w:r w:rsidRPr="00034A4A">
        <w:rPr>
          <w:rFonts w:ascii="Sylfaen" w:hAnsi="Sylfaen" w:cs="Times New Roman"/>
          <w:b/>
          <w:sz w:val="22"/>
          <w:szCs w:val="22"/>
        </w:rPr>
        <w:t xml:space="preserve">Youth, women, and </w:t>
      </w:r>
      <w:r w:rsidR="00DF280A">
        <w:rPr>
          <w:rFonts w:ascii="Sylfaen" w:hAnsi="Sylfaen" w:cs="Times New Roman"/>
          <w:b/>
          <w:sz w:val="22"/>
          <w:szCs w:val="22"/>
        </w:rPr>
        <w:t>internally displaced persons (</w:t>
      </w:r>
      <w:r w:rsidRPr="00034A4A">
        <w:rPr>
          <w:rFonts w:ascii="Sylfaen" w:hAnsi="Sylfaen" w:cs="Times New Roman"/>
          <w:b/>
          <w:sz w:val="22"/>
          <w:szCs w:val="22"/>
        </w:rPr>
        <w:t>IDPs</w:t>
      </w:r>
      <w:r w:rsidR="00DF280A">
        <w:rPr>
          <w:rFonts w:ascii="Sylfaen" w:hAnsi="Sylfaen" w:cs="Times New Roman"/>
          <w:b/>
          <w:sz w:val="22"/>
          <w:szCs w:val="22"/>
        </w:rPr>
        <w:t>)</w:t>
      </w:r>
      <w:r w:rsidRPr="00034A4A">
        <w:rPr>
          <w:rFonts w:ascii="Sylfaen" w:hAnsi="Sylfaen" w:cs="Times New Roman"/>
          <w:b/>
          <w:sz w:val="22"/>
          <w:szCs w:val="22"/>
        </w:rPr>
        <w:t xml:space="preserve"> urgently need more access to jobs.</w:t>
      </w:r>
      <w:r w:rsidRPr="00034A4A">
        <w:rPr>
          <w:rFonts w:ascii="Sylfaen" w:hAnsi="Sylfaen" w:cs="Times New Roman"/>
          <w:sz w:val="22"/>
          <w:szCs w:val="22"/>
        </w:rPr>
        <w:t xml:space="preserve"> </w:t>
      </w:r>
      <w:r w:rsidR="00234178" w:rsidRPr="00034A4A">
        <w:rPr>
          <w:rFonts w:ascii="Sylfaen" w:hAnsi="Sylfaen" w:cs="Times New Roman"/>
          <w:sz w:val="22"/>
          <w:szCs w:val="22"/>
        </w:rPr>
        <w:t xml:space="preserve">Three </w:t>
      </w:r>
      <w:r w:rsidR="00234178" w:rsidRPr="00034A4A">
        <w:rPr>
          <w:rFonts w:ascii="Sylfaen" w:hAnsi="Sylfaen" w:cs="Times New Roman"/>
          <w:bCs/>
          <w:color w:val="auto"/>
          <w:sz w:val="22"/>
          <w:szCs w:val="22"/>
        </w:rPr>
        <w:t>groups – youth, women</w:t>
      </w:r>
      <w:r w:rsidR="00AD33C9" w:rsidRPr="00034A4A">
        <w:rPr>
          <w:rFonts w:ascii="Sylfaen" w:hAnsi="Sylfaen" w:cs="Times New Roman"/>
          <w:bCs/>
          <w:color w:val="auto"/>
          <w:sz w:val="22"/>
          <w:szCs w:val="22"/>
        </w:rPr>
        <w:t>, and IDPs</w:t>
      </w:r>
      <w:r w:rsidR="00234178" w:rsidRPr="00034A4A">
        <w:rPr>
          <w:rFonts w:ascii="Sylfaen" w:hAnsi="Sylfaen" w:cs="Times New Roman"/>
          <w:bCs/>
          <w:color w:val="auto"/>
          <w:sz w:val="22"/>
          <w:szCs w:val="22"/>
        </w:rPr>
        <w:t xml:space="preserve"> </w:t>
      </w:r>
      <w:r w:rsidR="00AD33C9" w:rsidRPr="00034A4A">
        <w:rPr>
          <w:rFonts w:ascii="Sylfaen" w:hAnsi="Sylfaen" w:cs="Times New Roman"/>
          <w:bCs/>
          <w:color w:val="auto"/>
          <w:sz w:val="22"/>
          <w:szCs w:val="22"/>
        </w:rPr>
        <w:t>–</w:t>
      </w:r>
      <w:r w:rsidRPr="00034A4A">
        <w:rPr>
          <w:rFonts w:ascii="Sylfaen" w:hAnsi="Sylfaen" w:cs="Times New Roman"/>
          <w:bCs/>
          <w:color w:val="auto"/>
          <w:sz w:val="22"/>
          <w:szCs w:val="22"/>
        </w:rPr>
        <w:t xml:space="preserve"> </w:t>
      </w:r>
      <w:r w:rsidR="00234178" w:rsidRPr="00034A4A">
        <w:rPr>
          <w:rFonts w:ascii="Sylfaen" w:hAnsi="Sylfaen" w:cs="Times New Roman"/>
          <w:bCs/>
          <w:color w:val="auto"/>
          <w:sz w:val="22"/>
          <w:szCs w:val="22"/>
        </w:rPr>
        <w:t>are affected disproportionately by the paucity of jobs (Figure 1). Without special attention to their demand for jobs, peace and reconstruction are at risk. The nature and extent of joblessness are specific to each group and underscore why these excluded groups need a tailored solution in the short term.</w:t>
      </w:r>
    </w:p>
    <w:p w14:paraId="53AB39DA" w14:textId="18695AB1" w:rsidR="00234178" w:rsidRPr="00034A4A" w:rsidRDefault="00234178" w:rsidP="008769F4">
      <w:pPr>
        <w:pStyle w:val="Default"/>
        <w:numPr>
          <w:ilvl w:val="0"/>
          <w:numId w:val="9"/>
        </w:numPr>
        <w:spacing w:after="120" w:line="259" w:lineRule="auto"/>
        <w:jc w:val="both"/>
        <w:rPr>
          <w:rFonts w:ascii="Sylfaen" w:hAnsi="Sylfaen"/>
          <w:b/>
          <w:bCs/>
        </w:rPr>
      </w:pPr>
      <w:r w:rsidRPr="00034A4A">
        <w:rPr>
          <w:rFonts w:ascii="Sylfaen" w:hAnsi="Sylfaen" w:cs="Times New Roman"/>
          <w:b/>
          <w:bCs/>
          <w:sz w:val="22"/>
          <w:szCs w:val="22"/>
        </w:rPr>
        <w:t>Iraq has one of the youngest populations in the world.</w:t>
      </w:r>
      <w:r w:rsidRPr="00034A4A">
        <w:rPr>
          <w:rFonts w:ascii="Sylfaen" w:hAnsi="Sylfaen" w:cs="Times New Roman"/>
          <w:bCs/>
          <w:sz w:val="22"/>
          <w:szCs w:val="22"/>
        </w:rPr>
        <w:t xml:space="preserve"> Nearly 50 percent </w:t>
      </w:r>
      <w:r w:rsidR="00DF280A">
        <w:rPr>
          <w:rFonts w:ascii="Sylfaen" w:hAnsi="Sylfaen" w:cs="Times New Roman"/>
          <w:bCs/>
          <w:sz w:val="22"/>
          <w:szCs w:val="22"/>
        </w:rPr>
        <w:t xml:space="preserve">of Iraqis </w:t>
      </w:r>
      <w:r w:rsidR="00150199" w:rsidRPr="00034A4A">
        <w:rPr>
          <w:rFonts w:ascii="Sylfaen" w:hAnsi="Sylfaen" w:cs="Times New Roman"/>
          <w:bCs/>
          <w:sz w:val="22"/>
          <w:szCs w:val="22"/>
        </w:rPr>
        <w:t>are</w:t>
      </w:r>
      <w:r w:rsidRPr="00034A4A">
        <w:rPr>
          <w:rFonts w:ascii="Sylfaen" w:hAnsi="Sylfaen" w:cs="Times New Roman"/>
          <w:bCs/>
          <w:sz w:val="22"/>
          <w:szCs w:val="22"/>
        </w:rPr>
        <w:t xml:space="preserve"> younger than 19 years</w:t>
      </w:r>
      <w:r w:rsidR="00AD33C9" w:rsidRPr="00034A4A">
        <w:rPr>
          <w:rFonts w:ascii="Sylfaen" w:hAnsi="Sylfaen" w:cs="Times New Roman"/>
          <w:bCs/>
          <w:sz w:val="22"/>
          <w:szCs w:val="22"/>
        </w:rPr>
        <w:t>,</w:t>
      </w:r>
      <w:r w:rsidRPr="00034A4A">
        <w:rPr>
          <w:rFonts w:ascii="Sylfaen" w:hAnsi="Sylfaen" w:cs="Times New Roman"/>
          <w:bCs/>
          <w:sz w:val="22"/>
          <w:szCs w:val="22"/>
        </w:rPr>
        <w:t xml:space="preserve"> and </w:t>
      </w:r>
      <w:r w:rsidRPr="00034A4A">
        <w:rPr>
          <w:rFonts w:ascii="Sylfaen" w:hAnsi="Sylfaen" w:cs="Times New Roman"/>
          <w:sz w:val="22"/>
          <w:szCs w:val="22"/>
        </w:rPr>
        <w:t xml:space="preserve">60 percent </w:t>
      </w:r>
      <w:r w:rsidR="00150199" w:rsidRPr="00034A4A">
        <w:rPr>
          <w:rFonts w:ascii="Sylfaen" w:hAnsi="Sylfaen" w:cs="Times New Roman"/>
          <w:sz w:val="22"/>
          <w:szCs w:val="22"/>
        </w:rPr>
        <w:t>are</w:t>
      </w:r>
      <w:r w:rsidRPr="00034A4A">
        <w:rPr>
          <w:rFonts w:ascii="Sylfaen" w:hAnsi="Sylfaen" w:cs="Times New Roman"/>
          <w:sz w:val="22"/>
          <w:szCs w:val="22"/>
        </w:rPr>
        <w:t xml:space="preserve"> below 25 years of age</w:t>
      </w:r>
      <w:r w:rsidRPr="00034A4A">
        <w:rPr>
          <w:rFonts w:ascii="Sylfaen" w:hAnsi="Sylfaen" w:cs="Times New Roman"/>
          <w:bCs/>
          <w:sz w:val="22"/>
          <w:szCs w:val="22"/>
        </w:rPr>
        <w:t xml:space="preserve">. The </w:t>
      </w:r>
      <w:r w:rsidRPr="00034A4A">
        <w:rPr>
          <w:rFonts w:ascii="Sylfaen" w:hAnsi="Sylfaen" w:cs="Times New Roman"/>
          <w:color w:val="auto"/>
          <w:sz w:val="22"/>
          <w:szCs w:val="22"/>
        </w:rPr>
        <w:t xml:space="preserve">youth population is projected to increase from </w:t>
      </w:r>
      <w:r w:rsidR="00AD33C9" w:rsidRPr="00034A4A">
        <w:rPr>
          <w:rFonts w:ascii="Sylfaen" w:hAnsi="Sylfaen" w:cs="Times New Roman"/>
          <w:color w:val="auto"/>
          <w:sz w:val="22"/>
          <w:szCs w:val="22"/>
        </w:rPr>
        <w:t>seven</w:t>
      </w:r>
      <w:r w:rsidRPr="00034A4A">
        <w:rPr>
          <w:rFonts w:ascii="Sylfaen" w:hAnsi="Sylfaen" w:cs="Times New Roman"/>
          <w:color w:val="auto"/>
          <w:sz w:val="22"/>
          <w:szCs w:val="22"/>
        </w:rPr>
        <w:t xml:space="preserve"> to </w:t>
      </w:r>
      <w:r w:rsidR="00AD33C9" w:rsidRPr="00034A4A">
        <w:rPr>
          <w:rFonts w:ascii="Sylfaen" w:hAnsi="Sylfaen" w:cs="Times New Roman"/>
          <w:color w:val="auto"/>
          <w:sz w:val="22"/>
          <w:szCs w:val="22"/>
        </w:rPr>
        <w:t xml:space="preserve">ten </w:t>
      </w:r>
      <w:r w:rsidRPr="00034A4A">
        <w:rPr>
          <w:rFonts w:ascii="Sylfaen" w:hAnsi="Sylfaen" w:cs="Times New Roman"/>
          <w:color w:val="auto"/>
          <w:sz w:val="22"/>
          <w:szCs w:val="22"/>
        </w:rPr>
        <w:t xml:space="preserve">million between 2015 and 2030. Low levels of human capital constrain young Iraqis from engaging in productive activities. </w:t>
      </w:r>
      <w:r w:rsidRPr="00034A4A">
        <w:rPr>
          <w:rFonts w:ascii="Sylfaen" w:hAnsi="Sylfaen" w:cs="Times New Roman"/>
          <w:sz w:val="22"/>
          <w:szCs w:val="22"/>
        </w:rPr>
        <w:t xml:space="preserve">Of the </w:t>
      </w:r>
      <w:r w:rsidR="00AD33C9" w:rsidRPr="00034A4A">
        <w:rPr>
          <w:rFonts w:ascii="Sylfaen" w:hAnsi="Sylfaen" w:cs="Times New Roman"/>
          <w:sz w:val="22"/>
          <w:szCs w:val="22"/>
        </w:rPr>
        <w:t>seven</w:t>
      </w:r>
      <w:r w:rsidRPr="00034A4A">
        <w:rPr>
          <w:rFonts w:ascii="Sylfaen" w:hAnsi="Sylfaen" w:cs="Times New Roman"/>
          <w:sz w:val="22"/>
          <w:szCs w:val="22"/>
        </w:rPr>
        <w:t xml:space="preserve"> million Iraqi youth, over 3.4 million are out of school. </w:t>
      </w:r>
      <w:r w:rsidRPr="00034A4A">
        <w:rPr>
          <w:rFonts w:ascii="Sylfaen" w:hAnsi="Sylfaen" w:cs="Times New Roman"/>
          <w:bCs/>
          <w:sz w:val="22"/>
          <w:szCs w:val="22"/>
        </w:rPr>
        <w:t>In</w:t>
      </w:r>
      <w:r w:rsidRPr="00034A4A">
        <w:rPr>
          <w:rFonts w:ascii="Sylfaen" w:hAnsi="Sylfaen" w:cs="Times New Roman"/>
          <w:sz w:val="22"/>
          <w:szCs w:val="22"/>
        </w:rPr>
        <w:t>security, poor access to basic services and the dim prospect of finding a</w:t>
      </w:r>
      <w:r w:rsidR="009B0FBC" w:rsidRPr="00034A4A">
        <w:rPr>
          <w:rFonts w:ascii="Sylfaen" w:hAnsi="Sylfaen" w:cs="Times New Roman"/>
          <w:sz w:val="22"/>
          <w:szCs w:val="22"/>
        </w:rPr>
        <w:t xml:space="preserve"> satisfying</w:t>
      </w:r>
      <w:r w:rsidRPr="00034A4A">
        <w:rPr>
          <w:rFonts w:ascii="Sylfaen" w:hAnsi="Sylfaen" w:cs="Times New Roman"/>
          <w:sz w:val="22"/>
          <w:szCs w:val="22"/>
        </w:rPr>
        <w:t xml:space="preserve"> job anytime soon are recipes for distrust in </w:t>
      </w:r>
      <w:r w:rsidR="00DF280A">
        <w:rPr>
          <w:rFonts w:ascii="Sylfaen" w:hAnsi="Sylfaen" w:cs="Times New Roman"/>
          <w:sz w:val="22"/>
          <w:szCs w:val="22"/>
        </w:rPr>
        <w:t xml:space="preserve">the </w:t>
      </w:r>
      <w:r w:rsidRPr="00034A4A">
        <w:rPr>
          <w:rFonts w:ascii="Sylfaen" w:hAnsi="Sylfaen" w:cs="Times New Roman"/>
          <w:sz w:val="22"/>
          <w:szCs w:val="22"/>
        </w:rPr>
        <w:t>GOI</w:t>
      </w:r>
      <w:r w:rsidR="00DF280A">
        <w:rPr>
          <w:rFonts w:ascii="Sylfaen" w:hAnsi="Sylfaen" w:cs="Times New Roman"/>
          <w:sz w:val="22"/>
          <w:szCs w:val="22"/>
        </w:rPr>
        <w:t>,</w:t>
      </w:r>
      <w:r w:rsidRPr="00034A4A">
        <w:rPr>
          <w:rFonts w:ascii="Sylfaen" w:hAnsi="Sylfaen" w:cs="Times New Roman"/>
          <w:sz w:val="22"/>
          <w:szCs w:val="22"/>
        </w:rPr>
        <w:t xml:space="preserve"> </w:t>
      </w:r>
      <w:r w:rsidR="009B0FBC" w:rsidRPr="00034A4A">
        <w:rPr>
          <w:rFonts w:ascii="Sylfaen" w:hAnsi="Sylfaen" w:cs="Times New Roman"/>
          <w:sz w:val="22"/>
          <w:szCs w:val="22"/>
        </w:rPr>
        <w:t>disengagement from the project of rebuilding Iraq</w:t>
      </w:r>
      <w:r w:rsidRPr="00034A4A">
        <w:rPr>
          <w:rFonts w:ascii="Sylfaen" w:hAnsi="Sylfaen" w:cs="Times New Roman"/>
          <w:sz w:val="22"/>
          <w:szCs w:val="22"/>
        </w:rPr>
        <w:t xml:space="preserve">, and </w:t>
      </w:r>
      <w:r w:rsidR="00AD33C9" w:rsidRPr="00034A4A">
        <w:rPr>
          <w:rFonts w:ascii="Sylfaen" w:hAnsi="Sylfaen" w:cs="Times New Roman"/>
          <w:sz w:val="22"/>
          <w:szCs w:val="22"/>
        </w:rPr>
        <w:t xml:space="preserve">perhaps even </w:t>
      </w:r>
      <w:r w:rsidRPr="00034A4A">
        <w:rPr>
          <w:rFonts w:ascii="Sylfaen" w:hAnsi="Sylfaen" w:cs="Times New Roman"/>
          <w:sz w:val="22"/>
          <w:szCs w:val="22"/>
        </w:rPr>
        <w:t xml:space="preserve">a low opportunity cost of joining militias who offer </w:t>
      </w:r>
      <w:r w:rsidR="00AD33C9" w:rsidRPr="00034A4A">
        <w:rPr>
          <w:rFonts w:ascii="Sylfaen" w:hAnsi="Sylfaen" w:cs="Times New Roman"/>
          <w:sz w:val="22"/>
          <w:szCs w:val="22"/>
        </w:rPr>
        <w:t xml:space="preserve">significant </w:t>
      </w:r>
      <w:r w:rsidRPr="00034A4A">
        <w:rPr>
          <w:rFonts w:ascii="Sylfaen" w:hAnsi="Sylfaen" w:cs="Times New Roman"/>
          <w:sz w:val="22"/>
          <w:szCs w:val="22"/>
        </w:rPr>
        <w:t xml:space="preserve">sums of money </w:t>
      </w:r>
      <w:r w:rsidR="00AD33C9" w:rsidRPr="00034A4A">
        <w:rPr>
          <w:rFonts w:ascii="Sylfaen" w:hAnsi="Sylfaen" w:cs="Times New Roman"/>
          <w:sz w:val="22"/>
          <w:szCs w:val="22"/>
        </w:rPr>
        <w:t>to potential recruits</w:t>
      </w:r>
      <w:r w:rsidRPr="00034A4A">
        <w:rPr>
          <w:rFonts w:ascii="Sylfaen" w:hAnsi="Sylfaen" w:cs="Times New Roman"/>
          <w:sz w:val="22"/>
          <w:szCs w:val="22"/>
        </w:rPr>
        <w:t>.</w:t>
      </w:r>
    </w:p>
    <w:p w14:paraId="672572C2" w14:textId="22826A75" w:rsidR="00AD33C9" w:rsidRPr="00034A4A" w:rsidRDefault="00A56247" w:rsidP="008769F4">
      <w:pPr>
        <w:pStyle w:val="ListParagraph"/>
        <w:numPr>
          <w:ilvl w:val="0"/>
          <w:numId w:val="9"/>
        </w:numPr>
        <w:autoSpaceDE w:val="0"/>
        <w:autoSpaceDN w:val="0"/>
        <w:adjustRightInd w:val="0"/>
        <w:spacing w:after="120"/>
        <w:contextualSpacing w:val="0"/>
        <w:jc w:val="both"/>
        <w:rPr>
          <w:rFonts w:ascii="Sylfaen" w:hAnsi="Sylfaen" w:cs="Times New Roman"/>
          <w:bCs/>
          <w:color w:val="000000"/>
        </w:rPr>
      </w:pPr>
      <w:r w:rsidRPr="00011269">
        <w:rPr>
          <w:rFonts w:ascii="Sylfaen" w:hAnsi="Sylfaen" w:cs="Times New Roman"/>
          <w:b/>
          <w:bCs/>
          <w:color w:val="000000"/>
        </w:rPr>
        <w:t xml:space="preserve">Iraqi women </w:t>
      </w:r>
      <w:r w:rsidR="002F76D9" w:rsidRPr="00034A4A">
        <w:rPr>
          <w:rFonts w:ascii="Sylfaen" w:hAnsi="Sylfaen" w:cs="Times New Roman"/>
          <w:b/>
          <w:bCs/>
          <w:color w:val="000000"/>
        </w:rPr>
        <w:t xml:space="preserve">are well-represented </w:t>
      </w:r>
      <w:r w:rsidR="005863A8" w:rsidRPr="00034A4A">
        <w:rPr>
          <w:rFonts w:ascii="Sylfaen" w:hAnsi="Sylfaen" w:cs="Times New Roman"/>
          <w:b/>
          <w:bCs/>
          <w:color w:val="000000"/>
        </w:rPr>
        <w:t xml:space="preserve">in </w:t>
      </w:r>
      <w:r w:rsidRPr="00011269">
        <w:rPr>
          <w:rFonts w:ascii="Sylfaen" w:hAnsi="Sylfaen" w:cs="Times New Roman"/>
          <w:b/>
          <w:bCs/>
          <w:color w:val="000000"/>
        </w:rPr>
        <w:t>public sector employment</w:t>
      </w:r>
      <w:r w:rsidR="00C77EA0" w:rsidRPr="00034A4A">
        <w:rPr>
          <w:rFonts w:ascii="Sylfaen" w:hAnsi="Sylfaen" w:cs="Times New Roman"/>
          <w:b/>
          <w:bCs/>
          <w:color w:val="000000"/>
        </w:rPr>
        <w:t xml:space="preserve"> and have a strong position under labor law</w:t>
      </w:r>
      <w:r w:rsidR="005863A8" w:rsidRPr="00034A4A">
        <w:rPr>
          <w:rFonts w:ascii="Sylfaen" w:hAnsi="Sylfaen" w:cs="Times New Roman"/>
          <w:b/>
          <w:bCs/>
          <w:color w:val="000000"/>
        </w:rPr>
        <w:t xml:space="preserve">, but </w:t>
      </w:r>
      <w:r w:rsidR="00C77EA0" w:rsidRPr="00034A4A">
        <w:rPr>
          <w:rFonts w:ascii="Sylfaen" w:hAnsi="Sylfaen" w:cs="Times New Roman"/>
          <w:b/>
          <w:bCs/>
          <w:color w:val="000000"/>
        </w:rPr>
        <w:t xml:space="preserve">few </w:t>
      </w:r>
      <w:r w:rsidR="002F76D9" w:rsidRPr="00034A4A">
        <w:rPr>
          <w:rFonts w:ascii="Sylfaen" w:hAnsi="Sylfaen" w:cs="Times New Roman"/>
          <w:b/>
          <w:bCs/>
          <w:color w:val="000000"/>
        </w:rPr>
        <w:t>less educated women participate in the labor force</w:t>
      </w:r>
      <w:r w:rsidR="005863A8" w:rsidRPr="00034A4A">
        <w:rPr>
          <w:rFonts w:ascii="Sylfaen" w:hAnsi="Sylfaen" w:cs="Times New Roman"/>
          <w:b/>
          <w:bCs/>
          <w:color w:val="000000"/>
        </w:rPr>
        <w:t>.</w:t>
      </w:r>
      <w:r w:rsidR="005863A8" w:rsidRPr="00011269">
        <w:rPr>
          <w:rFonts w:ascii="Sylfaen" w:hAnsi="Sylfaen" w:cs="Times New Roman"/>
          <w:bCs/>
          <w:color w:val="000000"/>
        </w:rPr>
        <w:t xml:space="preserve"> </w:t>
      </w:r>
      <w:r w:rsidRPr="00011269">
        <w:rPr>
          <w:rFonts w:ascii="Sylfaen" w:hAnsi="Sylfaen" w:cs="Times New Roman"/>
          <w:bCs/>
          <w:color w:val="000000"/>
        </w:rPr>
        <w:t>Iraqi women have a strong presence in public sector employment, where they hold more than half of all positions. The law prohibits gender discrimination in hiring and firing decisions</w:t>
      </w:r>
      <w:r w:rsidR="002F76D9" w:rsidRPr="00034A4A">
        <w:rPr>
          <w:rFonts w:ascii="Sylfaen" w:hAnsi="Sylfaen" w:cs="Times New Roman"/>
          <w:bCs/>
          <w:color w:val="000000"/>
        </w:rPr>
        <w:t xml:space="preserve"> and provides for maternity leave</w:t>
      </w:r>
      <w:r w:rsidRPr="00011269">
        <w:rPr>
          <w:rFonts w:ascii="Sylfaen" w:hAnsi="Sylfaen" w:cs="Times New Roman"/>
          <w:bCs/>
          <w:color w:val="000000"/>
        </w:rPr>
        <w:t>.</w:t>
      </w:r>
      <w:r w:rsidRPr="00034A4A">
        <w:rPr>
          <w:rFonts w:ascii="Sylfaen" w:hAnsi="Sylfaen" w:cs="Times New Roman"/>
          <w:bCs/>
          <w:color w:val="000000"/>
        </w:rPr>
        <w:t xml:space="preserve"> At the same time, </w:t>
      </w:r>
      <w:r w:rsidR="006856AD" w:rsidRPr="00011269">
        <w:rPr>
          <w:rFonts w:ascii="Sylfaen" w:hAnsi="Sylfaen" w:cs="Times New Roman"/>
          <w:bCs/>
          <w:color w:val="000000"/>
        </w:rPr>
        <w:t xml:space="preserve">the </w:t>
      </w:r>
      <w:r w:rsidR="005863A8" w:rsidRPr="00011269">
        <w:rPr>
          <w:rFonts w:ascii="Sylfaen" w:hAnsi="Sylfaen" w:cs="Times New Roman"/>
          <w:bCs/>
          <w:color w:val="000000"/>
        </w:rPr>
        <w:t xml:space="preserve">modeled </w:t>
      </w:r>
      <w:r w:rsidR="006856AD" w:rsidRPr="00011269">
        <w:rPr>
          <w:rFonts w:ascii="Sylfaen" w:hAnsi="Sylfaen" w:cs="Times New Roman"/>
          <w:bCs/>
          <w:color w:val="000000"/>
        </w:rPr>
        <w:t xml:space="preserve">labor force participation rate (LFPR) for women </w:t>
      </w:r>
      <w:r w:rsidR="005863A8" w:rsidRPr="00011269">
        <w:rPr>
          <w:rFonts w:ascii="Sylfaen" w:hAnsi="Sylfaen" w:cs="Times New Roman"/>
          <w:bCs/>
          <w:color w:val="000000"/>
        </w:rPr>
        <w:t xml:space="preserve">in Iraq </w:t>
      </w:r>
      <w:r w:rsidR="006856AD" w:rsidRPr="00011269">
        <w:rPr>
          <w:rFonts w:ascii="Sylfaen" w:hAnsi="Sylfaen" w:cs="Times New Roman"/>
          <w:bCs/>
          <w:color w:val="000000"/>
        </w:rPr>
        <w:t xml:space="preserve">is </w:t>
      </w:r>
      <w:r w:rsidR="006856AD" w:rsidRPr="00034A4A">
        <w:rPr>
          <w:rFonts w:ascii="Sylfaen" w:hAnsi="Sylfaen" w:cs="Times New Roman"/>
          <w:bCs/>
          <w:color w:val="000000"/>
        </w:rPr>
        <w:t>1</w:t>
      </w:r>
      <w:r w:rsidR="005863A8" w:rsidRPr="00034A4A">
        <w:rPr>
          <w:rFonts w:ascii="Sylfaen" w:hAnsi="Sylfaen" w:cs="Times New Roman"/>
          <w:bCs/>
          <w:color w:val="000000"/>
        </w:rPr>
        <w:t>9</w:t>
      </w:r>
      <w:r w:rsidR="006856AD" w:rsidRPr="00034A4A">
        <w:rPr>
          <w:rFonts w:ascii="Sylfaen" w:hAnsi="Sylfaen" w:cs="Times New Roman"/>
          <w:bCs/>
          <w:color w:val="000000"/>
        </w:rPr>
        <w:t xml:space="preserve"> percent</w:t>
      </w:r>
      <w:r w:rsidR="005863A8" w:rsidRPr="00034A4A">
        <w:rPr>
          <w:rFonts w:ascii="Sylfaen" w:hAnsi="Sylfaen" w:cs="Times New Roman"/>
          <w:bCs/>
          <w:color w:val="000000"/>
        </w:rPr>
        <w:t>, compared to 74 percent among men – below the median among Arab countries</w:t>
      </w:r>
      <w:r w:rsidR="006856AD" w:rsidRPr="00034A4A">
        <w:rPr>
          <w:rFonts w:ascii="Sylfaen" w:hAnsi="Sylfaen" w:cs="Times New Roman"/>
          <w:bCs/>
          <w:color w:val="000000"/>
        </w:rPr>
        <w:t>.</w:t>
      </w:r>
      <w:r w:rsidR="00D53F1A">
        <w:rPr>
          <w:rStyle w:val="FootnoteReference"/>
          <w:rFonts w:ascii="Sylfaen" w:hAnsi="Sylfaen" w:cs="Times New Roman"/>
          <w:bCs/>
          <w:color w:val="000000"/>
        </w:rPr>
        <w:footnoteReference w:id="3"/>
      </w:r>
      <w:r w:rsidR="006856AD" w:rsidRPr="00034A4A">
        <w:rPr>
          <w:rFonts w:ascii="Sylfaen" w:hAnsi="Sylfaen" w:cs="Times New Roman"/>
          <w:bCs/>
          <w:color w:val="000000"/>
        </w:rPr>
        <w:t xml:space="preserve"> </w:t>
      </w:r>
      <w:r w:rsidR="005863A8" w:rsidRPr="00034A4A">
        <w:rPr>
          <w:rFonts w:ascii="Sylfaen" w:hAnsi="Sylfaen" w:cs="Times New Roman"/>
          <w:bCs/>
          <w:color w:val="000000"/>
        </w:rPr>
        <w:t xml:space="preserve">In particular, </w:t>
      </w:r>
      <w:r w:rsidR="005863A8" w:rsidRPr="00011269">
        <w:rPr>
          <w:rFonts w:ascii="Sylfaen" w:hAnsi="Sylfaen" w:cs="Times New Roman"/>
          <w:bCs/>
          <w:color w:val="000000"/>
        </w:rPr>
        <w:t xml:space="preserve">fewer than one in ten </w:t>
      </w:r>
      <w:r w:rsidR="006856AD" w:rsidRPr="00011269">
        <w:rPr>
          <w:rFonts w:ascii="Sylfaen" w:hAnsi="Sylfaen" w:cs="Times New Roman"/>
          <w:bCs/>
          <w:color w:val="000000"/>
        </w:rPr>
        <w:t>adult wom</w:t>
      </w:r>
      <w:r w:rsidR="005863A8" w:rsidRPr="00011269">
        <w:rPr>
          <w:rFonts w:ascii="Sylfaen" w:hAnsi="Sylfaen" w:cs="Times New Roman"/>
          <w:bCs/>
          <w:color w:val="000000"/>
        </w:rPr>
        <w:t>e</w:t>
      </w:r>
      <w:r w:rsidR="006856AD" w:rsidRPr="00011269">
        <w:rPr>
          <w:rFonts w:ascii="Sylfaen" w:hAnsi="Sylfaen" w:cs="Times New Roman"/>
          <w:bCs/>
          <w:color w:val="000000"/>
        </w:rPr>
        <w:t>n with intermediate or lower levels of education</w:t>
      </w:r>
      <w:r w:rsidR="005863A8" w:rsidRPr="00011269">
        <w:rPr>
          <w:rFonts w:ascii="Sylfaen" w:hAnsi="Sylfaen" w:cs="Times New Roman"/>
          <w:bCs/>
          <w:color w:val="000000"/>
        </w:rPr>
        <w:t xml:space="preserve"> participates in the labor market</w:t>
      </w:r>
      <w:r w:rsidR="006856AD" w:rsidRPr="00034A4A">
        <w:rPr>
          <w:rFonts w:ascii="Sylfaen" w:hAnsi="Sylfaen" w:cs="Times New Roman"/>
          <w:bCs/>
          <w:color w:val="000000"/>
        </w:rPr>
        <w:t>.</w:t>
      </w:r>
      <w:r w:rsidR="005863A8" w:rsidRPr="00034A4A">
        <w:rPr>
          <w:rFonts w:ascii="Sylfaen" w:hAnsi="Sylfaen" w:cs="Times New Roman"/>
          <w:bCs/>
          <w:color w:val="000000"/>
        </w:rPr>
        <w:t xml:space="preserve"> Women who do participate in the labor market are also more likely to be unemployed. I</w:t>
      </w:r>
      <w:r w:rsidR="00AD33C9" w:rsidRPr="00034A4A">
        <w:rPr>
          <w:rFonts w:ascii="Sylfaen" w:hAnsi="Sylfaen" w:cs="Times New Roman"/>
          <w:bCs/>
          <w:color w:val="000000"/>
        </w:rPr>
        <w:t>n 2016, a</w:t>
      </w:r>
      <w:r w:rsidR="00AD33C9" w:rsidRPr="00011269">
        <w:rPr>
          <w:rFonts w:ascii="Sylfaen" w:hAnsi="Sylfaen" w:cs="Times New Roman"/>
          <w:bCs/>
          <w:color w:val="000000"/>
        </w:rPr>
        <w:t xml:space="preserve">bout 27 percent of women </w:t>
      </w:r>
      <w:r w:rsidR="005863A8" w:rsidRPr="00011269">
        <w:rPr>
          <w:rFonts w:ascii="Sylfaen" w:hAnsi="Sylfaen" w:cs="Times New Roman"/>
          <w:bCs/>
          <w:color w:val="000000"/>
        </w:rPr>
        <w:t xml:space="preserve">of all ages </w:t>
      </w:r>
      <w:r w:rsidR="00AD33C9" w:rsidRPr="00011269">
        <w:rPr>
          <w:rFonts w:ascii="Sylfaen" w:hAnsi="Sylfaen" w:cs="Times New Roman"/>
          <w:bCs/>
          <w:color w:val="000000"/>
        </w:rPr>
        <w:t xml:space="preserve">were unemployed, </w:t>
      </w:r>
      <w:r w:rsidR="006856AD" w:rsidRPr="00011269">
        <w:rPr>
          <w:rFonts w:ascii="Sylfaen" w:hAnsi="Sylfaen" w:cs="Times New Roman"/>
          <w:bCs/>
          <w:color w:val="000000"/>
        </w:rPr>
        <w:t xml:space="preserve">compared </w:t>
      </w:r>
      <w:r w:rsidR="00AD33C9" w:rsidRPr="00011269">
        <w:rPr>
          <w:rFonts w:ascii="Sylfaen" w:hAnsi="Sylfaen" w:cs="Times New Roman"/>
          <w:bCs/>
          <w:color w:val="000000"/>
        </w:rPr>
        <w:t>to 14 percent of men; among youth, 65 percent of young women were unemployed compared to 32 percent of young men.</w:t>
      </w:r>
      <w:r w:rsidR="006856AD" w:rsidRPr="00034A4A">
        <w:rPr>
          <w:rStyle w:val="FootnoteReference"/>
          <w:rFonts w:ascii="Sylfaen" w:hAnsi="Sylfaen" w:cs="Times New Roman"/>
        </w:rPr>
        <w:footnoteReference w:id="4"/>
      </w:r>
    </w:p>
    <w:p w14:paraId="055CB49A" w14:textId="79590A23" w:rsidR="00234178" w:rsidRPr="00034A4A" w:rsidRDefault="00234178" w:rsidP="008769F4">
      <w:pPr>
        <w:pStyle w:val="ListParagraph"/>
        <w:numPr>
          <w:ilvl w:val="0"/>
          <w:numId w:val="9"/>
        </w:numPr>
        <w:autoSpaceDE w:val="0"/>
        <w:autoSpaceDN w:val="0"/>
        <w:adjustRightInd w:val="0"/>
        <w:spacing w:after="120"/>
        <w:contextualSpacing w:val="0"/>
        <w:jc w:val="both"/>
        <w:rPr>
          <w:rFonts w:ascii="Sylfaen" w:hAnsi="Sylfaen" w:cs="Times New Roman"/>
          <w:b/>
          <w:bCs/>
          <w:color w:val="000000"/>
        </w:rPr>
      </w:pPr>
      <w:r w:rsidRPr="00034A4A">
        <w:rPr>
          <w:rFonts w:ascii="Sylfaen" w:hAnsi="Sylfaen" w:cs="Times New Roman"/>
          <w:b/>
          <w:bCs/>
          <w:color w:val="000000"/>
        </w:rPr>
        <w:t xml:space="preserve">Protracted violence and </w:t>
      </w:r>
      <w:r w:rsidR="00AD33C9" w:rsidRPr="00034A4A">
        <w:rPr>
          <w:rFonts w:ascii="Sylfaen" w:hAnsi="Sylfaen" w:cs="Times New Roman"/>
          <w:b/>
          <w:bCs/>
          <w:color w:val="000000"/>
        </w:rPr>
        <w:t xml:space="preserve">the conflict with Daesh </w:t>
      </w:r>
      <w:r w:rsidRPr="00034A4A">
        <w:rPr>
          <w:rFonts w:ascii="Sylfaen" w:hAnsi="Sylfaen" w:cs="Times New Roman"/>
          <w:b/>
          <w:bCs/>
          <w:color w:val="000000"/>
        </w:rPr>
        <w:t>ha</w:t>
      </w:r>
      <w:r w:rsidR="006856AD" w:rsidRPr="00034A4A">
        <w:rPr>
          <w:rFonts w:ascii="Sylfaen" w:hAnsi="Sylfaen" w:cs="Times New Roman"/>
          <w:b/>
          <w:bCs/>
          <w:color w:val="000000"/>
        </w:rPr>
        <w:t>ve</w:t>
      </w:r>
      <w:r w:rsidRPr="00034A4A">
        <w:rPr>
          <w:rFonts w:ascii="Sylfaen" w:hAnsi="Sylfaen" w:cs="Times New Roman"/>
          <w:b/>
          <w:bCs/>
          <w:color w:val="000000"/>
        </w:rPr>
        <w:t xml:space="preserve"> reared a large population of IDPs. </w:t>
      </w:r>
      <w:r w:rsidR="006C705B" w:rsidRPr="00034A4A">
        <w:rPr>
          <w:rFonts w:ascii="Sylfaen" w:hAnsi="Sylfaen" w:cs="Times New Roman"/>
          <w:bCs/>
          <w:color w:val="000000"/>
        </w:rPr>
        <w:t xml:space="preserve">The challenge is further compounded by the fact that Iraq has experienced earlier waves of internal displacement in the course of the conflicts of the past decades. </w:t>
      </w:r>
      <w:r w:rsidRPr="00034A4A">
        <w:rPr>
          <w:rFonts w:ascii="Sylfaen" w:hAnsi="Sylfaen" w:cs="Times New Roman"/>
          <w:bCs/>
          <w:color w:val="000000"/>
        </w:rPr>
        <w:t xml:space="preserve">In </w:t>
      </w:r>
      <w:r w:rsidRPr="00034A4A">
        <w:rPr>
          <w:rFonts w:ascii="Sylfaen" w:hAnsi="Sylfaen" w:cs="Times New Roman"/>
          <w:color w:val="000000"/>
        </w:rPr>
        <w:t>2015, about 4.2 million Iraqis were IDP and an additional 300,000 were officially registered refugees</w:t>
      </w:r>
      <w:r w:rsidRPr="00034A4A">
        <w:rPr>
          <w:rStyle w:val="FootnoteReference"/>
          <w:rFonts w:ascii="Sylfaen" w:hAnsi="Sylfaen" w:cs="Times New Roman"/>
          <w:color w:val="000000"/>
        </w:rPr>
        <w:footnoteReference w:id="5"/>
      </w:r>
      <w:r w:rsidRPr="00034A4A">
        <w:rPr>
          <w:rFonts w:ascii="Sylfaen" w:hAnsi="Sylfaen" w:cs="Times New Roman"/>
          <w:color w:val="000000"/>
        </w:rPr>
        <w:t xml:space="preserve">. </w:t>
      </w:r>
      <w:r w:rsidRPr="00034A4A">
        <w:rPr>
          <w:rFonts w:ascii="Sylfaen" w:hAnsi="Sylfaen" w:cs="Times New Roman"/>
        </w:rPr>
        <w:t xml:space="preserve">About </w:t>
      </w:r>
      <w:r w:rsidRPr="00034A4A">
        <w:rPr>
          <w:rFonts w:ascii="Sylfaen" w:hAnsi="Sylfaen" w:cs="Times New Roman"/>
          <w:color w:val="000000"/>
        </w:rPr>
        <w:t xml:space="preserve">27 percent of the IDPs are unemployed. The most </w:t>
      </w:r>
      <w:r w:rsidRPr="00034A4A">
        <w:rPr>
          <w:rFonts w:ascii="Sylfaen" w:hAnsi="Sylfaen" w:cs="Times New Roman"/>
        </w:rPr>
        <w:t xml:space="preserve">vulnerable IDPs are women and children </w:t>
      </w:r>
      <w:r w:rsidR="006856AD" w:rsidRPr="00034A4A">
        <w:rPr>
          <w:rFonts w:ascii="Sylfaen" w:hAnsi="Sylfaen" w:cs="Times New Roman"/>
        </w:rPr>
        <w:t xml:space="preserve">– </w:t>
      </w:r>
      <w:r w:rsidRPr="00034A4A">
        <w:rPr>
          <w:rFonts w:ascii="Sylfaen" w:hAnsi="Sylfaen" w:cs="Times New Roman"/>
        </w:rPr>
        <w:t xml:space="preserve">49 percent are less than 18 years old. About 20 percent of the IDPs live in shelters/camps where service delivery is deplorable and less </w:t>
      </w:r>
      <w:r w:rsidRPr="00034A4A">
        <w:rPr>
          <w:rFonts w:ascii="Sylfaen" w:hAnsi="Sylfaen" w:cs="Times New Roman"/>
          <w:color w:val="000000"/>
        </w:rPr>
        <w:t>than half the children attend school. O</w:t>
      </w:r>
      <w:r w:rsidRPr="00034A4A">
        <w:rPr>
          <w:rFonts w:ascii="Sylfaen" w:hAnsi="Sylfaen" w:cs="Times New Roman"/>
          <w:bCs/>
          <w:color w:val="000000"/>
        </w:rPr>
        <w:t>pposition from m</w:t>
      </w:r>
      <w:r w:rsidRPr="00034A4A">
        <w:rPr>
          <w:rFonts w:ascii="Sylfaen" w:hAnsi="Sylfaen" w:cs="Times New Roman"/>
          <w:color w:val="000000"/>
        </w:rPr>
        <w:t xml:space="preserve">ilitia in liberated areas, and </w:t>
      </w:r>
      <w:r w:rsidRPr="00034A4A">
        <w:rPr>
          <w:rFonts w:ascii="Sylfaen" w:hAnsi="Sylfaen" w:cs="Times New Roman"/>
          <w:i/>
          <w:iCs/>
          <w:color w:val="000000"/>
        </w:rPr>
        <w:t xml:space="preserve">de facto </w:t>
      </w:r>
      <w:r w:rsidRPr="00034A4A">
        <w:rPr>
          <w:rFonts w:ascii="Sylfaen" w:hAnsi="Sylfaen" w:cs="Times New Roman"/>
          <w:color w:val="000000"/>
        </w:rPr>
        <w:t>restrictions on IDP movements could bar many</w:t>
      </w:r>
      <w:r w:rsidRPr="00034A4A">
        <w:rPr>
          <w:rFonts w:ascii="Sylfaen" w:hAnsi="Sylfaen" w:cs="Times New Roman"/>
          <w:bCs/>
          <w:color w:val="000000"/>
        </w:rPr>
        <w:t xml:space="preserve"> IDPs from returning to their homes (</w:t>
      </w:r>
      <w:r w:rsidRPr="00034A4A">
        <w:rPr>
          <w:rFonts w:ascii="Sylfaen" w:hAnsi="Sylfaen" w:cs="Times New Roman"/>
          <w:color w:val="000000"/>
        </w:rPr>
        <w:t>UNOCHA, 2015)</w:t>
      </w:r>
      <w:r w:rsidRPr="00034A4A">
        <w:rPr>
          <w:rFonts w:ascii="Sylfaen" w:hAnsi="Sylfaen" w:cs="Times New Roman"/>
          <w:bCs/>
          <w:color w:val="000000"/>
        </w:rPr>
        <w:t xml:space="preserve">. A </w:t>
      </w:r>
      <w:r w:rsidR="00430B21">
        <w:rPr>
          <w:rFonts w:ascii="Sylfaen" w:hAnsi="Sylfaen" w:cs="Times New Roman"/>
          <w:bCs/>
          <w:color w:val="000000"/>
        </w:rPr>
        <w:t xml:space="preserve">dignified </w:t>
      </w:r>
      <w:r w:rsidRPr="00034A4A">
        <w:rPr>
          <w:rFonts w:ascii="Sylfaen" w:hAnsi="Sylfaen" w:cs="Times New Roman"/>
          <w:bCs/>
          <w:color w:val="000000"/>
        </w:rPr>
        <w:t>life for this set of IDPs depends on acceptance and integration with their host communities</w:t>
      </w:r>
      <w:r w:rsidR="006856AD" w:rsidRPr="00034A4A">
        <w:rPr>
          <w:rFonts w:ascii="Sylfaen" w:hAnsi="Sylfaen" w:cs="Times New Roman"/>
          <w:bCs/>
          <w:color w:val="000000"/>
        </w:rPr>
        <w:t>. Yet,</w:t>
      </w:r>
      <w:r w:rsidRPr="00034A4A">
        <w:rPr>
          <w:rFonts w:ascii="Sylfaen" w:hAnsi="Sylfaen" w:cs="Times New Roman"/>
          <w:bCs/>
          <w:color w:val="000000"/>
        </w:rPr>
        <w:t xml:space="preserve"> this requires economic self-sufficiency which is constrained by the </w:t>
      </w:r>
      <w:r w:rsidR="00E64873" w:rsidRPr="00034A4A">
        <w:rPr>
          <w:rFonts w:ascii="Sylfaen" w:hAnsi="Sylfaen" w:cs="Times New Roman"/>
          <w:bCs/>
          <w:color w:val="000000"/>
        </w:rPr>
        <w:t xml:space="preserve">lack </w:t>
      </w:r>
      <w:r w:rsidRPr="00034A4A">
        <w:rPr>
          <w:rFonts w:ascii="Sylfaen" w:hAnsi="Sylfaen" w:cs="Times New Roman"/>
          <w:bCs/>
          <w:color w:val="000000"/>
        </w:rPr>
        <w:t xml:space="preserve">of </w:t>
      </w:r>
      <w:r w:rsidRPr="00034A4A">
        <w:rPr>
          <w:rFonts w:ascii="Sylfaen" w:hAnsi="Sylfaen" w:cs="Times New Roman"/>
          <w:color w:val="000000"/>
        </w:rPr>
        <w:t xml:space="preserve">jobs and access to basic services. </w:t>
      </w:r>
      <w:r w:rsidR="006856AD" w:rsidRPr="00034A4A">
        <w:rPr>
          <w:rFonts w:ascii="Sylfaen" w:hAnsi="Sylfaen" w:cs="Times New Roman"/>
          <w:color w:val="000000"/>
        </w:rPr>
        <w:t xml:space="preserve">For </w:t>
      </w:r>
      <w:r w:rsidRPr="00034A4A">
        <w:rPr>
          <w:rFonts w:ascii="Sylfaen" w:hAnsi="Sylfaen" w:cs="Times New Roman"/>
          <w:color w:val="000000"/>
        </w:rPr>
        <w:t>IDPs who can return and reintegrate with their communities</w:t>
      </w:r>
      <w:r w:rsidR="006856AD" w:rsidRPr="00034A4A">
        <w:rPr>
          <w:rFonts w:ascii="Sylfaen" w:hAnsi="Sylfaen" w:cs="Times New Roman"/>
          <w:color w:val="000000"/>
        </w:rPr>
        <w:t>, jobs are also a necessity</w:t>
      </w:r>
      <w:r w:rsidRPr="00034A4A">
        <w:rPr>
          <w:rFonts w:ascii="Sylfaen" w:hAnsi="Sylfaen" w:cs="Times New Roman"/>
          <w:color w:val="000000"/>
        </w:rPr>
        <w:t>.</w:t>
      </w:r>
      <w:r w:rsidR="006C705B" w:rsidRPr="00034A4A">
        <w:rPr>
          <w:rFonts w:ascii="Sylfaen" w:hAnsi="Sylfaen" w:cs="Times New Roman"/>
          <w:color w:val="000000"/>
        </w:rPr>
        <w:t xml:space="preserve"> Integration of both groups – those able to return to their homes and those who settle elsewhere in Iraq – also depends on ensuring that the communities they return to or remain with have sufficient job opportunities. </w:t>
      </w:r>
    </w:p>
    <w:p w14:paraId="43953FF1" w14:textId="076EDE4A" w:rsidR="00C634DA" w:rsidRPr="00034A4A" w:rsidRDefault="001F7274" w:rsidP="008769F4">
      <w:pPr>
        <w:spacing w:after="120"/>
        <w:jc w:val="both"/>
        <w:rPr>
          <w:rFonts w:ascii="Sylfaen" w:hAnsi="Sylfaen" w:cs="Times New Roman"/>
        </w:rPr>
      </w:pPr>
      <w:r w:rsidRPr="00034A4A">
        <w:rPr>
          <w:rFonts w:ascii="Sylfaen" w:hAnsi="Sylfaen" w:cs="Times New Roman"/>
          <w:b/>
        </w:rPr>
        <w:t xml:space="preserve">Lack of progress on jobs </w:t>
      </w:r>
      <w:r w:rsidR="00C634DA" w:rsidRPr="00034A4A">
        <w:rPr>
          <w:rFonts w:ascii="Sylfaen" w:hAnsi="Sylfaen" w:cs="Times New Roman"/>
          <w:b/>
        </w:rPr>
        <w:t>could undermine trust</w:t>
      </w:r>
      <w:r w:rsidR="00430B21">
        <w:rPr>
          <w:rFonts w:ascii="Sylfaen" w:hAnsi="Sylfaen" w:cs="Times New Roman"/>
          <w:b/>
        </w:rPr>
        <w:t xml:space="preserve"> in the GOI</w:t>
      </w:r>
      <w:r w:rsidR="00C634DA" w:rsidRPr="00034A4A">
        <w:rPr>
          <w:rFonts w:ascii="Sylfaen" w:hAnsi="Sylfaen" w:cs="Times New Roman"/>
          <w:b/>
        </w:rPr>
        <w:t xml:space="preserve">. </w:t>
      </w:r>
      <w:r w:rsidR="00C634DA" w:rsidRPr="00034A4A">
        <w:rPr>
          <w:rFonts w:ascii="Sylfaen" w:hAnsi="Sylfaen" w:cs="Times New Roman"/>
        </w:rPr>
        <w:t>Iraq is still emerging from the shadows of one of the most sinister regional conflicts</w:t>
      </w:r>
      <w:r w:rsidR="00430B21">
        <w:rPr>
          <w:rFonts w:ascii="Sylfaen" w:hAnsi="Sylfaen" w:cs="Times New Roman"/>
        </w:rPr>
        <w:t xml:space="preserve"> which witnessed</w:t>
      </w:r>
      <w:r w:rsidR="00C634DA" w:rsidRPr="00034A4A">
        <w:rPr>
          <w:rFonts w:ascii="Sylfaen" w:hAnsi="Sylfaen" w:cs="Times New Roman"/>
        </w:rPr>
        <w:t xml:space="preserve"> the radicalization of </w:t>
      </w:r>
      <w:r w:rsidRPr="00034A4A">
        <w:rPr>
          <w:rFonts w:ascii="Sylfaen" w:hAnsi="Sylfaen" w:cs="Times New Roman"/>
        </w:rPr>
        <w:t xml:space="preserve">some </w:t>
      </w:r>
      <w:r w:rsidR="00C634DA" w:rsidRPr="00034A4A">
        <w:rPr>
          <w:rFonts w:ascii="Sylfaen" w:hAnsi="Sylfaen" w:cs="Times New Roman"/>
        </w:rPr>
        <w:t xml:space="preserve">youth, amid a climate of </w:t>
      </w:r>
      <w:r w:rsidR="00542FD6" w:rsidRPr="00034A4A">
        <w:rPr>
          <w:rFonts w:ascii="Sylfaen" w:hAnsi="Sylfaen" w:cs="Times New Roman"/>
        </w:rPr>
        <w:t xml:space="preserve">tension between communities </w:t>
      </w:r>
      <w:r w:rsidR="00C634DA" w:rsidRPr="00034A4A">
        <w:rPr>
          <w:rFonts w:ascii="Sylfaen" w:hAnsi="Sylfaen" w:cs="Times New Roman"/>
        </w:rPr>
        <w:t xml:space="preserve">and frustration over a lack of life prospects. </w:t>
      </w:r>
      <w:r w:rsidRPr="00034A4A">
        <w:rPr>
          <w:rFonts w:ascii="Sylfaen" w:hAnsi="Sylfaen" w:cs="Times New Roman"/>
        </w:rPr>
        <w:t xml:space="preserve">The GOI supports a large public payroll, but there is distrust in the GOI’s ability to create jobs at the scale and with the speed Iraqi youth expect. There also is a fear opportunities may be parceled out to preferred groups. </w:t>
      </w:r>
      <w:r w:rsidR="00C634DA" w:rsidRPr="00034A4A">
        <w:rPr>
          <w:rFonts w:ascii="Sylfaen" w:hAnsi="Sylfaen" w:cs="Times New Roman"/>
        </w:rPr>
        <w:t>If joblessness</w:t>
      </w:r>
      <w:r w:rsidRPr="00034A4A">
        <w:rPr>
          <w:rFonts w:ascii="Sylfaen" w:hAnsi="Sylfaen" w:cs="Times New Roman"/>
        </w:rPr>
        <w:t xml:space="preserve"> – </w:t>
      </w:r>
      <w:r w:rsidR="00C634DA" w:rsidRPr="00034A4A">
        <w:rPr>
          <w:rFonts w:ascii="Sylfaen" w:hAnsi="Sylfaen" w:cs="Times New Roman"/>
        </w:rPr>
        <w:t xml:space="preserve">especially among youth </w:t>
      </w:r>
      <w:r w:rsidRPr="00034A4A">
        <w:rPr>
          <w:rFonts w:ascii="Sylfaen" w:hAnsi="Sylfaen" w:cs="Times New Roman"/>
        </w:rPr>
        <w:t xml:space="preserve">– </w:t>
      </w:r>
      <w:r w:rsidR="00C634DA" w:rsidRPr="00034A4A">
        <w:rPr>
          <w:rFonts w:ascii="Sylfaen" w:hAnsi="Sylfaen" w:cs="Times New Roman"/>
        </w:rPr>
        <w:t xml:space="preserve">persists, </w:t>
      </w:r>
      <w:r w:rsidR="00DA08AF" w:rsidRPr="00034A4A">
        <w:rPr>
          <w:rFonts w:ascii="Sylfaen" w:hAnsi="Sylfaen" w:cs="Times New Roman"/>
        </w:rPr>
        <w:t xml:space="preserve">the GOI </w:t>
      </w:r>
      <w:r w:rsidR="009B0FBC" w:rsidRPr="00034A4A">
        <w:rPr>
          <w:rFonts w:ascii="Sylfaen" w:hAnsi="Sylfaen" w:cs="Times New Roman"/>
        </w:rPr>
        <w:t xml:space="preserve">risks losing the </w:t>
      </w:r>
      <w:r w:rsidR="00DA08AF" w:rsidRPr="00034A4A">
        <w:rPr>
          <w:rFonts w:ascii="Sylfaen" w:hAnsi="Sylfaen" w:cs="Times New Roman"/>
        </w:rPr>
        <w:t xml:space="preserve">confidence of </w:t>
      </w:r>
      <w:r w:rsidRPr="00034A4A">
        <w:rPr>
          <w:rFonts w:ascii="Sylfaen" w:hAnsi="Sylfaen" w:cs="Times New Roman"/>
        </w:rPr>
        <w:t xml:space="preserve">its </w:t>
      </w:r>
      <w:r w:rsidR="00DA08AF" w:rsidRPr="00034A4A">
        <w:rPr>
          <w:rFonts w:ascii="Sylfaen" w:hAnsi="Sylfaen" w:cs="Times New Roman"/>
        </w:rPr>
        <w:t xml:space="preserve">most important constituency </w:t>
      </w:r>
      <w:r w:rsidRPr="00034A4A">
        <w:rPr>
          <w:rFonts w:ascii="Sylfaen" w:hAnsi="Sylfaen" w:cs="Times New Roman"/>
        </w:rPr>
        <w:t xml:space="preserve">in the task </w:t>
      </w:r>
      <w:r w:rsidR="00DA08AF" w:rsidRPr="00034A4A">
        <w:rPr>
          <w:rFonts w:ascii="Sylfaen" w:hAnsi="Sylfaen" w:cs="Times New Roman"/>
        </w:rPr>
        <w:t xml:space="preserve">of rebuilding Iraq; joblessness even risks reviving </w:t>
      </w:r>
      <w:r w:rsidR="00C634DA" w:rsidRPr="00034A4A">
        <w:rPr>
          <w:rFonts w:ascii="Sylfaen" w:hAnsi="Sylfaen" w:cs="Times New Roman"/>
        </w:rPr>
        <w:t xml:space="preserve">radicalization </w:t>
      </w:r>
      <w:r w:rsidR="00DA08AF" w:rsidRPr="00034A4A">
        <w:rPr>
          <w:rFonts w:ascii="Sylfaen" w:hAnsi="Sylfaen" w:cs="Times New Roman"/>
        </w:rPr>
        <w:t xml:space="preserve">that could </w:t>
      </w:r>
      <w:r w:rsidR="00C634DA" w:rsidRPr="00034A4A">
        <w:rPr>
          <w:rFonts w:ascii="Sylfaen" w:hAnsi="Sylfaen" w:cs="Times New Roman"/>
        </w:rPr>
        <w:t xml:space="preserve">disrupt political and economic stability. </w:t>
      </w:r>
    </w:p>
    <w:p w14:paraId="7ED35156" w14:textId="4AFD72A0" w:rsidR="00976938" w:rsidRPr="00034A4A" w:rsidRDefault="00976938" w:rsidP="008769F4">
      <w:pPr>
        <w:spacing w:after="120"/>
        <w:jc w:val="both"/>
        <w:rPr>
          <w:rFonts w:ascii="Sylfaen" w:hAnsi="Sylfaen" w:cs="Times New Roman"/>
          <w:color w:val="0070C0"/>
        </w:rPr>
      </w:pPr>
      <w:r w:rsidRPr="00034A4A">
        <w:rPr>
          <w:rFonts w:ascii="Sylfaen" w:hAnsi="Sylfaen" w:cs="Times New Roman"/>
          <w:b/>
        </w:rPr>
        <w:t>Iraq’s history attests to its potential to rise to the current jobs challenges.</w:t>
      </w:r>
      <w:r w:rsidRPr="00034A4A">
        <w:rPr>
          <w:rFonts w:ascii="Sylfaen" w:hAnsi="Sylfaen" w:cs="Times New Roman"/>
        </w:rPr>
        <w:t xml:space="preserve"> </w:t>
      </w:r>
      <w:r w:rsidR="005A3DDD" w:rsidRPr="00034A4A">
        <w:rPr>
          <w:rFonts w:ascii="Sylfaen" w:hAnsi="Sylfaen" w:cs="Times New Roman"/>
        </w:rPr>
        <w:t xml:space="preserve">Iraq’s economy </w:t>
      </w:r>
      <w:r w:rsidR="00B94CBD" w:rsidRPr="00034A4A">
        <w:rPr>
          <w:rFonts w:ascii="Sylfaen" w:hAnsi="Sylfaen" w:cs="Times New Roman"/>
        </w:rPr>
        <w:t xml:space="preserve">faces a difficult legacy of decades of conflict and sanctions. However, in considering the challenges of the present, it is worth recalling that history also demonstrates that Iraq can </w:t>
      </w:r>
      <w:r w:rsidR="000A6E2B" w:rsidRPr="00034A4A">
        <w:rPr>
          <w:rFonts w:ascii="Sylfaen" w:hAnsi="Sylfaen" w:cs="Times New Roman"/>
        </w:rPr>
        <w:t>make significant strides toward an economy</w:t>
      </w:r>
      <w:r w:rsidR="00B94CBD" w:rsidRPr="00034A4A">
        <w:rPr>
          <w:rFonts w:ascii="Sylfaen" w:hAnsi="Sylfaen" w:cs="Times New Roman"/>
        </w:rPr>
        <w:t xml:space="preserve"> that generates good jobs. </w:t>
      </w:r>
      <w:r w:rsidR="003F5F6B" w:rsidRPr="00034A4A">
        <w:rPr>
          <w:rFonts w:ascii="Sylfaen" w:hAnsi="Sylfaen" w:cs="Times New Roman"/>
        </w:rPr>
        <w:t>Indeed, before its long period of instability, Iraq had</w:t>
      </w:r>
      <w:r w:rsidR="00692D88" w:rsidRPr="00034A4A">
        <w:rPr>
          <w:rFonts w:ascii="Sylfaen" w:hAnsi="Sylfaen" w:cs="Times New Roman"/>
        </w:rPr>
        <w:t xml:space="preserve"> a</w:t>
      </w:r>
      <w:r w:rsidR="003F5F6B" w:rsidRPr="00034A4A">
        <w:rPr>
          <w:rFonts w:ascii="Sylfaen" w:hAnsi="Sylfaen" w:cs="Times New Roman"/>
        </w:rPr>
        <w:t xml:space="preserve"> comparatively strong infrastructure, as well as </w:t>
      </w:r>
      <w:r w:rsidR="00692D88" w:rsidRPr="00034A4A">
        <w:rPr>
          <w:rFonts w:ascii="Sylfaen" w:hAnsi="Sylfaen" w:cs="Times New Roman"/>
        </w:rPr>
        <w:t xml:space="preserve">an </w:t>
      </w:r>
      <w:r w:rsidR="003F5F6B" w:rsidRPr="00034A4A">
        <w:rPr>
          <w:rFonts w:ascii="Sylfaen" w:hAnsi="Sylfaen" w:cs="Times New Roman"/>
        </w:rPr>
        <w:t xml:space="preserve">education system </w:t>
      </w:r>
      <w:r w:rsidR="00692D88" w:rsidRPr="00034A4A">
        <w:rPr>
          <w:rFonts w:ascii="Sylfaen" w:hAnsi="Sylfaen" w:cs="Times New Roman"/>
        </w:rPr>
        <w:t xml:space="preserve">at the top of the region, </w:t>
      </w:r>
      <w:r w:rsidR="003F5F6B" w:rsidRPr="00034A4A">
        <w:rPr>
          <w:rFonts w:ascii="Sylfaen" w:hAnsi="Sylfaen" w:cs="Times New Roman"/>
        </w:rPr>
        <w:t xml:space="preserve">and a well-skilled workforce. </w:t>
      </w:r>
      <w:r w:rsidR="00752E68" w:rsidRPr="00034A4A">
        <w:rPr>
          <w:rFonts w:ascii="Sylfaen" w:hAnsi="Sylfaen" w:cs="Times New Roman"/>
        </w:rPr>
        <w:t>Some o</w:t>
      </w:r>
      <w:r w:rsidR="003F5F6B" w:rsidRPr="00034A4A">
        <w:rPr>
          <w:rFonts w:ascii="Sylfaen" w:hAnsi="Sylfaen" w:cs="Times New Roman"/>
        </w:rPr>
        <w:t xml:space="preserve">il revenue had been invested with the goal of diversification in mind, creating </w:t>
      </w:r>
      <w:r w:rsidR="00692D88" w:rsidRPr="00034A4A">
        <w:rPr>
          <w:rFonts w:ascii="Sylfaen" w:hAnsi="Sylfaen" w:cs="Times New Roman"/>
        </w:rPr>
        <w:t xml:space="preserve">a substantial light manufacturing sector, as well as </w:t>
      </w:r>
      <w:r w:rsidR="003F5F6B" w:rsidRPr="00034A4A">
        <w:rPr>
          <w:rFonts w:ascii="Sylfaen" w:hAnsi="Sylfaen" w:cs="Times New Roman"/>
        </w:rPr>
        <w:t>economic zones hosting heavy industry</w:t>
      </w:r>
      <w:r w:rsidR="00692D88" w:rsidRPr="00034A4A">
        <w:rPr>
          <w:rFonts w:ascii="Sylfaen" w:hAnsi="Sylfaen" w:cs="Times New Roman"/>
        </w:rPr>
        <w:t>.</w:t>
      </w:r>
      <w:r w:rsidR="003F5F6B" w:rsidRPr="00034A4A">
        <w:rPr>
          <w:rFonts w:ascii="Sylfaen" w:hAnsi="Sylfaen" w:cs="Times New Roman"/>
        </w:rPr>
        <w:t xml:space="preserve"> </w:t>
      </w:r>
      <w:r w:rsidR="00814F52" w:rsidRPr="00034A4A">
        <w:rPr>
          <w:rFonts w:ascii="Sylfaen" w:hAnsi="Sylfaen" w:cs="Times New Roman"/>
        </w:rPr>
        <w:t xml:space="preserve">These past experiences do not </w:t>
      </w:r>
      <w:r w:rsidR="00752E68" w:rsidRPr="00034A4A">
        <w:rPr>
          <w:rFonts w:ascii="Sylfaen" w:hAnsi="Sylfaen" w:cs="Times New Roman"/>
        </w:rPr>
        <w:t>translate directly into a plan for the future. But they can build confidence that Iraq can succeed in overcoming its current difficult situation.</w:t>
      </w:r>
    </w:p>
    <w:p w14:paraId="0481A282" w14:textId="77777777" w:rsidR="00614C3C" w:rsidRDefault="00614C3C">
      <w:pPr>
        <w:rPr>
          <w:rFonts w:ascii="Sylfaen" w:hAnsi="Sylfaen" w:cs="Times New Roman"/>
          <w:color w:val="0070C0"/>
        </w:rPr>
      </w:pPr>
      <w:r>
        <w:rPr>
          <w:rFonts w:ascii="Sylfaen" w:hAnsi="Sylfaen" w:cs="Times New Roman"/>
          <w:color w:val="0070C0"/>
        </w:rPr>
        <w:br w:type="page"/>
      </w:r>
    </w:p>
    <w:p w14:paraId="60A110E9" w14:textId="14866FF4" w:rsidR="00D506F6" w:rsidRPr="00034A4A" w:rsidRDefault="00C526FB" w:rsidP="008769F4">
      <w:pPr>
        <w:spacing w:after="120"/>
        <w:jc w:val="both"/>
        <w:rPr>
          <w:rFonts w:ascii="Sylfaen" w:hAnsi="Sylfaen" w:cs="Times New Roman"/>
          <w:color w:val="0070C0"/>
        </w:rPr>
      </w:pPr>
      <w:r w:rsidRPr="00034A4A">
        <w:rPr>
          <w:rFonts w:ascii="Sylfaen" w:hAnsi="Sylfaen" w:cs="Times New Roman"/>
          <w:color w:val="0070C0"/>
        </w:rPr>
        <w:t>Obstacles to job creation</w:t>
      </w:r>
    </w:p>
    <w:p w14:paraId="7BA5C11A" w14:textId="3C0DF7A8" w:rsidR="00225053" w:rsidRPr="00034A4A" w:rsidRDefault="00C526FB" w:rsidP="008769F4">
      <w:pPr>
        <w:autoSpaceDE w:val="0"/>
        <w:autoSpaceDN w:val="0"/>
        <w:adjustRightInd w:val="0"/>
        <w:spacing w:after="120"/>
        <w:jc w:val="both"/>
        <w:rPr>
          <w:rFonts w:ascii="Sylfaen" w:hAnsi="Sylfaen" w:cs="Times New Roman"/>
        </w:rPr>
      </w:pPr>
      <w:r w:rsidRPr="00034A4A">
        <w:rPr>
          <w:rFonts w:ascii="Sylfaen" w:hAnsi="Sylfaen" w:cs="Times New Roman"/>
          <w:b/>
          <w:bCs/>
        </w:rPr>
        <w:t xml:space="preserve">Business climate reforms </w:t>
      </w:r>
      <w:r w:rsidR="009D0FB2" w:rsidRPr="00034A4A">
        <w:rPr>
          <w:rFonts w:ascii="Sylfaen" w:hAnsi="Sylfaen" w:cs="Times New Roman"/>
          <w:b/>
          <w:bCs/>
        </w:rPr>
        <w:t xml:space="preserve">must </w:t>
      </w:r>
      <w:r w:rsidRPr="00034A4A">
        <w:rPr>
          <w:rFonts w:ascii="Sylfaen" w:hAnsi="Sylfaen" w:cs="Times New Roman"/>
          <w:b/>
          <w:bCs/>
        </w:rPr>
        <w:t>begin</w:t>
      </w:r>
      <w:r w:rsidR="009D0FB2" w:rsidRPr="00034A4A">
        <w:rPr>
          <w:rFonts w:ascii="Sylfaen" w:hAnsi="Sylfaen" w:cs="Times New Roman"/>
          <w:b/>
          <w:bCs/>
        </w:rPr>
        <w:t xml:space="preserve"> now</w:t>
      </w:r>
      <w:r w:rsidR="00B000F7" w:rsidRPr="00034A4A">
        <w:rPr>
          <w:rFonts w:ascii="Sylfaen" w:hAnsi="Sylfaen" w:cs="Times New Roman"/>
          <w:b/>
          <w:bCs/>
        </w:rPr>
        <w:t xml:space="preserve">, </w:t>
      </w:r>
      <w:r w:rsidR="00F62FA4" w:rsidRPr="00034A4A">
        <w:rPr>
          <w:rFonts w:ascii="Sylfaen" w:hAnsi="Sylfaen" w:cs="Times New Roman"/>
          <w:b/>
          <w:bCs/>
        </w:rPr>
        <w:t>b</w:t>
      </w:r>
      <w:r w:rsidR="00225053" w:rsidRPr="00034A4A">
        <w:rPr>
          <w:rFonts w:ascii="Sylfaen" w:hAnsi="Sylfaen" w:cs="Times New Roman"/>
          <w:b/>
          <w:bCs/>
        </w:rPr>
        <w:t xml:space="preserve">ut </w:t>
      </w:r>
      <w:r w:rsidR="00F62FA4" w:rsidRPr="00034A4A">
        <w:rPr>
          <w:rFonts w:ascii="Sylfaen" w:hAnsi="Sylfaen" w:cs="Times New Roman"/>
          <w:b/>
          <w:bCs/>
        </w:rPr>
        <w:t xml:space="preserve">private sector job creation is </w:t>
      </w:r>
      <w:r w:rsidR="00225053" w:rsidRPr="00034A4A">
        <w:rPr>
          <w:rFonts w:ascii="Sylfaen" w:hAnsi="Sylfaen" w:cs="Times New Roman"/>
          <w:b/>
          <w:bCs/>
        </w:rPr>
        <w:t>a longer-term agenda</w:t>
      </w:r>
      <w:r w:rsidRPr="00034A4A">
        <w:rPr>
          <w:rFonts w:ascii="Sylfaen" w:hAnsi="Sylfaen" w:cs="Times New Roman"/>
          <w:b/>
          <w:bCs/>
        </w:rPr>
        <w:t>.</w:t>
      </w:r>
      <w:r w:rsidRPr="00034A4A">
        <w:rPr>
          <w:rFonts w:ascii="Sylfaen" w:hAnsi="Sylfaen" w:cs="Times New Roman"/>
          <w:bCs/>
          <w:i/>
        </w:rPr>
        <w:t xml:space="preserve"> </w:t>
      </w:r>
      <w:r w:rsidR="00296E26" w:rsidRPr="00034A4A">
        <w:rPr>
          <w:rFonts w:ascii="Sylfaen" w:hAnsi="Sylfaen" w:cs="Times New Roman"/>
          <w:bCs/>
        </w:rPr>
        <w:t xml:space="preserve">In a conflict-free country, a vibrant private sector is the passport to job creation. In Iraq, however, limited </w:t>
      </w:r>
      <w:r w:rsidR="00296E26" w:rsidRPr="00034A4A">
        <w:rPr>
          <w:rFonts w:ascii="Sylfaen" w:hAnsi="Sylfaen" w:cs="Times New Roman"/>
        </w:rPr>
        <w:t xml:space="preserve">growth in the private sector is a direct hurdle to large-scale employment creation, especially for young Iraqis. </w:t>
      </w:r>
      <w:r w:rsidR="00FA7075" w:rsidRPr="00034A4A">
        <w:rPr>
          <w:rFonts w:ascii="Sylfaen" w:hAnsi="Sylfaen" w:cs="Times New Roman"/>
        </w:rPr>
        <w:t xml:space="preserve">The lack of private sector dynamics is </w:t>
      </w:r>
      <w:r w:rsidR="00B000F7" w:rsidRPr="00034A4A">
        <w:rPr>
          <w:rFonts w:ascii="Sylfaen" w:hAnsi="Sylfaen" w:cs="Times New Roman"/>
        </w:rPr>
        <w:t xml:space="preserve">in important part due to the </w:t>
      </w:r>
      <w:r w:rsidR="00270536" w:rsidRPr="00034A4A">
        <w:rPr>
          <w:rFonts w:ascii="Sylfaen" w:hAnsi="Sylfaen" w:cs="Times New Roman"/>
          <w:bCs/>
        </w:rPr>
        <w:t xml:space="preserve">rapidly shifting </w:t>
      </w:r>
      <w:r w:rsidR="00270536" w:rsidRPr="00034A4A">
        <w:rPr>
          <w:rFonts w:ascii="Sylfaen" w:hAnsi="Sylfaen" w:cs="Times New Roman"/>
        </w:rPr>
        <w:t xml:space="preserve">security, social and political conditions, </w:t>
      </w:r>
      <w:r w:rsidR="00863F3C" w:rsidRPr="00034A4A">
        <w:rPr>
          <w:rFonts w:ascii="Sylfaen" w:hAnsi="Sylfaen" w:cs="Times New Roman"/>
        </w:rPr>
        <w:t>and governance deficits that see Iraq persistently ranked around or below the tenth percentile globally in governance indices.</w:t>
      </w:r>
      <w:r w:rsidR="00863F3C" w:rsidRPr="00034A4A">
        <w:rPr>
          <w:rStyle w:val="FootnoteReference"/>
          <w:rFonts w:ascii="Sylfaen" w:hAnsi="Sylfaen" w:cs="Times New Roman"/>
        </w:rPr>
        <w:footnoteReference w:id="6"/>
      </w:r>
      <w:r w:rsidR="00863F3C" w:rsidRPr="00034A4A">
        <w:rPr>
          <w:rFonts w:ascii="Sylfaen" w:hAnsi="Sylfaen" w:cs="Times New Roman"/>
        </w:rPr>
        <w:t xml:space="preserve"> </w:t>
      </w:r>
      <w:r w:rsidR="00C9221B" w:rsidRPr="00034A4A">
        <w:rPr>
          <w:rFonts w:ascii="Sylfaen" w:hAnsi="Sylfaen" w:cs="Times New Roman"/>
        </w:rPr>
        <w:t xml:space="preserve">Stability, reconciliation, and fulfilling the GOI’s </w:t>
      </w:r>
      <w:r w:rsidR="00C9221B" w:rsidRPr="00011269">
        <w:rPr>
          <w:rFonts w:ascii="Sylfaen" w:hAnsi="Sylfaen" w:cs="Times New Roman"/>
          <w:i/>
        </w:rPr>
        <w:t>National Development Plan</w:t>
      </w:r>
      <w:r w:rsidR="00C9221B" w:rsidRPr="00034A4A">
        <w:rPr>
          <w:rFonts w:ascii="Sylfaen" w:hAnsi="Sylfaen" w:cs="Times New Roman"/>
          <w:i/>
        </w:rPr>
        <w:t>’s</w:t>
      </w:r>
      <w:r w:rsidR="00C9221B" w:rsidRPr="00011269">
        <w:rPr>
          <w:rFonts w:ascii="Sylfaen" w:hAnsi="Sylfaen" w:cs="Times New Roman"/>
          <w:i/>
        </w:rPr>
        <w:t xml:space="preserve"> </w:t>
      </w:r>
      <w:r w:rsidR="00C9221B" w:rsidRPr="00034A4A">
        <w:rPr>
          <w:rFonts w:ascii="Sylfaen" w:hAnsi="Sylfaen" w:cs="Times New Roman"/>
        </w:rPr>
        <w:t xml:space="preserve">objective to “reduce administrative and financial corruption” will be decisive in setting the conditions for economic transformation. </w:t>
      </w:r>
      <w:r w:rsidR="00863F3C" w:rsidRPr="00034A4A">
        <w:rPr>
          <w:rFonts w:ascii="Sylfaen" w:hAnsi="Sylfaen" w:cs="Times New Roman"/>
        </w:rPr>
        <w:t xml:space="preserve">In addition, </w:t>
      </w:r>
      <w:r w:rsidR="00270536" w:rsidRPr="00034A4A">
        <w:rPr>
          <w:rFonts w:ascii="Sylfaen" w:hAnsi="Sylfaen" w:cs="Times New Roman"/>
        </w:rPr>
        <w:t xml:space="preserve">the economic environment is a strong deterrent to private investors. </w:t>
      </w:r>
      <w:r w:rsidR="00863F3C" w:rsidRPr="00034A4A">
        <w:rPr>
          <w:rFonts w:ascii="Sylfaen" w:hAnsi="Sylfaen" w:cs="Times New Roman"/>
        </w:rPr>
        <w:t xml:space="preserve">Here, reforms can make a decisive difference. </w:t>
      </w:r>
      <w:r w:rsidR="005F5403" w:rsidRPr="00034A4A">
        <w:rPr>
          <w:rFonts w:ascii="Sylfaen" w:hAnsi="Sylfaen" w:cs="Times New Roman"/>
          <w:bCs/>
        </w:rPr>
        <w:t xml:space="preserve">To chart a path toward greater investment and job creation in the private sector, Iraq must begin </w:t>
      </w:r>
      <w:r w:rsidR="00863F3C" w:rsidRPr="00034A4A">
        <w:rPr>
          <w:rFonts w:ascii="Sylfaen" w:hAnsi="Sylfaen" w:cs="Times New Roman"/>
          <w:bCs/>
        </w:rPr>
        <w:t>them now</w:t>
      </w:r>
      <w:r w:rsidR="005F5403" w:rsidRPr="00034A4A">
        <w:rPr>
          <w:rFonts w:ascii="Sylfaen" w:hAnsi="Sylfaen" w:cs="Times New Roman"/>
          <w:bCs/>
        </w:rPr>
        <w:t xml:space="preserve">. </w:t>
      </w:r>
      <w:r w:rsidR="005F5403" w:rsidRPr="00034A4A">
        <w:rPr>
          <w:rFonts w:ascii="Sylfaen" w:hAnsi="Sylfaen" w:cs="Times New Roman"/>
        </w:rPr>
        <w:t>Key areas for reform are the banking sector, access to power</w:t>
      </w:r>
      <w:r w:rsidR="00270536" w:rsidRPr="00034A4A">
        <w:rPr>
          <w:rFonts w:ascii="Sylfaen" w:hAnsi="Sylfaen" w:cs="Times New Roman"/>
        </w:rPr>
        <w:t xml:space="preserve">, and the </w:t>
      </w:r>
      <w:r w:rsidR="00B000F7" w:rsidRPr="00034A4A">
        <w:rPr>
          <w:rFonts w:ascii="Sylfaen" w:hAnsi="Sylfaen" w:cs="Times New Roman"/>
        </w:rPr>
        <w:t xml:space="preserve">footprint </w:t>
      </w:r>
      <w:r w:rsidR="00270536" w:rsidRPr="00034A4A">
        <w:rPr>
          <w:rFonts w:ascii="Sylfaen" w:hAnsi="Sylfaen" w:cs="Times New Roman"/>
        </w:rPr>
        <w:t>of state</w:t>
      </w:r>
      <w:r w:rsidR="00270536" w:rsidRPr="00034A4A">
        <w:rPr>
          <w:rFonts w:ascii="Times New Roman" w:hAnsi="Times New Roman" w:cs="Times New Roman"/>
        </w:rPr>
        <w:t>‐</w:t>
      </w:r>
      <w:r w:rsidR="00270536" w:rsidRPr="00034A4A">
        <w:rPr>
          <w:rFonts w:ascii="Sylfaen" w:hAnsi="Sylfaen" w:cs="Times New Roman"/>
        </w:rPr>
        <w:t>owned enterprises (SOEs)</w:t>
      </w:r>
      <w:r w:rsidR="005F5403" w:rsidRPr="00034A4A">
        <w:rPr>
          <w:rFonts w:ascii="Sylfaen" w:hAnsi="Sylfaen" w:cs="Times New Roman"/>
        </w:rPr>
        <w:t>. Credit to the private sector is extremely low and the financial sector is dominated by state</w:t>
      </w:r>
      <w:r w:rsidR="005F5403" w:rsidRPr="00034A4A">
        <w:rPr>
          <w:rFonts w:ascii="Times New Roman" w:hAnsi="Times New Roman" w:cs="Times New Roman"/>
        </w:rPr>
        <w:t>‐</w:t>
      </w:r>
      <w:r w:rsidR="005F5403" w:rsidRPr="00034A4A">
        <w:rPr>
          <w:rFonts w:ascii="Sylfaen" w:hAnsi="Sylfaen" w:cs="Times New Roman"/>
        </w:rPr>
        <w:t xml:space="preserve">owned banks which lend chiefly to SOEs. </w:t>
      </w:r>
      <w:r w:rsidR="00B000F7" w:rsidRPr="00034A4A">
        <w:rPr>
          <w:rFonts w:ascii="Sylfaen" w:hAnsi="Sylfaen" w:cs="Times New Roman"/>
        </w:rPr>
        <w:t xml:space="preserve">The effect of poor access to credit on business is compounded by significant domestic arrears. </w:t>
      </w:r>
      <w:r w:rsidR="005F5403" w:rsidRPr="00034A4A">
        <w:rPr>
          <w:rFonts w:ascii="Sylfaen" w:hAnsi="Sylfaen" w:cs="Times New Roman"/>
        </w:rPr>
        <w:t>Before the most recent conflict, unreliable access to power was cited by businesses as the most significant obstacle to operations.</w:t>
      </w:r>
      <w:r w:rsidR="005F5403" w:rsidRPr="00034A4A">
        <w:rPr>
          <w:rStyle w:val="FootnoteReference"/>
          <w:rFonts w:ascii="Sylfaen" w:hAnsi="Sylfaen" w:cs="Times New Roman"/>
        </w:rPr>
        <w:footnoteReference w:id="7"/>
      </w:r>
      <w:r w:rsidR="005F5403" w:rsidRPr="00034A4A">
        <w:rPr>
          <w:rFonts w:ascii="Sylfaen" w:hAnsi="Sylfaen" w:cs="Times New Roman"/>
        </w:rPr>
        <w:t xml:space="preserve"> </w:t>
      </w:r>
      <w:r w:rsidR="00270536" w:rsidRPr="00034A4A">
        <w:rPr>
          <w:rFonts w:ascii="Sylfaen" w:hAnsi="Sylfaen" w:cs="Times New Roman"/>
        </w:rPr>
        <w:t>The overbearing presence of the public sector dominated by inefficient SOEs crowds out private businesses</w:t>
      </w:r>
      <w:r w:rsidR="00863F3C" w:rsidRPr="00034A4A">
        <w:rPr>
          <w:rFonts w:ascii="Sylfaen" w:hAnsi="Sylfaen" w:cs="Times New Roman"/>
        </w:rPr>
        <w:t>, and cannot in the short term be downsized due to political risk</w:t>
      </w:r>
      <w:r w:rsidR="00270536" w:rsidRPr="00034A4A">
        <w:rPr>
          <w:rFonts w:ascii="Sylfaen" w:hAnsi="Sylfaen" w:cs="Times New Roman"/>
        </w:rPr>
        <w:t xml:space="preserve">. </w:t>
      </w:r>
      <w:r w:rsidR="00B000F7" w:rsidRPr="00034A4A">
        <w:rPr>
          <w:rFonts w:ascii="Sylfaen" w:hAnsi="Sylfaen" w:cs="Times New Roman"/>
        </w:rPr>
        <w:t>Together, these constraints represent an imposing obstacle to private business</w:t>
      </w:r>
      <w:r w:rsidR="00863F3C" w:rsidRPr="00034A4A">
        <w:rPr>
          <w:rFonts w:ascii="Sylfaen" w:hAnsi="Sylfaen" w:cs="Times New Roman"/>
        </w:rPr>
        <w:t>.</w:t>
      </w:r>
      <w:r w:rsidR="00B000F7" w:rsidRPr="00034A4A">
        <w:rPr>
          <w:rFonts w:ascii="Sylfaen" w:hAnsi="Sylfaen" w:cs="Times New Roman"/>
        </w:rPr>
        <w:t xml:space="preserve"> </w:t>
      </w:r>
      <w:r w:rsidR="00225053" w:rsidRPr="00034A4A">
        <w:rPr>
          <w:rFonts w:ascii="Sylfaen" w:hAnsi="Sylfaen" w:cs="Times New Roman"/>
        </w:rPr>
        <w:t xml:space="preserve">GOI has recently made some progress in launching some structural reforms. However, </w:t>
      </w:r>
      <w:r w:rsidR="00270536" w:rsidRPr="00034A4A">
        <w:rPr>
          <w:rFonts w:ascii="Sylfaen" w:hAnsi="Sylfaen" w:cs="Times New Roman"/>
        </w:rPr>
        <w:t xml:space="preserve">these </w:t>
      </w:r>
      <w:r w:rsidR="00DD175D" w:rsidRPr="00034A4A">
        <w:rPr>
          <w:rFonts w:ascii="Sylfaen" w:hAnsi="Sylfaen" w:cs="Times New Roman"/>
        </w:rPr>
        <w:t xml:space="preserve">important </w:t>
      </w:r>
      <w:r w:rsidR="00270536" w:rsidRPr="00034A4A">
        <w:rPr>
          <w:rFonts w:ascii="Sylfaen" w:hAnsi="Sylfaen" w:cs="Times New Roman"/>
        </w:rPr>
        <w:t xml:space="preserve">steps are </w:t>
      </w:r>
      <w:r w:rsidR="00225053" w:rsidRPr="00034A4A">
        <w:rPr>
          <w:rFonts w:ascii="Sylfaen" w:hAnsi="Sylfaen" w:cs="Times New Roman"/>
        </w:rPr>
        <w:t>far from sufficient to allay the fears of investors. With prohibitive country-risk to investment</w:t>
      </w:r>
      <w:r w:rsidR="00863F3C" w:rsidRPr="00034A4A">
        <w:rPr>
          <w:rFonts w:ascii="Sylfaen" w:hAnsi="Sylfaen" w:cs="Times New Roman"/>
        </w:rPr>
        <w:t xml:space="preserve"> in the short term</w:t>
      </w:r>
      <w:r w:rsidR="00225053" w:rsidRPr="00034A4A">
        <w:rPr>
          <w:rFonts w:ascii="Sylfaen" w:hAnsi="Sylfaen" w:cs="Times New Roman"/>
        </w:rPr>
        <w:t xml:space="preserve">, the first best solution of a private-sector-led job creation strategy is unviable in the </w:t>
      </w:r>
      <w:r w:rsidR="00FA7075" w:rsidRPr="00034A4A">
        <w:rPr>
          <w:rFonts w:ascii="Sylfaen" w:hAnsi="Sylfaen" w:cs="Times New Roman"/>
        </w:rPr>
        <w:t xml:space="preserve">immediate </w:t>
      </w:r>
      <w:r w:rsidR="00225053" w:rsidRPr="00034A4A">
        <w:rPr>
          <w:rFonts w:ascii="Sylfaen" w:hAnsi="Sylfaen" w:cs="Times New Roman"/>
        </w:rPr>
        <w:t xml:space="preserve">term. GOI </w:t>
      </w:r>
      <w:r w:rsidR="0089629D" w:rsidRPr="00034A4A">
        <w:rPr>
          <w:rFonts w:ascii="Sylfaen" w:hAnsi="Sylfaen" w:cs="Times New Roman"/>
        </w:rPr>
        <w:t xml:space="preserve">therefore </w:t>
      </w:r>
      <w:r w:rsidR="00225053" w:rsidRPr="00034A4A">
        <w:rPr>
          <w:rFonts w:ascii="Sylfaen" w:hAnsi="Sylfaen" w:cs="Times New Roman"/>
        </w:rPr>
        <w:t>needs to search for second best solutions</w:t>
      </w:r>
      <w:r w:rsidR="0089629D" w:rsidRPr="00034A4A">
        <w:rPr>
          <w:rFonts w:ascii="Sylfaen" w:hAnsi="Sylfaen" w:cs="Times New Roman"/>
        </w:rPr>
        <w:t xml:space="preserve"> for the short-term</w:t>
      </w:r>
      <w:r w:rsidR="00863F3C" w:rsidRPr="00034A4A">
        <w:rPr>
          <w:rFonts w:ascii="Sylfaen" w:hAnsi="Sylfaen" w:cs="Times New Roman"/>
        </w:rPr>
        <w:t xml:space="preserve">, while </w:t>
      </w:r>
      <w:r w:rsidR="00DD175D" w:rsidRPr="00034A4A">
        <w:rPr>
          <w:rFonts w:ascii="Sylfaen" w:hAnsi="Sylfaen" w:cs="Times New Roman"/>
        </w:rPr>
        <w:t xml:space="preserve">advancing </w:t>
      </w:r>
      <w:r w:rsidR="00863F3C" w:rsidRPr="00034A4A">
        <w:rPr>
          <w:rFonts w:ascii="Sylfaen" w:hAnsi="Sylfaen" w:cs="Times New Roman"/>
        </w:rPr>
        <w:t>reforms to alter the business climate</w:t>
      </w:r>
      <w:r w:rsidR="00225053" w:rsidRPr="00034A4A">
        <w:rPr>
          <w:rFonts w:ascii="Sylfaen" w:hAnsi="Sylfaen" w:cs="Times New Roman"/>
        </w:rPr>
        <w:t>.</w:t>
      </w:r>
    </w:p>
    <w:p w14:paraId="499FE1D2" w14:textId="17AB2F4F" w:rsidR="00296E26" w:rsidRPr="00034A4A" w:rsidRDefault="009D0FB2" w:rsidP="008769F4">
      <w:pPr>
        <w:autoSpaceDE w:val="0"/>
        <w:autoSpaceDN w:val="0"/>
        <w:adjustRightInd w:val="0"/>
        <w:spacing w:after="120"/>
        <w:jc w:val="both"/>
        <w:rPr>
          <w:rFonts w:ascii="Sylfaen" w:hAnsi="Sylfaen" w:cs="Times New Roman"/>
        </w:rPr>
      </w:pPr>
      <w:r w:rsidRPr="00034A4A">
        <w:rPr>
          <w:rFonts w:ascii="Sylfaen" w:hAnsi="Sylfaen" w:cs="Times New Roman"/>
          <w:b/>
          <w:bCs/>
        </w:rPr>
        <w:t xml:space="preserve">Public investment can lead a recovery that creates jobs, but should also lay the foundation for private sector growth. </w:t>
      </w:r>
      <w:r w:rsidRPr="00034A4A">
        <w:rPr>
          <w:rFonts w:ascii="Sylfaen" w:hAnsi="Sylfaen" w:cs="Times New Roman"/>
          <w:bCs/>
        </w:rPr>
        <w:t>With the recent rise in oil prices, fiscal pressure on Iraq has eased greatly. Public investments can lead in stoking a recovery that creates jobs. However, the fiscal outlook remains dependent on oil prices</w:t>
      </w:r>
      <w:r w:rsidR="00C059A1" w:rsidRPr="00034A4A">
        <w:rPr>
          <w:rFonts w:ascii="Sylfaen" w:hAnsi="Sylfaen" w:cs="Times New Roman"/>
          <w:bCs/>
        </w:rPr>
        <w:t>,</w:t>
      </w:r>
      <w:r w:rsidRPr="00034A4A">
        <w:rPr>
          <w:rFonts w:ascii="Sylfaen" w:hAnsi="Sylfaen" w:cs="Times New Roman"/>
          <w:bCs/>
        </w:rPr>
        <w:t xml:space="preserve"> and </w:t>
      </w:r>
      <w:r w:rsidR="00C059A1" w:rsidRPr="00034A4A">
        <w:rPr>
          <w:rFonts w:ascii="Sylfaen" w:hAnsi="Sylfaen" w:cs="Times New Roman"/>
          <w:bCs/>
        </w:rPr>
        <w:t xml:space="preserve">will be </w:t>
      </w:r>
      <w:r w:rsidRPr="00034A4A">
        <w:rPr>
          <w:rFonts w:ascii="Sylfaen" w:hAnsi="Sylfaen" w:cs="Times New Roman"/>
          <w:bCs/>
        </w:rPr>
        <w:t>vulnerable to future price swings</w:t>
      </w:r>
      <w:r w:rsidR="00C059A1" w:rsidRPr="00034A4A">
        <w:rPr>
          <w:rFonts w:ascii="Sylfaen" w:hAnsi="Sylfaen" w:cs="Times New Roman"/>
          <w:bCs/>
        </w:rPr>
        <w:t xml:space="preserve"> until the non-oil economy evolves</w:t>
      </w:r>
      <w:r w:rsidRPr="00034A4A">
        <w:rPr>
          <w:rFonts w:ascii="Sylfaen" w:hAnsi="Sylfaen" w:cs="Times New Roman"/>
          <w:bCs/>
        </w:rPr>
        <w:t>. At the same time, the GOI already faces a large public payroll, and important security costs.</w:t>
      </w:r>
      <w:r w:rsidR="00C059A1" w:rsidRPr="00034A4A">
        <w:rPr>
          <w:rFonts w:ascii="Sylfaen" w:hAnsi="Sylfaen" w:cs="Times New Roman"/>
          <w:bCs/>
        </w:rPr>
        <w:t xml:space="preserve"> It is therefore not prudent to expand the public payroll in </w:t>
      </w:r>
      <w:r w:rsidR="007F683F" w:rsidRPr="00034A4A">
        <w:rPr>
          <w:rFonts w:ascii="Sylfaen" w:hAnsi="Sylfaen" w:cs="Times New Roman"/>
          <w:bCs/>
        </w:rPr>
        <w:t xml:space="preserve">a </w:t>
      </w:r>
      <w:r w:rsidR="00C059A1" w:rsidRPr="00034A4A">
        <w:rPr>
          <w:rFonts w:ascii="Sylfaen" w:hAnsi="Sylfaen" w:cs="Times New Roman"/>
          <w:bCs/>
        </w:rPr>
        <w:t>lasting way. Rather, as this note argues, public investment should jump-start job creation, but keep an eye toward expanding ways for the private sector to step into a more important role in growth and job creation.</w:t>
      </w:r>
    </w:p>
    <w:p w14:paraId="6D6955EF" w14:textId="2A2CF24F" w:rsidR="00C85C9C" w:rsidRPr="00034A4A" w:rsidRDefault="004B0A28" w:rsidP="008769F4">
      <w:pPr>
        <w:tabs>
          <w:tab w:val="left" w:pos="3338"/>
        </w:tabs>
        <w:autoSpaceDE w:val="0"/>
        <w:autoSpaceDN w:val="0"/>
        <w:adjustRightInd w:val="0"/>
        <w:spacing w:after="120"/>
        <w:jc w:val="both"/>
        <w:rPr>
          <w:rFonts w:ascii="Sylfaen" w:hAnsi="Sylfaen" w:cs="Times New Roman"/>
        </w:rPr>
      </w:pPr>
      <w:r w:rsidRPr="00034A4A">
        <w:rPr>
          <w:rFonts w:ascii="Sylfaen" w:hAnsi="Sylfaen" w:cs="Times New Roman"/>
          <w:b/>
        </w:rPr>
        <w:t xml:space="preserve">Despite the stifling effect of </w:t>
      </w:r>
      <w:r w:rsidR="00C059A1" w:rsidRPr="00034A4A">
        <w:rPr>
          <w:rFonts w:ascii="Sylfaen" w:hAnsi="Sylfaen" w:cs="Times New Roman"/>
          <w:b/>
        </w:rPr>
        <w:t>SOE</w:t>
      </w:r>
      <w:r w:rsidRPr="00034A4A">
        <w:rPr>
          <w:rFonts w:ascii="Sylfaen" w:hAnsi="Sylfaen" w:cs="Times New Roman"/>
          <w:b/>
        </w:rPr>
        <w:t>s on business, cutting</w:t>
      </w:r>
      <w:r w:rsidR="00C059A1" w:rsidRPr="00034A4A">
        <w:rPr>
          <w:rFonts w:ascii="Sylfaen" w:hAnsi="Sylfaen" w:cs="Times New Roman"/>
          <w:b/>
        </w:rPr>
        <w:t xml:space="preserve"> </w:t>
      </w:r>
      <w:r w:rsidR="00E33C52" w:rsidRPr="00034A4A">
        <w:rPr>
          <w:rFonts w:ascii="Sylfaen" w:hAnsi="Sylfaen" w:cs="Times New Roman"/>
          <w:b/>
        </w:rPr>
        <w:t xml:space="preserve">public sector </w:t>
      </w:r>
      <w:r w:rsidR="00C059A1" w:rsidRPr="00034A4A">
        <w:rPr>
          <w:rFonts w:ascii="Sylfaen" w:hAnsi="Sylfaen" w:cs="Times New Roman"/>
          <w:b/>
        </w:rPr>
        <w:t>employment is too risky in the short run, given the lack of other jobs.</w:t>
      </w:r>
      <w:r w:rsidR="00D506F6" w:rsidRPr="00034A4A">
        <w:rPr>
          <w:rFonts w:ascii="Sylfaen" w:hAnsi="Sylfaen" w:cs="Times New Roman"/>
          <w:b/>
        </w:rPr>
        <w:t xml:space="preserve"> </w:t>
      </w:r>
      <w:r w:rsidR="00752E68" w:rsidRPr="00034A4A">
        <w:rPr>
          <w:rFonts w:ascii="Sylfaen" w:hAnsi="Sylfaen" w:cs="Times New Roman"/>
        </w:rPr>
        <w:t>GOI needs to eventually downsize the SOEs and reduce the public payroll at large, both in order t</w:t>
      </w:r>
      <w:r w:rsidR="00C85C9C" w:rsidRPr="00034A4A">
        <w:rPr>
          <w:rFonts w:ascii="Sylfaen" w:hAnsi="Sylfaen" w:cs="Times New Roman"/>
        </w:rPr>
        <w:t xml:space="preserve">o </w:t>
      </w:r>
      <w:r w:rsidR="00752E68" w:rsidRPr="00034A4A">
        <w:rPr>
          <w:rFonts w:ascii="Sylfaen" w:hAnsi="Sylfaen" w:cs="Times New Roman"/>
        </w:rPr>
        <w:t xml:space="preserve">stop crowding out </w:t>
      </w:r>
      <w:r w:rsidR="00C85C9C" w:rsidRPr="00034A4A">
        <w:rPr>
          <w:rFonts w:ascii="Sylfaen" w:hAnsi="Sylfaen" w:cs="Times New Roman"/>
        </w:rPr>
        <w:t>private sector</w:t>
      </w:r>
      <w:r w:rsidRPr="00034A4A">
        <w:rPr>
          <w:rFonts w:ascii="Sylfaen" w:hAnsi="Sylfaen" w:cs="Times New Roman"/>
        </w:rPr>
        <w:t xml:space="preserve"> </w:t>
      </w:r>
      <w:r w:rsidR="00E33C52" w:rsidRPr="00034A4A">
        <w:rPr>
          <w:rFonts w:ascii="Sylfaen" w:hAnsi="Sylfaen" w:cs="Times New Roman"/>
        </w:rPr>
        <w:t>investment and hiring</w:t>
      </w:r>
      <w:r w:rsidR="00752E68" w:rsidRPr="00034A4A">
        <w:rPr>
          <w:rFonts w:ascii="Sylfaen" w:hAnsi="Sylfaen" w:cs="Times New Roman"/>
        </w:rPr>
        <w:t>,</w:t>
      </w:r>
      <w:r w:rsidR="00E33C52" w:rsidRPr="00034A4A">
        <w:rPr>
          <w:rFonts w:ascii="Sylfaen" w:hAnsi="Sylfaen" w:cs="Times New Roman"/>
        </w:rPr>
        <w:t xml:space="preserve"> </w:t>
      </w:r>
      <w:r w:rsidRPr="00034A4A">
        <w:rPr>
          <w:rFonts w:ascii="Sylfaen" w:hAnsi="Sylfaen" w:cs="Times New Roman"/>
        </w:rPr>
        <w:t xml:space="preserve">and </w:t>
      </w:r>
      <w:r w:rsidR="00752E68" w:rsidRPr="00034A4A">
        <w:rPr>
          <w:rFonts w:ascii="Sylfaen" w:hAnsi="Sylfaen" w:cs="Times New Roman"/>
        </w:rPr>
        <w:t xml:space="preserve">to </w:t>
      </w:r>
      <w:r w:rsidRPr="00034A4A">
        <w:rPr>
          <w:rFonts w:ascii="Sylfaen" w:hAnsi="Sylfaen" w:cs="Times New Roman"/>
        </w:rPr>
        <w:t>improve public-sector efficiency</w:t>
      </w:r>
      <w:r w:rsidR="00C059A1" w:rsidRPr="00034A4A">
        <w:rPr>
          <w:rFonts w:ascii="Sylfaen" w:hAnsi="Sylfaen" w:cs="Times New Roman"/>
        </w:rPr>
        <w:t>.</w:t>
      </w:r>
      <w:r w:rsidR="00C85C9C" w:rsidRPr="00034A4A">
        <w:rPr>
          <w:rFonts w:ascii="Sylfaen" w:hAnsi="Sylfaen" w:cs="Times New Roman"/>
        </w:rPr>
        <w:t xml:space="preserve"> </w:t>
      </w:r>
      <w:r w:rsidR="00C059A1" w:rsidRPr="00034A4A">
        <w:rPr>
          <w:rFonts w:ascii="Sylfaen" w:hAnsi="Sylfaen" w:cs="Times New Roman"/>
        </w:rPr>
        <w:t xml:space="preserve">However, </w:t>
      </w:r>
      <w:r w:rsidR="00C85C9C" w:rsidRPr="00034A4A">
        <w:rPr>
          <w:rFonts w:ascii="Sylfaen" w:hAnsi="Sylfaen" w:cs="Times New Roman"/>
        </w:rPr>
        <w:t xml:space="preserve">the absence of job opportunities in the economy implies that in the short term, policies that lead to job losses in the public sector will only exacerbate unemployment, risk political and social instability and cast doubt on GOI’s commitment to rebuild Iraq. </w:t>
      </w:r>
      <w:r w:rsidR="00E33C52" w:rsidRPr="00034A4A">
        <w:rPr>
          <w:rFonts w:ascii="Sylfaen" w:hAnsi="Sylfaen" w:cs="Times New Roman"/>
        </w:rPr>
        <w:t>However, the GOI</w:t>
      </w:r>
      <w:r w:rsidR="00D51BAE" w:rsidRPr="00034A4A">
        <w:rPr>
          <w:rFonts w:ascii="Sylfaen" w:hAnsi="Sylfaen" w:cs="Times New Roman"/>
        </w:rPr>
        <w:t xml:space="preserve"> has begun to explore policies </w:t>
      </w:r>
      <w:r w:rsidR="00090E8F" w:rsidRPr="00034A4A">
        <w:rPr>
          <w:rFonts w:ascii="Sylfaen" w:hAnsi="Sylfaen" w:cs="Times New Roman"/>
        </w:rPr>
        <w:t>toward reducing the footprint of SOEs, fostering a more effective public sector, and training its public employees with skills that would allow them to eventually also succeed in the private sector. To this end, it can</w:t>
      </w:r>
      <w:r w:rsidR="00E33C52" w:rsidRPr="00034A4A">
        <w:rPr>
          <w:rFonts w:ascii="Sylfaen" w:hAnsi="Sylfaen" w:cs="Times New Roman"/>
        </w:rPr>
        <w:t xml:space="preserve"> </w:t>
      </w:r>
      <w:r w:rsidR="00D51BAE" w:rsidRPr="00034A4A">
        <w:rPr>
          <w:rFonts w:ascii="Sylfaen" w:hAnsi="Sylfaen" w:cs="Times New Roman"/>
        </w:rPr>
        <w:t xml:space="preserve">further identify ways to </w:t>
      </w:r>
      <w:r w:rsidR="00E33C52" w:rsidRPr="00034A4A">
        <w:rPr>
          <w:rFonts w:ascii="Sylfaen" w:hAnsi="Sylfaen" w:cs="Times New Roman"/>
        </w:rPr>
        <w:t xml:space="preserve">move public employment from less productive to more productive </w:t>
      </w:r>
      <w:r w:rsidR="00090E8F" w:rsidRPr="00034A4A">
        <w:rPr>
          <w:rFonts w:ascii="Sylfaen" w:hAnsi="Sylfaen" w:cs="Times New Roman"/>
        </w:rPr>
        <w:t>SOEs</w:t>
      </w:r>
      <w:r w:rsidR="00E33C52" w:rsidRPr="00034A4A">
        <w:rPr>
          <w:rFonts w:ascii="Sylfaen" w:hAnsi="Sylfaen" w:cs="Times New Roman"/>
        </w:rPr>
        <w:t>, and consider schemes to pay public sector employees to train and build skills, instead of carrying out unproductive work.</w:t>
      </w:r>
    </w:p>
    <w:p w14:paraId="18929F51" w14:textId="1ED7CC9C" w:rsidR="00782321" w:rsidRPr="00034A4A" w:rsidRDefault="00C03A35" w:rsidP="008769F4">
      <w:pPr>
        <w:pStyle w:val="Default"/>
        <w:spacing w:after="120" w:line="259" w:lineRule="auto"/>
        <w:jc w:val="both"/>
        <w:rPr>
          <w:rFonts w:ascii="Sylfaen" w:hAnsi="Sylfaen"/>
          <w:b/>
          <w:bCs/>
        </w:rPr>
      </w:pPr>
      <w:r w:rsidRPr="00034A4A">
        <w:rPr>
          <w:rFonts w:ascii="Sylfaen" w:hAnsi="Sylfaen" w:cs="Times New Roman"/>
          <w:b/>
          <w:sz w:val="22"/>
        </w:rPr>
        <w:t xml:space="preserve">The </w:t>
      </w:r>
      <w:r w:rsidR="00766F2F">
        <w:rPr>
          <w:rFonts w:ascii="Sylfaen" w:hAnsi="Sylfaen" w:cs="Times New Roman"/>
          <w:b/>
          <w:sz w:val="22"/>
        </w:rPr>
        <w:t xml:space="preserve">weak </w:t>
      </w:r>
      <w:r w:rsidRPr="00034A4A">
        <w:rPr>
          <w:rFonts w:ascii="Sylfaen" w:hAnsi="Sylfaen" w:cs="Times New Roman"/>
          <w:b/>
          <w:sz w:val="22"/>
        </w:rPr>
        <w:t xml:space="preserve">skills base </w:t>
      </w:r>
      <w:r w:rsidR="00E33C52" w:rsidRPr="00034A4A">
        <w:rPr>
          <w:rFonts w:ascii="Sylfaen" w:hAnsi="Sylfaen" w:cs="Times New Roman"/>
          <w:b/>
          <w:sz w:val="22"/>
        </w:rPr>
        <w:t xml:space="preserve">will exclude many young Iraqs from opportunities, </w:t>
      </w:r>
      <w:r w:rsidRPr="00034A4A">
        <w:rPr>
          <w:rFonts w:ascii="Sylfaen" w:hAnsi="Sylfaen" w:cs="Times New Roman"/>
          <w:b/>
          <w:sz w:val="22"/>
        </w:rPr>
        <w:t xml:space="preserve">and may </w:t>
      </w:r>
      <w:r w:rsidR="00E33C52" w:rsidRPr="00034A4A">
        <w:rPr>
          <w:rFonts w:ascii="Sylfaen" w:hAnsi="Sylfaen" w:cs="Times New Roman"/>
          <w:b/>
          <w:sz w:val="22"/>
        </w:rPr>
        <w:t xml:space="preserve">eventually begin to </w:t>
      </w:r>
      <w:r w:rsidRPr="00034A4A">
        <w:rPr>
          <w:rFonts w:ascii="Sylfaen" w:hAnsi="Sylfaen" w:cs="Times New Roman"/>
          <w:b/>
          <w:sz w:val="22"/>
        </w:rPr>
        <w:t>hamper reconstruction</w:t>
      </w:r>
      <w:r w:rsidR="0079504C" w:rsidRPr="00034A4A">
        <w:rPr>
          <w:rFonts w:ascii="Sylfaen" w:hAnsi="Sylfaen" w:cs="Times New Roman"/>
          <w:b/>
          <w:sz w:val="22"/>
        </w:rPr>
        <w:t xml:space="preserve">. </w:t>
      </w:r>
      <w:r w:rsidR="00AB32AC" w:rsidRPr="00034A4A">
        <w:rPr>
          <w:rFonts w:ascii="Sylfaen" w:hAnsi="Sylfaen" w:cs="Times New Roman"/>
          <w:sz w:val="22"/>
        </w:rPr>
        <w:t xml:space="preserve">Human capital embedded in practical entrepreneurial, technical and vocational skills </w:t>
      </w:r>
      <w:r w:rsidR="00E33C52" w:rsidRPr="00034A4A">
        <w:rPr>
          <w:rFonts w:ascii="Sylfaen" w:hAnsi="Sylfaen" w:cs="Times New Roman"/>
          <w:sz w:val="22"/>
        </w:rPr>
        <w:t xml:space="preserve">has been depleted </w:t>
      </w:r>
      <w:r w:rsidR="00AB32AC" w:rsidRPr="00034A4A">
        <w:rPr>
          <w:rFonts w:ascii="Sylfaen" w:hAnsi="Sylfaen" w:cs="Times New Roman"/>
          <w:sz w:val="22"/>
        </w:rPr>
        <w:t xml:space="preserve">in Iraq. </w:t>
      </w:r>
      <w:r w:rsidR="00E33C52" w:rsidRPr="00034A4A">
        <w:rPr>
          <w:rFonts w:ascii="Sylfaen" w:hAnsi="Sylfaen" w:cs="Times New Roman"/>
          <w:sz w:val="22"/>
        </w:rPr>
        <w:t>R</w:t>
      </w:r>
      <w:r w:rsidR="00AB32AC" w:rsidRPr="00034A4A">
        <w:rPr>
          <w:rFonts w:ascii="Sylfaen" w:hAnsi="Sylfaen" w:cs="Times New Roman"/>
          <w:sz w:val="22"/>
        </w:rPr>
        <w:t>econstruction</w:t>
      </w:r>
      <w:r w:rsidR="00E33C52" w:rsidRPr="00034A4A">
        <w:rPr>
          <w:rFonts w:ascii="Sylfaen" w:hAnsi="Sylfaen" w:cs="Times New Roman"/>
          <w:sz w:val="22"/>
        </w:rPr>
        <w:t xml:space="preserve"> will create demand for related </w:t>
      </w:r>
      <w:r w:rsidR="00AB32AC" w:rsidRPr="00034A4A">
        <w:rPr>
          <w:rFonts w:ascii="Sylfaen" w:hAnsi="Sylfaen" w:cs="Times New Roman"/>
          <w:sz w:val="22"/>
        </w:rPr>
        <w:t xml:space="preserve">skills </w:t>
      </w:r>
      <w:r w:rsidR="00E33C52" w:rsidRPr="00034A4A">
        <w:rPr>
          <w:rFonts w:ascii="Sylfaen" w:hAnsi="Sylfaen" w:cs="Times New Roman"/>
          <w:sz w:val="22"/>
        </w:rPr>
        <w:t xml:space="preserve">– </w:t>
      </w:r>
      <w:r w:rsidR="00AB32AC" w:rsidRPr="00034A4A">
        <w:rPr>
          <w:rFonts w:ascii="Sylfaen" w:hAnsi="Sylfaen" w:cs="Times New Roman"/>
          <w:sz w:val="22"/>
        </w:rPr>
        <w:t>to reconnect houses to basic services, or foremen, mechanics and construction workers to rebuild Iraq’s infrastructure, or drivers to revive its transport system</w:t>
      </w:r>
      <w:r w:rsidR="00766F2F">
        <w:rPr>
          <w:rFonts w:ascii="Sylfaen" w:hAnsi="Sylfaen" w:cs="Times New Roman"/>
          <w:sz w:val="22"/>
        </w:rPr>
        <w:t>.</w:t>
      </w:r>
      <w:r w:rsidR="00AB32AC" w:rsidRPr="00034A4A">
        <w:rPr>
          <w:rFonts w:ascii="Sylfaen" w:hAnsi="Sylfaen" w:cs="Times New Roman"/>
          <w:sz w:val="22"/>
        </w:rPr>
        <w:t xml:space="preserve"> </w:t>
      </w:r>
      <w:r w:rsidR="00766F2F">
        <w:rPr>
          <w:rFonts w:ascii="Sylfaen" w:hAnsi="Sylfaen" w:cs="Times New Roman"/>
          <w:sz w:val="22"/>
        </w:rPr>
        <w:t xml:space="preserve">This demand </w:t>
      </w:r>
      <w:r w:rsidR="00AB32AC" w:rsidRPr="00034A4A">
        <w:rPr>
          <w:rFonts w:ascii="Sylfaen" w:hAnsi="Sylfaen" w:cs="Times New Roman"/>
          <w:sz w:val="22"/>
        </w:rPr>
        <w:t>will balloon as reconstruction gains speed and scale</w:t>
      </w:r>
      <w:r w:rsidR="00E33C52" w:rsidRPr="00034A4A">
        <w:rPr>
          <w:rFonts w:ascii="Sylfaen" w:hAnsi="Sylfaen" w:cs="Times New Roman"/>
          <w:sz w:val="22"/>
        </w:rPr>
        <w:t>.</w:t>
      </w:r>
      <w:r w:rsidR="00096B9D" w:rsidRPr="00034A4A">
        <w:rPr>
          <w:rFonts w:ascii="Sylfaen" w:hAnsi="Sylfaen" w:cs="Times New Roman"/>
          <w:sz w:val="22"/>
        </w:rPr>
        <w:t xml:space="preserve"> </w:t>
      </w:r>
      <w:r w:rsidR="00E33C52" w:rsidRPr="00034A4A">
        <w:rPr>
          <w:rFonts w:ascii="Sylfaen" w:hAnsi="Sylfaen" w:cs="Times New Roman"/>
          <w:sz w:val="22"/>
        </w:rPr>
        <w:t xml:space="preserve">However, these opportunities will remain out of reach for the many young Iraqis who lack the most basic training. In addition, the more reconstruction succeeds, the more likely is a weak skills base </w:t>
      </w:r>
      <w:r w:rsidR="00E86084" w:rsidRPr="00034A4A">
        <w:rPr>
          <w:rFonts w:ascii="Sylfaen" w:hAnsi="Sylfaen" w:cs="Times New Roman"/>
          <w:sz w:val="22"/>
        </w:rPr>
        <w:t xml:space="preserve">to become a drag on productivity. </w:t>
      </w:r>
      <w:r w:rsidR="00AB32AC" w:rsidRPr="00034A4A">
        <w:rPr>
          <w:rFonts w:ascii="Sylfaen" w:hAnsi="Sylfaen" w:cs="Times New Roman"/>
          <w:sz w:val="22"/>
        </w:rPr>
        <w:t>Typically, the traditional education system is the first-best channel for producing vocational skills</w:t>
      </w:r>
      <w:r w:rsidRPr="00034A4A">
        <w:rPr>
          <w:rFonts w:ascii="Sylfaen" w:hAnsi="Sylfaen" w:cs="Times New Roman"/>
          <w:sz w:val="22"/>
        </w:rPr>
        <w:t>.</w:t>
      </w:r>
      <w:r w:rsidR="00AB32AC" w:rsidRPr="00034A4A">
        <w:rPr>
          <w:rFonts w:ascii="Sylfaen" w:hAnsi="Sylfaen" w:cs="Times New Roman"/>
          <w:sz w:val="22"/>
        </w:rPr>
        <w:t xml:space="preserve"> </w:t>
      </w:r>
      <w:r w:rsidRPr="00034A4A">
        <w:rPr>
          <w:rFonts w:ascii="Sylfaen" w:hAnsi="Sylfaen" w:cs="Times New Roman"/>
          <w:sz w:val="22"/>
        </w:rPr>
        <w:t>B</w:t>
      </w:r>
      <w:r w:rsidR="00AB32AC" w:rsidRPr="00034A4A">
        <w:rPr>
          <w:rFonts w:ascii="Sylfaen" w:hAnsi="Sylfaen" w:cs="Times New Roman"/>
          <w:sz w:val="22"/>
        </w:rPr>
        <w:t xml:space="preserve">ut while the necessary investments and policies must be made now, </w:t>
      </w:r>
      <w:r w:rsidRPr="00034A4A">
        <w:rPr>
          <w:rFonts w:ascii="Sylfaen" w:hAnsi="Sylfaen" w:cs="Times New Roman"/>
          <w:sz w:val="22"/>
        </w:rPr>
        <w:t>there is also a need for novel approaches to serve the pressing need</w:t>
      </w:r>
      <w:r w:rsidR="00E86084" w:rsidRPr="00034A4A">
        <w:rPr>
          <w:rFonts w:ascii="Sylfaen" w:hAnsi="Sylfaen" w:cs="Times New Roman"/>
          <w:sz w:val="22"/>
        </w:rPr>
        <w:t xml:space="preserve"> to train unskilled Iraqis </w:t>
      </w:r>
      <w:r w:rsidRPr="00034A4A">
        <w:rPr>
          <w:rFonts w:ascii="Sylfaen" w:hAnsi="Sylfaen" w:cs="Times New Roman"/>
          <w:sz w:val="22"/>
        </w:rPr>
        <w:t>in the short term</w:t>
      </w:r>
      <w:r w:rsidR="00E86084" w:rsidRPr="00034A4A">
        <w:rPr>
          <w:rFonts w:ascii="Sylfaen" w:hAnsi="Sylfaen" w:cs="Times New Roman"/>
          <w:sz w:val="22"/>
        </w:rPr>
        <w:t xml:space="preserve"> in skills that will be in high demand during reconstruction and beyond</w:t>
      </w:r>
      <w:r w:rsidR="00C85C9C" w:rsidRPr="00034A4A">
        <w:rPr>
          <w:rFonts w:ascii="Sylfaen" w:hAnsi="Sylfaen" w:cs="Times New Roman"/>
          <w:sz w:val="22"/>
        </w:rPr>
        <w:t>.</w:t>
      </w:r>
    </w:p>
    <w:p w14:paraId="6FE972E6" w14:textId="77777777" w:rsidR="00E64873" w:rsidRPr="00034A4A" w:rsidRDefault="00E64873" w:rsidP="008769F4">
      <w:pPr>
        <w:spacing w:after="120"/>
        <w:jc w:val="both"/>
        <w:rPr>
          <w:rFonts w:ascii="Sylfaen" w:hAnsi="Sylfaen" w:cs="Garamond"/>
          <w:b/>
          <w:bCs/>
          <w:color w:val="000000"/>
        </w:rPr>
      </w:pPr>
      <w:r w:rsidRPr="00034A4A">
        <w:rPr>
          <w:rFonts w:ascii="Sylfaen" w:hAnsi="Sylfaen"/>
          <w:b/>
          <w:bCs/>
        </w:rPr>
        <w:br w:type="page"/>
      </w:r>
    </w:p>
    <w:p w14:paraId="35CD6F0A" w14:textId="63EC00D9" w:rsidR="00296E26" w:rsidRPr="00034A4A" w:rsidRDefault="00296E26" w:rsidP="008769F4">
      <w:pPr>
        <w:pStyle w:val="Default"/>
        <w:spacing w:after="120" w:line="259" w:lineRule="auto"/>
        <w:jc w:val="both"/>
        <w:rPr>
          <w:rFonts w:ascii="Sylfaen" w:hAnsi="Sylfaen"/>
          <w:b/>
          <w:bCs/>
          <w:sz w:val="22"/>
          <w:szCs w:val="22"/>
        </w:rPr>
      </w:pPr>
      <w:r w:rsidRPr="00034A4A">
        <w:rPr>
          <w:rFonts w:ascii="Sylfaen" w:hAnsi="Sylfaen"/>
          <w:b/>
          <w:bCs/>
          <w:sz w:val="22"/>
          <w:szCs w:val="22"/>
        </w:rPr>
        <w:t>Figure 1. Leading markers of the jobs crisis in Iraq.</w:t>
      </w:r>
    </w:p>
    <w:tbl>
      <w:tblPr>
        <w:tblStyle w:val="TableGrid"/>
        <w:tblW w:w="0" w:type="auto"/>
        <w:tblLayout w:type="fixed"/>
        <w:tblLook w:val="04A0" w:firstRow="1" w:lastRow="0" w:firstColumn="1" w:lastColumn="0" w:noHBand="0" w:noVBand="1"/>
      </w:tblPr>
      <w:tblGrid>
        <w:gridCol w:w="4675"/>
        <w:gridCol w:w="4675"/>
      </w:tblGrid>
      <w:tr w:rsidR="00296E26" w:rsidRPr="00034A4A" w14:paraId="67463B7A" w14:textId="77777777" w:rsidTr="006C1A4C">
        <w:tc>
          <w:tcPr>
            <w:tcW w:w="4675" w:type="dxa"/>
          </w:tcPr>
          <w:p w14:paraId="25299B9D" w14:textId="77777777" w:rsidR="00296E26" w:rsidRPr="00034A4A" w:rsidRDefault="00296E26" w:rsidP="008769F4">
            <w:pPr>
              <w:spacing w:after="120" w:line="259" w:lineRule="auto"/>
              <w:jc w:val="both"/>
              <w:rPr>
                <w:rFonts w:ascii="Sylfaen" w:hAnsi="Sylfaen" w:cs="Times New Roman"/>
              </w:rPr>
            </w:pPr>
            <w:r w:rsidRPr="00034A4A">
              <w:rPr>
                <w:rFonts w:ascii="Sylfaen" w:hAnsi="Sylfaen" w:cs="Times New Roman"/>
              </w:rPr>
              <w:t>Fig 1A. In 2016, Iraq needed 2.5 million new jobs, by 2030, demand for jobs is likely to be 5 – 7 million.</w:t>
            </w:r>
          </w:p>
        </w:tc>
        <w:tc>
          <w:tcPr>
            <w:tcW w:w="4675" w:type="dxa"/>
          </w:tcPr>
          <w:p w14:paraId="4843ACBA" w14:textId="77777777" w:rsidR="00296E26" w:rsidRPr="00034A4A" w:rsidRDefault="00296E26" w:rsidP="008769F4">
            <w:pPr>
              <w:spacing w:after="120" w:line="259" w:lineRule="auto"/>
              <w:jc w:val="both"/>
              <w:rPr>
                <w:rFonts w:ascii="Sylfaen" w:hAnsi="Sylfaen" w:cs="Times New Roman"/>
              </w:rPr>
            </w:pPr>
            <w:r w:rsidRPr="00034A4A">
              <w:rPr>
                <w:rFonts w:ascii="Sylfaen" w:hAnsi="Sylfaen" w:cs="Times New Roman"/>
              </w:rPr>
              <w:t xml:space="preserve">Fig 1B. The unemployment rates of the excluded groups - female, IDPs and youth - are significantly higher than the national average.   </w:t>
            </w:r>
          </w:p>
        </w:tc>
      </w:tr>
      <w:tr w:rsidR="00296E26" w:rsidRPr="00034A4A" w14:paraId="30F6AF14" w14:textId="77777777" w:rsidTr="006C1A4C">
        <w:tc>
          <w:tcPr>
            <w:tcW w:w="4675" w:type="dxa"/>
          </w:tcPr>
          <w:p w14:paraId="0C64A458" w14:textId="77777777" w:rsidR="00296E26" w:rsidRPr="00034A4A" w:rsidRDefault="00296E26" w:rsidP="008769F4">
            <w:pPr>
              <w:spacing w:after="120" w:line="259" w:lineRule="auto"/>
              <w:jc w:val="both"/>
              <w:rPr>
                <w:rFonts w:ascii="Sylfaen" w:hAnsi="Sylfaen"/>
              </w:rPr>
            </w:pPr>
            <w:r w:rsidRPr="00034A4A">
              <w:rPr>
                <w:rFonts w:ascii="Sylfaen" w:hAnsi="Sylfaen"/>
                <w:noProof/>
              </w:rPr>
              <w:drawing>
                <wp:inline distT="0" distB="0" distL="0" distR="0" wp14:anchorId="09571045" wp14:editId="6C17CFD3">
                  <wp:extent cx="2828925" cy="2271712"/>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0158" cy="2272702"/>
                          </a:xfrm>
                          <a:prstGeom prst="rect">
                            <a:avLst/>
                          </a:prstGeom>
                          <a:noFill/>
                          <a:ln>
                            <a:noFill/>
                          </a:ln>
                        </pic:spPr>
                      </pic:pic>
                    </a:graphicData>
                  </a:graphic>
                </wp:inline>
              </w:drawing>
            </w:r>
          </w:p>
        </w:tc>
        <w:tc>
          <w:tcPr>
            <w:tcW w:w="4675" w:type="dxa"/>
          </w:tcPr>
          <w:p w14:paraId="0C018276" w14:textId="77777777" w:rsidR="00296E26" w:rsidRPr="00034A4A" w:rsidRDefault="00296E26" w:rsidP="008769F4">
            <w:pPr>
              <w:spacing w:after="120" w:line="259" w:lineRule="auto"/>
              <w:jc w:val="both"/>
              <w:rPr>
                <w:rFonts w:ascii="Sylfaen" w:hAnsi="Sylfaen"/>
              </w:rPr>
            </w:pPr>
            <w:r w:rsidRPr="00034A4A">
              <w:rPr>
                <w:rFonts w:ascii="Sylfaen" w:hAnsi="Sylfaen"/>
                <w:noProof/>
              </w:rPr>
              <w:drawing>
                <wp:inline distT="0" distB="0" distL="0" distR="0" wp14:anchorId="688CCAA9" wp14:editId="7C479CB8">
                  <wp:extent cx="2828925" cy="231013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8925" cy="2310130"/>
                          </a:xfrm>
                          <a:prstGeom prst="rect">
                            <a:avLst/>
                          </a:prstGeom>
                          <a:noFill/>
                          <a:ln>
                            <a:noFill/>
                          </a:ln>
                        </pic:spPr>
                      </pic:pic>
                    </a:graphicData>
                  </a:graphic>
                </wp:inline>
              </w:drawing>
            </w:r>
          </w:p>
        </w:tc>
      </w:tr>
      <w:tr w:rsidR="00296E26" w:rsidRPr="00034A4A" w14:paraId="2A315C04" w14:textId="77777777" w:rsidTr="006C1A4C">
        <w:tc>
          <w:tcPr>
            <w:tcW w:w="4675" w:type="dxa"/>
          </w:tcPr>
          <w:p w14:paraId="02A74D50" w14:textId="77777777" w:rsidR="00296E26" w:rsidRPr="00034A4A" w:rsidRDefault="00296E26" w:rsidP="008769F4">
            <w:pPr>
              <w:spacing w:after="120" w:line="259" w:lineRule="auto"/>
              <w:jc w:val="both"/>
              <w:rPr>
                <w:rFonts w:ascii="Sylfaen" w:hAnsi="Sylfaen" w:cs="Times New Roman"/>
              </w:rPr>
            </w:pPr>
            <w:r w:rsidRPr="00034A4A">
              <w:rPr>
                <w:rFonts w:ascii="Sylfaen" w:hAnsi="Sylfaen" w:cs="Times New Roman"/>
              </w:rPr>
              <w:t xml:space="preserve">Fig 1C. Between 2015 and 2030, the demand for jobs will burgeon as the labor force grows by 54%. </w:t>
            </w:r>
          </w:p>
        </w:tc>
        <w:tc>
          <w:tcPr>
            <w:tcW w:w="4675" w:type="dxa"/>
          </w:tcPr>
          <w:p w14:paraId="674DAEA2" w14:textId="77777777" w:rsidR="00296E26" w:rsidRPr="00034A4A" w:rsidRDefault="00296E26" w:rsidP="008769F4">
            <w:pPr>
              <w:spacing w:after="120" w:line="259" w:lineRule="auto"/>
              <w:jc w:val="both"/>
              <w:rPr>
                <w:rFonts w:ascii="Sylfaen" w:hAnsi="Sylfaen" w:cs="Times New Roman"/>
              </w:rPr>
            </w:pPr>
            <w:r w:rsidRPr="00034A4A">
              <w:rPr>
                <w:rFonts w:ascii="Sylfaen" w:hAnsi="Sylfaen" w:cs="Times New Roman"/>
              </w:rPr>
              <w:t>Fig 1D. Between 2015 and 2030, Iraq’s youth population will grow by 72%, accelerating the demand for youth employment.</w:t>
            </w:r>
          </w:p>
        </w:tc>
      </w:tr>
      <w:tr w:rsidR="00296E26" w:rsidRPr="00034A4A" w14:paraId="1D5C6FE4" w14:textId="77777777" w:rsidTr="006C1A4C">
        <w:tc>
          <w:tcPr>
            <w:tcW w:w="4675" w:type="dxa"/>
          </w:tcPr>
          <w:p w14:paraId="42A3C3CB" w14:textId="77777777" w:rsidR="00296E26" w:rsidRPr="00034A4A" w:rsidRDefault="00296E26" w:rsidP="008769F4">
            <w:pPr>
              <w:spacing w:after="120" w:line="259" w:lineRule="auto"/>
              <w:jc w:val="both"/>
              <w:rPr>
                <w:rFonts w:ascii="Sylfaen" w:hAnsi="Sylfaen"/>
              </w:rPr>
            </w:pPr>
            <w:r w:rsidRPr="00034A4A">
              <w:rPr>
                <w:rFonts w:ascii="Sylfaen" w:hAnsi="Sylfaen"/>
                <w:noProof/>
              </w:rPr>
              <w:drawing>
                <wp:inline distT="0" distB="0" distL="0" distR="0" wp14:anchorId="62542B30" wp14:editId="5209C374">
                  <wp:extent cx="2828925" cy="272415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8925" cy="2724150"/>
                          </a:xfrm>
                          <a:prstGeom prst="rect">
                            <a:avLst/>
                          </a:prstGeom>
                          <a:noFill/>
                          <a:ln>
                            <a:noFill/>
                          </a:ln>
                        </pic:spPr>
                      </pic:pic>
                    </a:graphicData>
                  </a:graphic>
                </wp:inline>
              </w:drawing>
            </w:r>
          </w:p>
        </w:tc>
        <w:tc>
          <w:tcPr>
            <w:tcW w:w="4675" w:type="dxa"/>
          </w:tcPr>
          <w:p w14:paraId="1F9B2162" w14:textId="77777777" w:rsidR="00296E26" w:rsidRPr="00034A4A" w:rsidRDefault="00296E26" w:rsidP="008769F4">
            <w:pPr>
              <w:spacing w:after="120" w:line="259" w:lineRule="auto"/>
              <w:jc w:val="both"/>
              <w:rPr>
                <w:rFonts w:ascii="Sylfaen" w:hAnsi="Sylfaen"/>
              </w:rPr>
            </w:pPr>
            <w:r w:rsidRPr="00034A4A">
              <w:rPr>
                <w:rFonts w:ascii="Sylfaen" w:hAnsi="Sylfaen"/>
                <w:noProof/>
              </w:rPr>
              <w:drawing>
                <wp:inline distT="0" distB="0" distL="0" distR="0" wp14:anchorId="5B9C0C03" wp14:editId="0C85A4E3">
                  <wp:extent cx="2828925" cy="272415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4024" cy="2729060"/>
                          </a:xfrm>
                          <a:prstGeom prst="rect">
                            <a:avLst/>
                          </a:prstGeom>
                          <a:noFill/>
                          <a:ln>
                            <a:noFill/>
                          </a:ln>
                        </pic:spPr>
                      </pic:pic>
                    </a:graphicData>
                  </a:graphic>
                </wp:inline>
              </w:drawing>
            </w:r>
          </w:p>
        </w:tc>
      </w:tr>
      <w:tr w:rsidR="00296E26" w:rsidRPr="00034A4A" w14:paraId="0D400783" w14:textId="77777777" w:rsidTr="00AA395C">
        <w:trPr>
          <w:trHeight w:val="70"/>
        </w:trPr>
        <w:tc>
          <w:tcPr>
            <w:tcW w:w="9350" w:type="dxa"/>
            <w:gridSpan w:val="2"/>
          </w:tcPr>
          <w:p w14:paraId="7E3D35A5" w14:textId="0018C374" w:rsidR="00296E26" w:rsidRPr="00034A4A" w:rsidRDefault="00296E26" w:rsidP="008769F4">
            <w:pPr>
              <w:spacing w:after="120" w:line="259" w:lineRule="auto"/>
              <w:jc w:val="both"/>
              <w:rPr>
                <w:rFonts w:ascii="Sylfaen" w:hAnsi="Sylfaen" w:cs="Times New Roman"/>
                <w:sz w:val="20"/>
              </w:rPr>
            </w:pPr>
            <w:r w:rsidRPr="00034A4A">
              <w:rPr>
                <w:rFonts w:ascii="Sylfaen" w:hAnsi="Sylfaen" w:cs="Times New Roman"/>
                <w:sz w:val="20"/>
              </w:rPr>
              <w:t xml:space="preserve">Source: A </w:t>
            </w:r>
            <w:r w:rsidR="00513372" w:rsidRPr="00034A4A">
              <w:rPr>
                <w:rFonts w:ascii="Sylfaen" w:hAnsi="Sylfaen" w:cs="Times New Roman"/>
                <w:sz w:val="20"/>
              </w:rPr>
              <w:t>and</w:t>
            </w:r>
            <w:r w:rsidRPr="00034A4A">
              <w:rPr>
                <w:rFonts w:ascii="Sylfaen" w:hAnsi="Sylfaen" w:cs="Times New Roman"/>
                <w:sz w:val="20"/>
              </w:rPr>
              <w:t xml:space="preserve"> B </w:t>
            </w:r>
            <w:r w:rsidR="00E9786D" w:rsidRPr="00034A4A">
              <w:rPr>
                <w:rFonts w:ascii="Sylfaen" w:hAnsi="Sylfaen" w:cs="Times New Roman"/>
                <w:sz w:val="20"/>
              </w:rPr>
              <w:t xml:space="preserve">– </w:t>
            </w:r>
            <w:r w:rsidRPr="00034A4A">
              <w:rPr>
                <w:rFonts w:ascii="Sylfaen" w:hAnsi="Sylfaen" w:cs="Times New Roman"/>
                <w:sz w:val="20"/>
              </w:rPr>
              <w:t xml:space="preserve">Haver Analytics, WDI and UNHCR. C </w:t>
            </w:r>
            <w:r w:rsidR="00513372" w:rsidRPr="00034A4A">
              <w:rPr>
                <w:rFonts w:ascii="Sylfaen" w:hAnsi="Sylfaen" w:cs="Times New Roman"/>
                <w:sz w:val="20"/>
              </w:rPr>
              <w:t xml:space="preserve">and </w:t>
            </w:r>
            <w:r w:rsidRPr="00034A4A">
              <w:rPr>
                <w:rFonts w:ascii="Sylfaen" w:hAnsi="Sylfaen" w:cs="Times New Roman"/>
                <w:sz w:val="20"/>
              </w:rPr>
              <w:t>D</w:t>
            </w:r>
            <w:r w:rsidR="00E9786D" w:rsidRPr="00034A4A">
              <w:rPr>
                <w:rFonts w:ascii="Sylfaen" w:hAnsi="Sylfaen" w:cs="Times New Roman"/>
                <w:sz w:val="20"/>
              </w:rPr>
              <w:t xml:space="preserve"> – </w:t>
            </w:r>
            <w:r w:rsidRPr="00034A4A">
              <w:rPr>
                <w:rFonts w:ascii="Sylfaen" w:hAnsi="Sylfaen" w:cs="Times New Roman"/>
                <w:sz w:val="20"/>
              </w:rPr>
              <w:t xml:space="preserve">UN Population projections, 2016. </w:t>
            </w:r>
          </w:p>
        </w:tc>
      </w:tr>
    </w:tbl>
    <w:p w14:paraId="69E3D090" w14:textId="77777777" w:rsidR="00C5462E" w:rsidRPr="00034A4A" w:rsidRDefault="00C5462E" w:rsidP="008769F4">
      <w:pPr>
        <w:spacing w:after="120"/>
        <w:jc w:val="both"/>
        <w:rPr>
          <w:rFonts w:ascii="Sylfaen" w:hAnsi="Sylfaen" w:cs="Times New Roman"/>
          <w:b/>
          <w:color w:val="0070C0"/>
          <w:sz w:val="24"/>
        </w:rPr>
      </w:pPr>
      <w:r w:rsidRPr="00034A4A">
        <w:rPr>
          <w:rFonts w:ascii="Sylfaen" w:hAnsi="Sylfaen" w:cs="Times New Roman"/>
          <w:b/>
          <w:color w:val="0070C0"/>
          <w:sz w:val="24"/>
        </w:rPr>
        <w:br w:type="page"/>
      </w:r>
    </w:p>
    <w:p w14:paraId="106DC12F" w14:textId="568E41B0" w:rsidR="00296E26" w:rsidRPr="00034A4A" w:rsidRDefault="00F67E9E" w:rsidP="008769F4">
      <w:pPr>
        <w:pStyle w:val="ListParagraph"/>
        <w:numPr>
          <w:ilvl w:val="0"/>
          <w:numId w:val="36"/>
        </w:numPr>
        <w:autoSpaceDE w:val="0"/>
        <w:autoSpaceDN w:val="0"/>
        <w:adjustRightInd w:val="0"/>
        <w:spacing w:after="120"/>
        <w:ind w:left="360"/>
        <w:contextualSpacing w:val="0"/>
        <w:jc w:val="both"/>
        <w:rPr>
          <w:rFonts w:ascii="Sylfaen" w:hAnsi="Sylfaen" w:cs="Times New Roman"/>
          <w:b/>
          <w:color w:val="0070C0"/>
          <w:sz w:val="28"/>
          <w:szCs w:val="28"/>
        </w:rPr>
      </w:pPr>
      <w:r w:rsidRPr="00034A4A">
        <w:rPr>
          <w:rFonts w:ascii="Sylfaen" w:hAnsi="Sylfaen" w:cs="Times New Roman"/>
          <w:b/>
          <w:color w:val="0070C0"/>
          <w:sz w:val="28"/>
          <w:szCs w:val="28"/>
        </w:rPr>
        <w:t xml:space="preserve">Options for </w:t>
      </w:r>
      <w:r w:rsidR="00296E26" w:rsidRPr="00034A4A">
        <w:rPr>
          <w:rFonts w:ascii="Sylfaen" w:hAnsi="Sylfaen" w:cs="Times New Roman"/>
          <w:b/>
          <w:color w:val="0070C0"/>
          <w:sz w:val="28"/>
          <w:szCs w:val="28"/>
        </w:rPr>
        <w:t>short</w:t>
      </w:r>
      <w:r w:rsidR="00CA0A24" w:rsidRPr="00034A4A">
        <w:rPr>
          <w:rFonts w:ascii="Sylfaen" w:hAnsi="Sylfaen" w:cs="Times New Roman"/>
          <w:b/>
          <w:color w:val="0070C0"/>
          <w:sz w:val="28"/>
          <w:szCs w:val="28"/>
        </w:rPr>
        <w:t>-</w:t>
      </w:r>
      <w:r w:rsidR="00296E26" w:rsidRPr="00034A4A">
        <w:rPr>
          <w:rFonts w:ascii="Sylfaen" w:hAnsi="Sylfaen" w:cs="Times New Roman"/>
          <w:b/>
          <w:color w:val="0070C0"/>
          <w:sz w:val="28"/>
          <w:szCs w:val="28"/>
        </w:rPr>
        <w:t>term job creation</w:t>
      </w:r>
      <w:r w:rsidRPr="00034A4A">
        <w:rPr>
          <w:rFonts w:ascii="Sylfaen" w:hAnsi="Sylfaen" w:cs="Times New Roman"/>
          <w:b/>
          <w:color w:val="0070C0"/>
          <w:sz w:val="28"/>
          <w:szCs w:val="28"/>
        </w:rPr>
        <w:t xml:space="preserve"> at large scale</w:t>
      </w:r>
    </w:p>
    <w:p w14:paraId="4ED4C33E" w14:textId="016AAD31" w:rsidR="00296E26" w:rsidRPr="00034A4A" w:rsidRDefault="00E40B27" w:rsidP="008769F4">
      <w:pPr>
        <w:spacing w:after="120"/>
        <w:jc w:val="both"/>
        <w:rPr>
          <w:rFonts w:ascii="Sylfaen" w:hAnsi="Sylfaen" w:cs="Times New Roman"/>
        </w:rPr>
      </w:pPr>
      <w:r w:rsidRPr="00034A4A">
        <w:rPr>
          <w:rFonts w:ascii="Sylfaen" w:hAnsi="Sylfaen" w:cs="Times New Roman"/>
          <w:b/>
        </w:rPr>
        <w:t>Reconstruction and stabilization in Iraq call for a vigorous jobs strategy, but an unconventional approach is needed to make progress in the short term despite important obstacles</w:t>
      </w:r>
      <w:r w:rsidR="001C196C" w:rsidRPr="00034A4A">
        <w:rPr>
          <w:rFonts w:ascii="Sylfaen" w:hAnsi="Sylfaen" w:cs="Times New Roman"/>
          <w:b/>
        </w:rPr>
        <w:t xml:space="preserve">. </w:t>
      </w:r>
      <w:r w:rsidR="00296E26" w:rsidRPr="00034A4A">
        <w:rPr>
          <w:rFonts w:ascii="Sylfaen" w:hAnsi="Sylfaen" w:cs="Times New Roman"/>
        </w:rPr>
        <w:t>The prevailing social, political and economic conditions in Iraq present a compelling case for the GOI to launch a strategy that create</w:t>
      </w:r>
      <w:r w:rsidR="007F683F" w:rsidRPr="00034A4A">
        <w:rPr>
          <w:rFonts w:ascii="Sylfaen" w:hAnsi="Sylfaen" w:cs="Times New Roman"/>
        </w:rPr>
        <w:t>s</w:t>
      </w:r>
      <w:r w:rsidR="00296E26" w:rsidRPr="00034A4A">
        <w:rPr>
          <w:rFonts w:ascii="Sylfaen" w:hAnsi="Sylfaen" w:cs="Times New Roman"/>
        </w:rPr>
        <w:t xml:space="preserve"> large numbers of jobs in the short-term. In the aftermath of one of the most ominous </w:t>
      </w:r>
      <w:r w:rsidRPr="00034A4A">
        <w:rPr>
          <w:rFonts w:ascii="Sylfaen" w:hAnsi="Sylfaen" w:cs="Times New Roman"/>
        </w:rPr>
        <w:t xml:space="preserve">regional </w:t>
      </w:r>
      <w:r w:rsidR="00296E26" w:rsidRPr="00034A4A">
        <w:rPr>
          <w:rFonts w:ascii="Sylfaen" w:hAnsi="Sylfaen" w:cs="Times New Roman"/>
        </w:rPr>
        <w:t xml:space="preserve">conflicts, Iraqi citizens of all sects expect </w:t>
      </w:r>
      <w:r w:rsidR="00007E45" w:rsidRPr="00034A4A">
        <w:rPr>
          <w:rFonts w:ascii="Sylfaen" w:hAnsi="Sylfaen" w:cs="Times New Roman"/>
        </w:rPr>
        <w:t>a peace dividend, and</w:t>
      </w:r>
      <w:r w:rsidR="00296E26" w:rsidRPr="00034A4A">
        <w:rPr>
          <w:rFonts w:ascii="Sylfaen" w:hAnsi="Sylfaen" w:cs="Times New Roman"/>
        </w:rPr>
        <w:t xml:space="preserve"> </w:t>
      </w:r>
      <w:r w:rsidR="00007E45" w:rsidRPr="00034A4A">
        <w:rPr>
          <w:rFonts w:ascii="Sylfaen" w:hAnsi="Sylfaen" w:cs="Times New Roman"/>
        </w:rPr>
        <w:t xml:space="preserve">many </w:t>
      </w:r>
      <w:r w:rsidR="00296E26" w:rsidRPr="00034A4A">
        <w:rPr>
          <w:rFonts w:ascii="Sylfaen" w:hAnsi="Sylfaen" w:cs="Times New Roman"/>
        </w:rPr>
        <w:t xml:space="preserve">will use scale and speed </w:t>
      </w:r>
      <w:r w:rsidR="00007E45" w:rsidRPr="00034A4A">
        <w:rPr>
          <w:rFonts w:ascii="Sylfaen" w:hAnsi="Sylfaen" w:cs="Times New Roman"/>
        </w:rPr>
        <w:t xml:space="preserve">of job creation as a </w:t>
      </w:r>
      <w:r w:rsidR="00766F2F">
        <w:rPr>
          <w:rFonts w:ascii="Sylfaen" w:hAnsi="Sylfaen" w:cs="Times New Roman"/>
        </w:rPr>
        <w:t>measure</w:t>
      </w:r>
      <w:r w:rsidR="00007E45" w:rsidRPr="00034A4A">
        <w:rPr>
          <w:rFonts w:ascii="Sylfaen" w:hAnsi="Sylfaen" w:cs="Times New Roman"/>
        </w:rPr>
        <w:t xml:space="preserve"> of the GOI’s </w:t>
      </w:r>
      <w:r w:rsidR="00296E26" w:rsidRPr="00034A4A">
        <w:rPr>
          <w:rFonts w:ascii="Sylfaen" w:hAnsi="Sylfaen" w:cs="Times New Roman"/>
        </w:rPr>
        <w:t>commitment</w:t>
      </w:r>
      <w:r w:rsidR="00C5462E" w:rsidRPr="00034A4A">
        <w:rPr>
          <w:rFonts w:ascii="Sylfaen" w:hAnsi="Sylfaen" w:cs="Times New Roman"/>
        </w:rPr>
        <w:t xml:space="preserve"> and capability</w:t>
      </w:r>
      <w:r w:rsidR="00007E45" w:rsidRPr="00034A4A">
        <w:rPr>
          <w:rFonts w:ascii="Sylfaen" w:hAnsi="Sylfaen" w:cs="Times New Roman"/>
        </w:rPr>
        <w:t xml:space="preserve">. </w:t>
      </w:r>
      <w:r w:rsidR="00296E26" w:rsidRPr="00034A4A">
        <w:rPr>
          <w:rFonts w:ascii="Sylfaen" w:hAnsi="Sylfaen" w:cs="Times New Roman"/>
        </w:rPr>
        <w:t xml:space="preserve">Several binding constraints will bear on any short-term jobs strategy. </w:t>
      </w:r>
      <w:r w:rsidR="001876AD" w:rsidRPr="00034A4A">
        <w:rPr>
          <w:rFonts w:ascii="Sylfaen" w:hAnsi="Sylfaen" w:cs="Times New Roman"/>
        </w:rPr>
        <w:t>I</w:t>
      </w:r>
      <w:r w:rsidR="00296E26" w:rsidRPr="00034A4A">
        <w:rPr>
          <w:rFonts w:ascii="Sylfaen" w:hAnsi="Sylfaen" w:cs="Times New Roman"/>
        </w:rPr>
        <w:t xml:space="preserve">nvestment climate and public sector reforms will </w:t>
      </w:r>
      <w:r w:rsidR="001876AD" w:rsidRPr="00034A4A">
        <w:rPr>
          <w:rFonts w:ascii="Sylfaen" w:hAnsi="Sylfaen" w:cs="Times New Roman"/>
        </w:rPr>
        <w:t>need time to have an impact on job creation. Therefore</w:t>
      </w:r>
      <w:r w:rsidR="00296E26" w:rsidRPr="00034A4A">
        <w:rPr>
          <w:rFonts w:ascii="Sylfaen" w:hAnsi="Sylfaen" w:cs="Times New Roman"/>
        </w:rPr>
        <w:t xml:space="preserve">, a short-term jobs strategy must proceed and succeed without them. A large share of job seekers lack basic skills and the traditional education system cannot </w:t>
      </w:r>
      <w:r w:rsidR="000C2582" w:rsidRPr="00034A4A">
        <w:rPr>
          <w:rFonts w:ascii="Sylfaen" w:hAnsi="Sylfaen" w:cs="Times New Roman"/>
        </w:rPr>
        <w:t xml:space="preserve">effectively train those without skills </w:t>
      </w:r>
      <w:r w:rsidR="00296E26" w:rsidRPr="00034A4A">
        <w:rPr>
          <w:rFonts w:ascii="Sylfaen" w:hAnsi="Sylfaen" w:cs="Times New Roman"/>
        </w:rPr>
        <w:t xml:space="preserve">in the short term. Above all, the threat of fragility and national security-related challenges will continue to </w:t>
      </w:r>
      <w:r w:rsidR="001876AD" w:rsidRPr="00034A4A">
        <w:rPr>
          <w:rFonts w:ascii="Sylfaen" w:hAnsi="Sylfaen" w:cs="Times New Roman"/>
        </w:rPr>
        <w:t xml:space="preserve">depress demand and investment, and </w:t>
      </w:r>
      <w:r w:rsidR="00766F2F">
        <w:rPr>
          <w:rFonts w:ascii="Sylfaen" w:hAnsi="Sylfaen" w:cs="Times New Roman"/>
        </w:rPr>
        <w:t xml:space="preserve">will </w:t>
      </w:r>
      <w:r w:rsidR="001876AD" w:rsidRPr="00034A4A">
        <w:rPr>
          <w:rFonts w:ascii="Sylfaen" w:hAnsi="Sylfaen" w:cs="Times New Roman"/>
        </w:rPr>
        <w:t xml:space="preserve">require </w:t>
      </w:r>
      <w:r w:rsidR="00C5462E" w:rsidRPr="00034A4A">
        <w:rPr>
          <w:rFonts w:ascii="Sylfaen" w:hAnsi="Sylfaen" w:cs="Times New Roman"/>
        </w:rPr>
        <w:t xml:space="preserve">the </w:t>
      </w:r>
      <w:r w:rsidR="00296E26" w:rsidRPr="00034A4A">
        <w:rPr>
          <w:rFonts w:ascii="Sylfaen" w:hAnsi="Sylfaen" w:cs="Times New Roman"/>
        </w:rPr>
        <w:t xml:space="preserve">GOI’s </w:t>
      </w:r>
      <w:r w:rsidR="001876AD" w:rsidRPr="00034A4A">
        <w:rPr>
          <w:rFonts w:ascii="Sylfaen" w:hAnsi="Sylfaen" w:cs="Times New Roman"/>
        </w:rPr>
        <w:t xml:space="preserve">unrelenting </w:t>
      </w:r>
      <w:r w:rsidR="00296E26" w:rsidRPr="00034A4A">
        <w:rPr>
          <w:rFonts w:ascii="Sylfaen" w:hAnsi="Sylfaen" w:cs="Times New Roman"/>
        </w:rPr>
        <w:t>attention and engagement.</w:t>
      </w:r>
    </w:p>
    <w:p w14:paraId="27D0F6D4" w14:textId="2E0B6C80" w:rsidR="00CE4BAB" w:rsidRPr="00034A4A" w:rsidRDefault="00E40B27" w:rsidP="008769F4">
      <w:pPr>
        <w:spacing w:after="120"/>
        <w:jc w:val="both"/>
        <w:rPr>
          <w:rFonts w:ascii="Sylfaen" w:hAnsi="Sylfaen" w:cs="Times New Roman"/>
          <w:b/>
        </w:rPr>
      </w:pPr>
      <w:r w:rsidRPr="00034A4A">
        <w:rPr>
          <w:rFonts w:ascii="Sylfaen" w:hAnsi="Sylfaen" w:cs="Times New Roman"/>
          <w:b/>
        </w:rPr>
        <w:t>This paper uses t</w:t>
      </w:r>
      <w:r w:rsidR="00CE4BAB" w:rsidRPr="00034A4A">
        <w:rPr>
          <w:rFonts w:ascii="Sylfaen" w:hAnsi="Sylfaen" w:cs="Times New Roman"/>
          <w:b/>
        </w:rPr>
        <w:t xml:space="preserve">hree criteria to </w:t>
      </w:r>
      <w:r w:rsidR="00B111F9" w:rsidRPr="00034A4A">
        <w:rPr>
          <w:rFonts w:ascii="Sylfaen" w:hAnsi="Sylfaen" w:cs="Times New Roman"/>
          <w:b/>
        </w:rPr>
        <w:t>identify</w:t>
      </w:r>
      <w:r w:rsidR="00CE4BAB" w:rsidRPr="00034A4A">
        <w:rPr>
          <w:rFonts w:ascii="Sylfaen" w:hAnsi="Sylfaen" w:cs="Times New Roman"/>
          <w:b/>
        </w:rPr>
        <w:t xml:space="preserve"> </w:t>
      </w:r>
      <w:r w:rsidRPr="00034A4A">
        <w:rPr>
          <w:rFonts w:ascii="Sylfaen" w:hAnsi="Sylfaen" w:cs="Times New Roman"/>
          <w:b/>
        </w:rPr>
        <w:t xml:space="preserve">sectoral </w:t>
      </w:r>
      <w:r w:rsidR="00B111F9" w:rsidRPr="00034A4A">
        <w:rPr>
          <w:rFonts w:ascii="Sylfaen" w:hAnsi="Sylfaen" w:cs="Times New Roman"/>
          <w:b/>
        </w:rPr>
        <w:t>and cross-cut</w:t>
      </w:r>
      <w:r w:rsidR="00E9786D" w:rsidRPr="00034A4A">
        <w:rPr>
          <w:rFonts w:ascii="Sylfaen" w:hAnsi="Sylfaen" w:cs="Times New Roman"/>
          <w:b/>
        </w:rPr>
        <w:t xml:space="preserve">ting </w:t>
      </w:r>
      <w:r w:rsidR="001876AD" w:rsidRPr="00034A4A">
        <w:rPr>
          <w:rFonts w:ascii="Sylfaen" w:hAnsi="Sylfaen" w:cs="Times New Roman"/>
          <w:b/>
        </w:rPr>
        <w:t>options for short-term job</w:t>
      </w:r>
      <w:r w:rsidR="00CE4BAB" w:rsidRPr="00034A4A">
        <w:rPr>
          <w:rFonts w:ascii="Sylfaen" w:hAnsi="Sylfaen" w:cs="Times New Roman"/>
          <w:b/>
        </w:rPr>
        <w:t xml:space="preserve"> </w:t>
      </w:r>
      <w:r w:rsidR="001876AD" w:rsidRPr="00034A4A">
        <w:rPr>
          <w:rFonts w:ascii="Sylfaen" w:hAnsi="Sylfaen" w:cs="Times New Roman"/>
          <w:b/>
        </w:rPr>
        <w:t xml:space="preserve">creation in </w:t>
      </w:r>
      <w:r w:rsidR="00CE4BAB" w:rsidRPr="00034A4A">
        <w:rPr>
          <w:rFonts w:ascii="Sylfaen" w:hAnsi="Sylfaen" w:cs="Times New Roman"/>
          <w:b/>
        </w:rPr>
        <w:t>Iraq:</w:t>
      </w:r>
    </w:p>
    <w:p w14:paraId="26A1DF11" w14:textId="2114DE79" w:rsidR="00CE4BAB" w:rsidRPr="00034A4A" w:rsidRDefault="00CE4BAB" w:rsidP="008769F4">
      <w:pPr>
        <w:pStyle w:val="ListParagraph"/>
        <w:numPr>
          <w:ilvl w:val="0"/>
          <w:numId w:val="34"/>
        </w:numPr>
        <w:spacing w:after="120"/>
        <w:ind w:left="720" w:hanging="360"/>
        <w:contextualSpacing w:val="0"/>
        <w:jc w:val="both"/>
        <w:rPr>
          <w:rFonts w:ascii="Sylfaen" w:hAnsi="Sylfaen" w:cs="Times New Roman"/>
        </w:rPr>
      </w:pPr>
      <w:r w:rsidRPr="00034A4A">
        <w:rPr>
          <w:rFonts w:ascii="Sylfaen" w:hAnsi="Sylfaen" w:cs="Times New Roman"/>
        </w:rPr>
        <w:t>Is there a credible opportunity to support job creation in the immediate term?</w:t>
      </w:r>
    </w:p>
    <w:p w14:paraId="0B2692F2" w14:textId="77777777" w:rsidR="00150199" w:rsidRPr="00034A4A" w:rsidRDefault="00150199" w:rsidP="008769F4">
      <w:pPr>
        <w:pStyle w:val="ListParagraph"/>
        <w:numPr>
          <w:ilvl w:val="0"/>
          <w:numId w:val="34"/>
        </w:numPr>
        <w:spacing w:after="120"/>
        <w:ind w:left="720" w:hanging="360"/>
        <w:contextualSpacing w:val="0"/>
        <w:jc w:val="both"/>
        <w:rPr>
          <w:rFonts w:ascii="Sylfaen" w:hAnsi="Sylfaen" w:cs="Times New Roman"/>
        </w:rPr>
      </w:pPr>
      <w:r w:rsidRPr="00034A4A">
        <w:rPr>
          <w:rFonts w:ascii="Sylfaen" w:hAnsi="Sylfaen" w:cs="Times New Roman"/>
        </w:rPr>
        <w:t>Is the sector jobs-intensive?</w:t>
      </w:r>
    </w:p>
    <w:p w14:paraId="328CB1B0" w14:textId="77777777" w:rsidR="00150199" w:rsidRPr="00034A4A" w:rsidRDefault="00150199" w:rsidP="008769F4">
      <w:pPr>
        <w:pStyle w:val="ListParagraph"/>
        <w:numPr>
          <w:ilvl w:val="0"/>
          <w:numId w:val="34"/>
        </w:numPr>
        <w:spacing w:after="120"/>
        <w:ind w:left="720" w:hanging="360"/>
        <w:contextualSpacing w:val="0"/>
        <w:jc w:val="both"/>
        <w:rPr>
          <w:rFonts w:ascii="Sylfaen" w:hAnsi="Sylfaen" w:cs="Times New Roman"/>
        </w:rPr>
      </w:pPr>
      <w:r w:rsidRPr="00034A4A">
        <w:rPr>
          <w:rFonts w:ascii="Sylfaen" w:hAnsi="Sylfaen" w:cs="Times New Roman"/>
        </w:rPr>
        <w:t>Is business in the sector potentially sustainable and competitive in the longer term?</w:t>
      </w:r>
    </w:p>
    <w:p w14:paraId="164410AF" w14:textId="54E9F078" w:rsidR="00C5462E" w:rsidRPr="00034A4A" w:rsidRDefault="00CE4BAB" w:rsidP="008769F4">
      <w:pPr>
        <w:spacing w:after="120"/>
        <w:jc w:val="both"/>
        <w:rPr>
          <w:rFonts w:ascii="Sylfaen" w:hAnsi="Sylfaen" w:cs="Times New Roman"/>
          <w:b/>
          <w:bCs/>
        </w:rPr>
      </w:pPr>
      <w:r w:rsidRPr="00034A4A">
        <w:rPr>
          <w:rFonts w:ascii="Sylfaen" w:hAnsi="Sylfaen" w:cs="Times New Roman"/>
          <w:b/>
        </w:rPr>
        <w:t>In addition, c</w:t>
      </w:r>
      <w:r w:rsidR="00296E26" w:rsidRPr="00034A4A">
        <w:rPr>
          <w:rFonts w:ascii="Sylfaen" w:hAnsi="Sylfaen" w:cs="Times New Roman"/>
          <w:b/>
        </w:rPr>
        <w:t xml:space="preserve">ertain </w:t>
      </w:r>
      <w:r w:rsidR="00C5462E" w:rsidRPr="00034A4A">
        <w:rPr>
          <w:rFonts w:ascii="Sylfaen" w:hAnsi="Sylfaen" w:cs="Times New Roman"/>
          <w:b/>
        </w:rPr>
        <w:t xml:space="preserve">overarching </w:t>
      </w:r>
      <w:r w:rsidR="00296E26" w:rsidRPr="00034A4A">
        <w:rPr>
          <w:rFonts w:ascii="Sylfaen" w:hAnsi="Sylfaen" w:cs="Times New Roman"/>
          <w:b/>
          <w:bCs/>
        </w:rPr>
        <w:t xml:space="preserve">considerations should feature in any short-term </w:t>
      </w:r>
      <w:r w:rsidR="001876AD" w:rsidRPr="00034A4A">
        <w:rPr>
          <w:rFonts w:ascii="Sylfaen" w:hAnsi="Sylfaen" w:cs="Times New Roman"/>
          <w:b/>
          <w:bCs/>
        </w:rPr>
        <w:t xml:space="preserve">actions on </w:t>
      </w:r>
      <w:r w:rsidR="00296E26" w:rsidRPr="00034A4A">
        <w:rPr>
          <w:rFonts w:ascii="Sylfaen" w:hAnsi="Sylfaen" w:cs="Times New Roman"/>
          <w:b/>
          <w:bCs/>
        </w:rPr>
        <w:t xml:space="preserve">jobs that GOI </w:t>
      </w:r>
      <w:r w:rsidR="001876AD" w:rsidRPr="00034A4A">
        <w:rPr>
          <w:rFonts w:ascii="Sylfaen" w:hAnsi="Sylfaen" w:cs="Times New Roman"/>
          <w:b/>
          <w:bCs/>
        </w:rPr>
        <w:t>takes</w:t>
      </w:r>
      <w:r w:rsidR="00E40B27" w:rsidRPr="00034A4A">
        <w:rPr>
          <w:rFonts w:ascii="Sylfaen" w:hAnsi="Sylfaen" w:cs="Times New Roman"/>
          <w:b/>
          <w:bCs/>
        </w:rPr>
        <w:t>:</w:t>
      </w:r>
    </w:p>
    <w:p w14:paraId="480EB7E6" w14:textId="0D7A5456" w:rsidR="00C5462E" w:rsidRPr="00034A4A" w:rsidRDefault="00E40B27" w:rsidP="008769F4">
      <w:pPr>
        <w:pStyle w:val="ListParagraph"/>
        <w:numPr>
          <w:ilvl w:val="0"/>
          <w:numId w:val="37"/>
        </w:numPr>
        <w:spacing w:after="120"/>
        <w:contextualSpacing w:val="0"/>
        <w:jc w:val="both"/>
        <w:rPr>
          <w:rFonts w:ascii="Sylfaen" w:hAnsi="Sylfaen"/>
          <w:bCs/>
        </w:rPr>
      </w:pPr>
      <w:r w:rsidRPr="00034A4A">
        <w:rPr>
          <w:rFonts w:ascii="Sylfaen" w:hAnsi="Sylfaen" w:cs="Times New Roman"/>
          <w:bCs/>
        </w:rPr>
        <w:t xml:space="preserve">The </w:t>
      </w:r>
      <w:r w:rsidR="001876AD" w:rsidRPr="00034A4A">
        <w:rPr>
          <w:rFonts w:ascii="Sylfaen" w:hAnsi="Sylfaen" w:cs="Times New Roman"/>
          <w:bCs/>
        </w:rPr>
        <w:t xml:space="preserve">approach </w:t>
      </w:r>
      <w:r w:rsidRPr="00034A4A">
        <w:rPr>
          <w:rFonts w:ascii="Sylfaen" w:hAnsi="Sylfaen" w:cs="Times New Roman"/>
          <w:bCs/>
        </w:rPr>
        <w:t xml:space="preserve">should be implementable concurrently in regions where the jobs challenge is pressing, since </w:t>
      </w:r>
      <w:r w:rsidR="00296E26" w:rsidRPr="00034A4A">
        <w:rPr>
          <w:rFonts w:ascii="Sylfaen" w:hAnsi="Sylfaen" w:cs="Times New Roman"/>
          <w:bCs/>
        </w:rPr>
        <w:t xml:space="preserve">speed and scale of job creation are </w:t>
      </w:r>
      <w:r w:rsidRPr="00034A4A">
        <w:rPr>
          <w:rFonts w:ascii="Sylfaen" w:hAnsi="Sylfaen" w:cs="Times New Roman"/>
          <w:bCs/>
        </w:rPr>
        <w:t>crucial.</w:t>
      </w:r>
    </w:p>
    <w:p w14:paraId="54D6CF66" w14:textId="049FD710" w:rsidR="00C5462E" w:rsidRPr="00034A4A" w:rsidRDefault="00E40B27" w:rsidP="008769F4">
      <w:pPr>
        <w:pStyle w:val="ListParagraph"/>
        <w:numPr>
          <w:ilvl w:val="0"/>
          <w:numId w:val="37"/>
        </w:numPr>
        <w:spacing w:after="120"/>
        <w:contextualSpacing w:val="0"/>
        <w:jc w:val="both"/>
        <w:rPr>
          <w:rFonts w:ascii="Sylfaen" w:hAnsi="Sylfaen"/>
          <w:bCs/>
        </w:rPr>
      </w:pPr>
      <w:r w:rsidRPr="00034A4A">
        <w:rPr>
          <w:rFonts w:ascii="Sylfaen" w:hAnsi="Sylfaen" w:cs="Times New Roman"/>
          <w:bCs/>
        </w:rPr>
        <w:t>W</w:t>
      </w:r>
      <w:r w:rsidR="00296E26" w:rsidRPr="00034A4A">
        <w:rPr>
          <w:rFonts w:ascii="Sylfaen" w:hAnsi="Sylfaen" w:cs="Times New Roman"/>
          <w:bCs/>
        </w:rPr>
        <w:t>hile it is critical to create jobs for all, the excluded groups sh</w:t>
      </w:r>
      <w:r w:rsidR="00C5462E" w:rsidRPr="00034A4A">
        <w:rPr>
          <w:rFonts w:ascii="Sylfaen" w:hAnsi="Sylfaen" w:cs="Times New Roman"/>
          <w:bCs/>
        </w:rPr>
        <w:t>ould receive special attention.</w:t>
      </w:r>
    </w:p>
    <w:p w14:paraId="4B0D7362" w14:textId="7F1CE7B0" w:rsidR="00C5462E" w:rsidRPr="00034A4A" w:rsidRDefault="00E40B27" w:rsidP="008769F4">
      <w:pPr>
        <w:pStyle w:val="ListParagraph"/>
        <w:numPr>
          <w:ilvl w:val="0"/>
          <w:numId w:val="37"/>
        </w:numPr>
        <w:spacing w:after="120"/>
        <w:contextualSpacing w:val="0"/>
        <w:jc w:val="both"/>
        <w:rPr>
          <w:rFonts w:ascii="Sylfaen" w:hAnsi="Sylfaen"/>
          <w:bCs/>
        </w:rPr>
      </w:pPr>
      <w:r w:rsidRPr="00034A4A">
        <w:rPr>
          <w:rFonts w:ascii="Sylfaen" w:hAnsi="Sylfaen" w:cs="Times New Roman"/>
          <w:bCs/>
        </w:rPr>
        <w:t>The actions should serve to revive</w:t>
      </w:r>
      <w:r w:rsidR="00296E26" w:rsidRPr="00034A4A">
        <w:rPr>
          <w:rFonts w:ascii="Sylfaen" w:hAnsi="Sylfaen" w:cs="Times New Roman"/>
          <w:bCs/>
        </w:rPr>
        <w:t xml:space="preserve"> GOI’s credibility. </w:t>
      </w:r>
      <w:r w:rsidR="00C5462E" w:rsidRPr="00034A4A">
        <w:rPr>
          <w:rFonts w:ascii="Sylfaen" w:hAnsi="Sylfaen" w:cs="Times New Roman"/>
          <w:bCs/>
        </w:rPr>
        <w:t>Actions that demonstrate s</w:t>
      </w:r>
      <w:r w:rsidR="00296E26" w:rsidRPr="00034A4A">
        <w:rPr>
          <w:rFonts w:ascii="Sylfaen" w:hAnsi="Sylfaen" w:cs="Times New Roman"/>
          <w:bCs/>
        </w:rPr>
        <w:t xml:space="preserve">ect-neutrality </w:t>
      </w:r>
      <w:r w:rsidR="00C5462E" w:rsidRPr="00034A4A">
        <w:rPr>
          <w:rFonts w:ascii="Sylfaen" w:hAnsi="Sylfaen" w:cs="Times New Roman"/>
          <w:bCs/>
        </w:rPr>
        <w:t xml:space="preserve">and a true </w:t>
      </w:r>
      <w:r w:rsidR="00296E26" w:rsidRPr="00034A4A">
        <w:rPr>
          <w:rFonts w:ascii="Sylfaen" w:hAnsi="Sylfaen" w:cs="Times New Roman"/>
          <w:bCs/>
        </w:rPr>
        <w:t xml:space="preserve">commitment to </w:t>
      </w:r>
      <w:r w:rsidR="00C5462E" w:rsidRPr="00034A4A">
        <w:rPr>
          <w:rFonts w:ascii="Sylfaen" w:hAnsi="Sylfaen" w:cs="Times New Roman"/>
          <w:bCs/>
        </w:rPr>
        <w:t xml:space="preserve">creating jobs for </w:t>
      </w:r>
      <w:r w:rsidR="00296E26" w:rsidRPr="00034A4A">
        <w:rPr>
          <w:rFonts w:ascii="Sylfaen" w:hAnsi="Sylfaen" w:cs="Times New Roman"/>
          <w:bCs/>
        </w:rPr>
        <w:t xml:space="preserve">all Iraqis are important </w:t>
      </w:r>
      <w:r w:rsidRPr="00034A4A">
        <w:rPr>
          <w:rFonts w:ascii="Sylfaen" w:hAnsi="Sylfaen" w:cs="Times New Roman"/>
          <w:bCs/>
        </w:rPr>
        <w:t>to</w:t>
      </w:r>
      <w:r w:rsidR="00C5462E" w:rsidRPr="00034A4A">
        <w:rPr>
          <w:rFonts w:ascii="Sylfaen" w:hAnsi="Sylfaen" w:cs="Times New Roman"/>
          <w:bCs/>
        </w:rPr>
        <w:t xml:space="preserve"> buy</w:t>
      </w:r>
      <w:r w:rsidR="00296E26" w:rsidRPr="00034A4A">
        <w:rPr>
          <w:rFonts w:ascii="Sylfaen" w:hAnsi="Sylfaen" w:cs="Times New Roman"/>
          <w:bCs/>
        </w:rPr>
        <w:t xml:space="preserve"> the government </w:t>
      </w:r>
      <w:r w:rsidR="00C5462E" w:rsidRPr="00034A4A">
        <w:rPr>
          <w:rFonts w:ascii="Sylfaen" w:hAnsi="Sylfaen" w:cs="Times New Roman"/>
          <w:bCs/>
        </w:rPr>
        <w:t xml:space="preserve">the necessary </w:t>
      </w:r>
      <w:r w:rsidR="00296E26" w:rsidRPr="00034A4A">
        <w:rPr>
          <w:rFonts w:ascii="Sylfaen" w:hAnsi="Sylfaen" w:cs="Times New Roman"/>
          <w:bCs/>
        </w:rPr>
        <w:t xml:space="preserve">goodwill </w:t>
      </w:r>
      <w:r w:rsidR="00C5462E" w:rsidRPr="00034A4A">
        <w:rPr>
          <w:rFonts w:ascii="Sylfaen" w:hAnsi="Sylfaen" w:cs="Times New Roman"/>
          <w:bCs/>
        </w:rPr>
        <w:t xml:space="preserve">to see its strategy through </w:t>
      </w:r>
      <w:r w:rsidRPr="00034A4A">
        <w:rPr>
          <w:rFonts w:ascii="Sylfaen" w:hAnsi="Sylfaen" w:cs="Times New Roman"/>
          <w:bCs/>
        </w:rPr>
        <w:t>implementation, and embark on longer-term reforms</w:t>
      </w:r>
      <w:r w:rsidR="00296E26" w:rsidRPr="00034A4A">
        <w:rPr>
          <w:rFonts w:ascii="Sylfaen" w:hAnsi="Sylfaen" w:cs="Times New Roman"/>
          <w:bCs/>
        </w:rPr>
        <w:t>.</w:t>
      </w:r>
    </w:p>
    <w:p w14:paraId="6254470F" w14:textId="3EF8A267" w:rsidR="00C5462E" w:rsidRPr="00034A4A" w:rsidRDefault="00E40B27" w:rsidP="008769F4">
      <w:pPr>
        <w:pStyle w:val="ListParagraph"/>
        <w:numPr>
          <w:ilvl w:val="0"/>
          <w:numId w:val="37"/>
        </w:numPr>
        <w:spacing w:after="120"/>
        <w:contextualSpacing w:val="0"/>
        <w:jc w:val="both"/>
        <w:rPr>
          <w:rFonts w:ascii="Sylfaen" w:hAnsi="Sylfaen"/>
          <w:bCs/>
        </w:rPr>
      </w:pPr>
      <w:r w:rsidRPr="00034A4A">
        <w:rPr>
          <w:rFonts w:ascii="Sylfaen" w:hAnsi="Sylfaen" w:cs="Times New Roman"/>
          <w:bCs/>
        </w:rPr>
        <w:t>W</w:t>
      </w:r>
      <w:r w:rsidR="00C5462E" w:rsidRPr="00034A4A">
        <w:rPr>
          <w:rFonts w:ascii="Sylfaen" w:hAnsi="Sylfaen" w:cs="Times New Roman"/>
          <w:bCs/>
        </w:rPr>
        <w:t xml:space="preserve">here possible, </w:t>
      </w:r>
      <w:r w:rsidR="001876AD" w:rsidRPr="00034A4A">
        <w:rPr>
          <w:rFonts w:ascii="Sylfaen" w:hAnsi="Sylfaen" w:cs="Times New Roman"/>
          <w:bCs/>
        </w:rPr>
        <w:t>job creation in the short run</w:t>
      </w:r>
      <w:r w:rsidR="00296E26" w:rsidRPr="00034A4A">
        <w:rPr>
          <w:rFonts w:ascii="Sylfaen" w:hAnsi="Sylfaen" w:cs="Times New Roman"/>
          <w:bCs/>
        </w:rPr>
        <w:t xml:space="preserve"> </w:t>
      </w:r>
      <w:r w:rsidR="00C5462E" w:rsidRPr="00034A4A">
        <w:rPr>
          <w:rFonts w:ascii="Sylfaen" w:hAnsi="Sylfaen" w:cs="Times New Roman"/>
          <w:bCs/>
        </w:rPr>
        <w:t xml:space="preserve">should lay the ground for future sustained job growth. To this end, </w:t>
      </w:r>
      <w:r w:rsidR="001876AD" w:rsidRPr="00034A4A">
        <w:rPr>
          <w:rFonts w:ascii="Sylfaen" w:hAnsi="Sylfaen" w:cs="Times New Roman"/>
          <w:bCs/>
        </w:rPr>
        <w:t xml:space="preserve">the GOI should </w:t>
      </w:r>
      <w:r w:rsidR="00C5462E" w:rsidRPr="00034A4A">
        <w:rPr>
          <w:rFonts w:ascii="Sylfaen" w:hAnsi="Sylfaen" w:cs="Times New Roman"/>
          <w:bCs/>
        </w:rPr>
        <w:t xml:space="preserve">accord </w:t>
      </w:r>
      <w:r w:rsidR="00296E26" w:rsidRPr="00034A4A">
        <w:rPr>
          <w:rFonts w:ascii="Sylfaen" w:hAnsi="Sylfaen" w:cs="Times New Roman"/>
          <w:bCs/>
        </w:rPr>
        <w:t xml:space="preserve">special </w:t>
      </w:r>
      <w:r w:rsidR="00C5462E" w:rsidRPr="00034A4A">
        <w:rPr>
          <w:rFonts w:ascii="Sylfaen" w:hAnsi="Sylfaen" w:cs="Times New Roman"/>
          <w:bCs/>
        </w:rPr>
        <w:t xml:space="preserve">importance to enabling </w:t>
      </w:r>
      <w:r w:rsidR="0031446F">
        <w:rPr>
          <w:rFonts w:ascii="Sylfaen" w:hAnsi="Sylfaen"/>
        </w:rPr>
        <w:t>small and medium enterprises (</w:t>
      </w:r>
      <w:r w:rsidR="0031446F" w:rsidRPr="00034A4A">
        <w:rPr>
          <w:rFonts w:ascii="Sylfaen" w:hAnsi="Sylfaen"/>
        </w:rPr>
        <w:t>SMEs</w:t>
      </w:r>
      <w:r w:rsidR="0031446F">
        <w:rPr>
          <w:rFonts w:ascii="Sylfaen" w:hAnsi="Sylfaen"/>
        </w:rPr>
        <w:t xml:space="preserve">) </w:t>
      </w:r>
      <w:r w:rsidR="00296E26" w:rsidRPr="00034A4A">
        <w:rPr>
          <w:rFonts w:ascii="Sylfaen" w:hAnsi="Sylfaen" w:cs="Times New Roman"/>
          <w:bCs/>
        </w:rPr>
        <w:t xml:space="preserve">and the larger private sector to participate in job creation </w:t>
      </w:r>
      <w:r w:rsidR="00C5462E" w:rsidRPr="00034A4A">
        <w:rPr>
          <w:rFonts w:ascii="Sylfaen" w:hAnsi="Sylfaen" w:cs="Times New Roman"/>
          <w:bCs/>
        </w:rPr>
        <w:t>wherever possible</w:t>
      </w:r>
      <w:r w:rsidR="00296E26" w:rsidRPr="00034A4A">
        <w:rPr>
          <w:rFonts w:ascii="Sylfaen" w:hAnsi="Sylfaen" w:cs="Times New Roman"/>
          <w:bCs/>
        </w:rPr>
        <w:t>.</w:t>
      </w:r>
      <w:r w:rsidR="00B111F9" w:rsidRPr="00034A4A">
        <w:rPr>
          <w:rFonts w:ascii="Sylfaen" w:hAnsi="Sylfaen" w:cs="Times New Roman"/>
          <w:bCs/>
        </w:rPr>
        <w:t xml:space="preserve"> </w:t>
      </w:r>
      <w:r w:rsidRPr="00034A4A">
        <w:rPr>
          <w:rFonts w:ascii="Sylfaen" w:hAnsi="Sylfaen" w:cs="Times New Roman"/>
          <w:bCs/>
        </w:rPr>
        <w:t>A</w:t>
      </w:r>
      <w:r w:rsidR="00C5462E" w:rsidRPr="00034A4A">
        <w:rPr>
          <w:rFonts w:ascii="Sylfaen" w:hAnsi="Sylfaen" w:cs="Times New Roman"/>
          <w:bCs/>
        </w:rPr>
        <w:t>s the shortage of simple vocational skills for reconstruction can stymie job creation, the short-term jobs strategy should foster the generation of these skills.</w:t>
      </w:r>
    </w:p>
    <w:p w14:paraId="7419BCA1" w14:textId="77777777" w:rsidR="00E64873" w:rsidRPr="00034A4A" w:rsidRDefault="00E64873" w:rsidP="008769F4">
      <w:pPr>
        <w:spacing w:after="120"/>
        <w:jc w:val="both"/>
        <w:rPr>
          <w:rFonts w:ascii="Sylfaen" w:hAnsi="Sylfaen" w:cs="Times New Roman"/>
          <w:b/>
        </w:rPr>
      </w:pPr>
      <w:r w:rsidRPr="00034A4A">
        <w:rPr>
          <w:rFonts w:ascii="Sylfaen" w:hAnsi="Sylfaen" w:cs="Times New Roman"/>
          <w:b/>
        </w:rPr>
        <w:br w:type="page"/>
      </w:r>
    </w:p>
    <w:p w14:paraId="348CED69" w14:textId="308B8422" w:rsidR="00296E26" w:rsidRPr="00034A4A" w:rsidRDefault="00296E26" w:rsidP="008769F4">
      <w:pPr>
        <w:spacing w:after="120"/>
        <w:jc w:val="both"/>
        <w:rPr>
          <w:rFonts w:ascii="Sylfaen" w:hAnsi="Sylfaen" w:cs="Times New Roman"/>
          <w:b/>
        </w:rPr>
      </w:pPr>
      <w:r w:rsidRPr="00034A4A">
        <w:rPr>
          <w:rFonts w:ascii="Sylfaen" w:hAnsi="Sylfaen" w:cs="Times New Roman"/>
          <w:b/>
        </w:rPr>
        <w:t xml:space="preserve">The </w:t>
      </w:r>
      <w:r w:rsidR="00CE4BAB" w:rsidRPr="00034A4A">
        <w:rPr>
          <w:rFonts w:ascii="Sylfaen" w:hAnsi="Sylfaen" w:cs="Times New Roman"/>
          <w:b/>
        </w:rPr>
        <w:t xml:space="preserve">following </w:t>
      </w:r>
      <w:r w:rsidR="00C71E6D" w:rsidRPr="00034A4A">
        <w:rPr>
          <w:rFonts w:ascii="Sylfaen" w:hAnsi="Sylfaen" w:cs="Times New Roman"/>
          <w:b/>
        </w:rPr>
        <w:t>three</w:t>
      </w:r>
      <w:r w:rsidR="00CE4BAB" w:rsidRPr="00034A4A">
        <w:rPr>
          <w:rFonts w:ascii="Sylfaen" w:hAnsi="Sylfaen" w:cs="Times New Roman"/>
          <w:b/>
        </w:rPr>
        <w:t xml:space="preserve"> </w:t>
      </w:r>
      <w:r w:rsidR="001876AD" w:rsidRPr="00034A4A">
        <w:rPr>
          <w:rFonts w:ascii="Sylfaen" w:hAnsi="Sylfaen" w:cs="Times New Roman"/>
          <w:b/>
        </w:rPr>
        <w:t>options</w:t>
      </w:r>
      <w:r w:rsidRPr="00034A4A">
        <w:rPr>
          <w:rFonts w:ascii="Sylfaen" w:hAnsi="Sylfaen" w:cs="Times New Roman"/>
          <w:b/>
        </w:rPr>
        <w:t xml:space="preserve"> </w:t>
      </w:r>
      <w:r w:rsidR="001876AD" w:rsidRPr="00034A4A">
        <w:rPr>
          <w:rFonts w:ascii="Sylfaen" w:hAnsi="Sylfaen" w:cs="Times New Roman"/>
          <w:b/>
        </w:rPr>
        <w:t>have potential for short-term job creation</w:t>
      </w:r>
      <w:r w:rsidR="00CE4BAB" w:rsidRPr="00034A4A">
        <w:rPr>
          <w:rFonts w:ascii="Sylfaen" w:hAnsi="Sylfaen" w:cs="Times New Roman"/>
          <w:b/>
        </w:rPr>
        <w:t>:</w:t>
      </w:r>
    </w:p>
    <w:p w14:paraId="1D7CAA44" w14:textId="69C06EF5" w:rsidR="00296E26" w:rsidRPr="00034A4A" w:rsidRDefault="00F045C1" w:rsidP="008769F4">
      <w:pPr>
        <w:numPr>
          <w:ilvl w:val="0"/>
          <w:numId w:val="1"/>
        </w:numPr>
        <w:spacing w:after="120"/>
        <w:jc w:val="both"/>
        <w:rPr>
          <w:rFonts w:ascii="Sylfaen" w:hAnsi="Sylfaen" w:cs="Times New Roman"/>
        </w:rPr>
      </w:pPr>
      <w:r w:rsidRPr="00034A4A">
        <w:rPr>
          <w:rFonts w:ascii="Sylfaen" w:hAnsi="Sylfaen" w:cs="Times New Roman"/>
          <w:b/>
        </w:rPr>
        <w:t>C</w:t>
      </w:r>
      <w:r w:rsidR="00296E26" w:rsidRPr="00034A4A">
        <w:rPr>
          <w:rFonts w:ascii="Sylfaen" w:hAnsi="Sylfaen" w:cs="Times New Roman"/>
          <w:b/>
        </w:rPr>
        <w:t>onstruction</w:t>
      </w:r>
      <w:r w:rsidR="009A317C" w:rsidRPr="00034A4A">
        <w:rPr>
          <w:rFonts w:ascii="Sylfaen" w:hAnsi="Sylfaen" w:cs="Times New Roman"/>
          <w:b/>
        </w:rPr>
        <w:t xml:space="preserve"> and public works</w:t>
      </w:r>
      <w:r w:rsidR="00296E26" w:rsidRPr="00034A4A">
        <w:rPr>
          <w:rFonts w:ascii="Sylfaen" w:hAnsi="Sylfaen" w:cs="Times New Roman"/>
        </w:rPr>
        <w:t xml:space="preserve">. </w:t>
      </w:r>
      <w:r w:rsidR="00CE4BAB" w:rsidRPr="00034A4A">
        <w:rPr>
          <w:rFonts w:ascii="Sylfaen" w:hAnsi="Sylfaen" w:cs="Times New Roman"/>
        </w:rPr>
        <w:t>R</w:t>
      </w:r>
      <w:r w:rsidR="00296E26" w:rsidRPr="00034A4A">
        <w:rPr>
          <w:rFonts w:ascii="Sylfaen" w:hAnsi="Sylfaen" w:cs="Times New Roman"/>
        </w:rPr>
        <w:t xml:space="preserve">econstruction </w:t>
      </w:r>
      <w:r w:rsidR="000C2582" w:rsidRPr="00034A4A">
        <w:rPr>
          <w:rFonts w:ascii="Sylfaen" w:hAnsi="Sylfaen" w:cs="Times New Roman"/>
        </w:rPr>
        <w:t xml:space="preserve">and repair </w:t>
      </w:r>
      <w:r w:rsidR="00296E26" w:rsidRPr="00034A4A">
        <w:rPr>
          <w:rFonts w:ascii="Sylfaen" w:hAnsi="Sylfaen" w:cs="Times New Roman"/>
        </w:rPr>
        <w:t xml:space="preserve">is expected to span at least </w:t>
      </w:r>
      <w:r w:rsidR="003A42BE" w:rsidRPr="00034A4A">
        <w:rPr>
          <w:rFonts w:ascii="Sylfaen" w:hAnsi="Sylfaen" w:cs="Times New Roman"/>
        </w:rPr>
        <w:t xml:space="preserve">a </w:t>
      </w:r>
      <w:r w:rsidR="00296E26" w:rsidRPr="00034A4A">
        <w:rPr>
          <w:rFonts w:ascii="Sylfaen" w:hAnsi="Sylfaen" w:cs="Times New Roman"/>
        </w:rPr>
        <w:t>decade and will be supplemented with new infrastructure projects</w:t>
      </w:r>
      <w:r w:rsidR="00E64873" w:rsidRPr="00034A4A">
        <w:rPr>
          <w:rFonts w:ascii="Sylfaen" w:hAnsi="Sylfaen" w:cs="Times New Roman"/>
        </w:rPr>
        <w:t xml:space="preserve"> and maintenance. This </w:t>
      </w:r>
      <w:r w:rsidR="00296E26" w:rsidRPr="00034A4A">
        <w:rPr>
          <w:rFonts w:ascii="Sylfaen" w:hAnsi="Sylfaen" w:cs="Times New Roman"/>
        </w:rPr>
        <w:t>will make the sector an ongoing activity in the economy. By nature, reconstruction</w:t>
      </w:r>
      <w:r w:rsidR="00F85E3A" w:rsidRPr="00034A4A">
        <w:rPr>
          <w:rFonts w:ascii="Sylfaen" w:hAnsi="Sylfaen" w:cs="Times New Roman"/>
        </w:rPr>
        <w:t xml:space="preserve"> and </w:t>
      </w:r>
      <w:r w:rsidR="00296E26" w:rsidRPr="00034A4A">
        <w:rPr>
          <w:rFonts w:ascii="Sylfaen" w:hAnsi="Sylfaen" w:cs="Times New Roman"/>
        </w:rPr>
        <w:t xml:space="preserve">repairs can commence immediately, and </w:t>
      </w:r>
      <w:r w:rsidR="00B111F9" w:rsidRPr="00034A4A">
        <w:rPr>
          <w:rFonts w:ascii="Sylfaen" w:hAnsi="Sylfaen" w:cs="Times New Roman"/>
        </w:rPr>
        <w:t>are potentially</w:t>
      </w:r>
      <w:r w:rsidR="00296E26" w:rsidRPr="00034A4A">
        <w:rPr>
          <w:rFonts w:ascii="Sylfaen" w:hAnsi="Sylfaen" w:cs="Times New Roman"/>
        </w:rPr>
        <w:t xml:space="preserve"> jobs-intensive.</w:t>
      </w:r>
      <w:r w:rsidR="00CE4BAB" w:rsidRPr="00034A4A">
        <w:rPr>
          <w:rFonts w:ascii="Sylfaen" w:hAnsi="Sylfaen" w:cs="Times New Roman"/>
        </w:rPr>
        <w:t xml:space="preserve"> In addition, there is a private sector and SME presence in the construction and construction materials sectors, so that </w:t>
      </w:r>
      <w:r w:rsidR="008617A5" w:rsidRPr="00034A4A">
        <w:rPr>
          <w:rFonts w:ascii="Sylfaen" w:hAnsi="Sylfaen" w:cs="Times New Roman"/>
        </w:rPr>
        <w:t xml:space="preserve">there is a direct opportunity for the GOI to use its </w:t>
      </w:r>
      <w:r w:rsidR="00CE4BAB" w:rsidRPr="00034A4A">
        <w:rPr>
          <w:rFonts w:ascii="Sylfaen" w:hAnsi="Sylfaen" w:cs="Times New Roman"/>
        </w:rPr>
        <w:t xml:space="preserve">investments </w:t>
      </w:r>
      <w:r w:rsidR="008617A5" w:rsidRPr="00034A4A">
        <w:rPr>
          <w:rFonts w:ascii="Sylfaen" w:hAnsi="Sylfaen" w:cs="Times New Roman"/>
        </w:rPr>
        <w:t xml:space="preserve">to </w:t>
      </w:r>
      <w:r w:rsidR="00CE4BAB" w:rsidRPr="00034A4A">
        <w:rPr>
          <w:rFonts w:ascii="Sylfaen" w:hAnsi="Sylfaen" w:cs="Times New Roman"/>
        </w:rPr>
        <w:t>help build private sector capacity.</w:t>
      </w:r>
    </w:p>
    <w:p w14:paraId="529CB35E" w14:textId="462A5581" w:rsidR="00296E26" w:rsidRPr="00034A4A" w:rsidRDefault="00F045C1" w:rsidP="008769F4">
      <w:pPr>
        <w:numPr>
          <w:ilvl w:val="0"/>
          <w:numId w:val="1"/>
        </w:numPr>
        <w:spacing w:after="120"/>
        <w:jc w:val="both"/>
        <w:rPr>
          <w:rFonts w:ascii="Sylfaen" w:hAnsi="Sylfaen" w:cs="Times New Roman"/>
        </w:rPr>
      </w:pPr>
      <w:r w:rsidRPr="00034A4A">
        <w:rPr>
          <w:rFonts w:ascii="Sylfaen" w:hAnsi="Sylfaen" w:cs="Times New Roman"/>
          <w:b/>
        </w:rPr>
        <w:t>A</w:t>
      </w:r>
      <w:r w:rsidR="00296E26" w:rsidRPr="00034A4A">
        <w:rPr>
          <w:rFonts w:ascii="Sylfaen" w:hAnsi="Sylfaen" w:cs="Times New Roman"/>
          <w:b/>
        </w:rPr>
        <w:t>griculture and agribusiness to improve food security and generate jobs, particularly for women and returning IDPs</w:t>
      </w:r>
      <w:r w:rsidR="00296E26" w:rsidRPr="00034A4A">
        <w:rPr>
          <w:rFonts w:ascii="Sylfaen" w:hAnsi="Sylfaen" w:cs="Times New Roman"/>
        </w:rPr>
        <w:t xml:space="preserve">. </w:t>
      </w:r>
      <w:r w:rsidR="000C2582" w:rsidRPr="00034A4A">
        <w:rPr>
          <w:rFonts w:ascii="Sylfaen" w:hAnsi="Sylfaen" w:cs="Times New Roman"/>
        </w:rPr>
        <w:t xml:space="preserve">A revival of agriculture </w:t>
      </w:r>
      <w:r w:rsidR="00296E26" w:rsidRPr="00034A4A">
        <w:rPr>
          <w:rFonts w:ascii="Sylfaen" w:hAnsi="Sylfaen" w:cs="Times New Roman"/>
        </w:rPr>
        <w:t>offers opportunities for immediate permanent job creation in farming and livestock</w:t>
      </w:r>
      <w:r w:rsidR="00B111F9" w:rsidRPr="00034A4A">
        <w:rPr>
          <w:rFonts w:ascii="Sylfaen" w:hAnsi="Sylfaen" w:cs="Times New Roman"/>
        </w:rPr>
        <w:t>,</w:t>
      </w:r>
      <w:r w:rsidR="00296E26" w:rsidRPr="00034A4A">
        <w:rPr>
          <w:rFonts w:ascii="Sylfaen" w:hAnsi="Sylfaen" w:cs="Times New Roman"/>
        </w:rPr>
        <w:t xml:space="preserve"> as </w:t>
      </w:r>
      <w:r w:rsidR="00B111F9" w:rsidRPr="00034A4A">
        <w:rPr>
          <w:rFonts w:ascii="Sylfaen" w:hAnsi="Sylfaen" w:cs="Times New Roman"/>
        </w:rPr>
        <w:t>there is a reservoir of skill</w:t>
      </w:r>
      <w:r w:rsidR="00296E26" w:rsidRPr="00034A4A">
        <w:rPr>
          <w:rFonts w:ascii="Sylfaen" w:hAnsi="Sylfaen" w:cs="Times New Roman"/>
        </w:rPr>
        <w:t xml:space="preserve">, demand for food, and private ownership </w:t>
      </w:r>
      <w:r w:rsidR="00B111F9" w:rsidRPr="00034A4A">
        <w:rPr>
          <w:rFonts w:ascii="Sylfaen" w:hAnsi="Sylfaen" w:cs="Times New Roman"/>
        </w:rPr>
        <w:t xml:space="preserve">to offer an </w:t>
      </w:r>
      <w:r w:rsidR="00296E26" w:rsidRPr="00034A4A">
        <w:rPr>
          <w:rFonts w:ascii="Sylfaen" w:hAnsi="Sylfaen" w:cs="Times New Roman"/>
        </w:rPr>
        <w:t xml:space="preserve">impetus for growth and sustainability. A </w:t>
      </w:r>
      <w:r w:rsidR="00B111F9" w:rsidRPr="00034A4A">
        <w:rPr>
          <w:rFonts w:ascii="Sylfaen" w:hAnsi="Sylfaen" w:cs="Times New Roman"/>
        </w:rPr>
        <w:t xml:space="preserve">revived </w:t>
      </w:r>
      <w:r w:rsidR="000C2582" w:rsidRPr="00034A4A">
        <w:rPr>
          <w:rFonts w:ascii="Sylfaen" w:hAnsi="Sylfaen" w:cs="Times New Roman"/>
        </w:rPr>
        <w:t xml:space="preserve">primary </w:t>
      </w:r>
      <w:r w:rsidR="00296E26" w:rsidRPr="00034A4A">
        <w:rPr>
          <w:rFonts w:ascii="Sylfaen" w:hAnsi="Sylfaen" w:cs="Times New Roman"/>
        </w:rPr>
        <w:t>agricultur</w:t>
      </w:r>
      <w:r w:rsidR="000C2582" w:rsidRPr="00034A4A">
        <w:rPr>
          <w:rFonts w:ascii="Sylfaen" w:hAnsi="Sylfaen" w:cs="Times New Roman"/>
        </w:rPr>
        <w:t>e</w:t>
      </w:r>
      <w:r w:rsidR="00296E26" w:rsidRPr="00034A4A">
        <w:rPr>
          <w:rFonts w:ascii="Sylfaen" w:hAnsi="Sylfaen" w:cs="Times New Roman"/>
        </w:rPr>
        <w:t xml:space="preserve"> sector will boost job creation through SMEs as farm-to-firm related services and processing scale up the agribusiness sector.</w:t>
      </w:r>
    </w:p>
    <w:p w14:paraId="6099ED9F" w14:textId="2EC78290" w:rsidR="00296E26" w:rsidRPr="00034A4A" w:rsidRDefault="00F045C1" w:rsidP="008769F4">
      <w:pPr>
        <w:numPr>
          <w:ilvl w:val="0"/>
          <w:numId w:val="1"/>
        </w:numPr>
        <w:spacing w:after="120"/>
        <w:jc w:val="both"/>
        <w:rPr>
          <w:rFonts w:ascii="Sylfaen" w:hAnsi="Sylfaen" w:cs="Times New Roman"/>
        </w:rPr>
      </w:pPr>
      <w:r w:rsidRPr="00034A4A">
        <w:rPr>
          <w:rFonts w:ascii="Sylfaen" w:hAnsi="Sylfaen" w:cs="Times New Roman"/>
          <w:b/>
        </w:rPr>
        <w:t>S</w:t>
      </w:r>
      <w:r w:rsidR="00B111F9" w:rsidRPr="00034A4A">
        <w:rPr>
          <w:rFonts w:ascii="Sylfaen" w:hAnsi="Sylfaen" w:cs="Times New Roman"/>
          <w:b/>
        </w:rPr>
        <w:t xml:space="preserve">upport to </w:t>
      </w:r>
      <w:r w:rsidR="00296E26" w:rsidRPr="00034A4A">
        <w:rPr>
          <w:rFonts w:ascii="Sylfaen" w:hAnsi="Sylfaen" w:cs="Times New Roman"/>
          <w:b/>
        </w:rPr>
        <w:t xml:space="preserve">SMEs and </w:t>
      </w:r>
      <w:r w:rsidR="00B111F9" w:rsidRPr="00034A4A">
        <w:rPr>
          <w:rFonts w:ascii="Sylfaen" w:hAnsi="Sylfaen" w:cs="Times New Roman"/>
          <w:b/>
        </w:rPr>
        <w:t>v</w:t>
      </w:r>
      <w:r w:rsidR="00C71E6D" w:rsidRPr="00034A4A">
        <w:rPr>
          <w:rFonts w:ascii="Sylfaen" w:hAnsi="Sylfaen" w:cs="Times New Roman"/>
          <w:b/>
        </w:rPr>
        <w:t>ocational skills development</w:t>
      </w:r>
      <w:r w:rsidR="0062307C" w:rsidRPr="00034A4A">
        <w:rPr>
          <w:rFonts w:ascii="Sylfaen" w:hAnsi="Sylfaen" w:cs="Times New Roman"/>
          <w:b/>
        </w:rPr>
        <w:t xml:space="preserve"> for jobs in services and across other sectors</w:t>
      </w:r>
      <w:r w:rsidR="00CE4BAB" w:rsidRPr="00034A4A">
        <w:rPr>
          <w:rFonts w:ascii="Sylfaen" w:hAnsi="Sylfaen" w:cs="Times New Roman"/>
          <w:b/>
        </w:rPr>
        <w:t>.</w:t>
      </w:r>
      <w:r w:rsidR="00C71E6D" w:rsidRPr="00034A4A" w:rsidDel="00C71E6D">
        <w:rPr>
          <w:rFonts w:ascii="Sylfaen" w:hAnsi="Sylfaen" w:cs="Times New Roman"/>
          <w:b/>
        </w:rPr>
        <w:t xml:space="preserve"> </w:t>
      </w:r>
      <w:r w:rsidR="008E4C15" w:rsidRPr="00034A4A">
        <w:rPr>
          <w:rFonts w:ascii="Sylfaen" w:hAnsi="Sylfaen" w:cs="Times New Roman"/>
        </w:rPr>
        <w:t xml:space="preserve">SMEs are active </w:t>
      </w:r>
      <w:r w:rsidR="0062307C" w:rsidRPr="00034A4A">
        <w:rPr>
          <w:rFonts w:ascii="Sylfaen" w:hAnsi="Sylfaen" w:cs="Times New Roman"/>
        </w:rPr>
        <w:t>across the economy, including in service sub-sectors with short-term jobs potential</w:t>
      </w:r>
      <w:r w:rsidR="000C2582" w:rsidRPr="00034A4A">
        <w:rPr>
          <w:rFonts w:ascii="Sylfaen" w:hAnsi="Sylfaen" w:cs="Times New Roman"/>
        </w:rPr>
        <w:t>,</w:t>
      </w:r>
      <w:r w:rsidR="0062307C" w:rsidRPr="00034A4A">
        <w:rPr>
          <w:rFonts w:ascii="Sylfaen" w:hAnsi="Sylfaen" w:cs="Times New Roman"/>
        </w:rPr>
        <w:t xml:space="preserve"> such as transport, IT, (religious) tourism, food and beverages, and retail trade</w:t>
      </w:r>
      <w:r w:rsidR="001D1F71" w:rsidRPr="00034A4A">
        <w:rPr>
          <w:rFonts w:ascii="Sylfaen" w:hAnsi="Sylfaen" w:cs="Times New Roman"/>
        </w:rPr>
        <w:t xml:space="preserve">. </w:t>
      </w:r>
      <w:r w:rsidR="00296E26" w:rsidRPr="00034A4A">
        <w:rPr>
          <w:rFonts w:ascii="Sylfaen" w:hAnsi="Sylfaen" w:cs="Times New Roman"/>
        </w:rPr>
        <w:t xml:space="preserve">With the </w:t>
      </w:r>
      <w:r w:rsidR="00C97C64" w:rsidRPr="00034A4A">
        <w:rPr>
          <w:rFonts w:ascii="Sylfaen" w:hAnsi="Sylfaen" w:cs="Times New Roman"/>
        </w:rPr>
        <w:t>scaling-</w:t>
      </w:r>
      <w:r w:rsidR="00296E26" w:rsidRPr="00034A4A">
        <w:rPr>
          <w:rFonts w:ascii="Sylfaen" w:hAnsi="Sylfaen" w:cs="Times New Roman"/>
        </w:rPr>
        <w:t xml:space="preserve">up of infrastructure and agriculture, SMEs </w:t>
      </w:r>
      <w:r w:rsidR="00CE4BAB" w:rsidRPr="00034A4A">
        <w:rPr>
          <w:rFonts w:ascii="Sylfaen" w:hAnsi="Sylfaen" w:cs="Times New Roman"/>
        </w:rPr>
        <w:t xml:space="preserve">will be able to seize some opportunities </w:t>
      </w:r>
      <w:r w:rsidR="00296E26" w:rsidRPr="00034A4A">
        <w:rPr>
          <w:rFonts w:ascii="Sylfaen" w:hAnsi="Sylfaen" w:cs="Times New Roman"/>
        </w:rPr>
        <w:t>and create new jobs through backward and forward linkages</w:t>
      </w:r>
      <w:r w:rsidR="00CE4BAB" w:rsidRPr="00034A4A">
        <w:rPr>
          <w:rFonts w:ascii="Sylfaen" w:hAnsi="Sylfaen" w:cs="Times New Roman"/>
        </w:rPr>
        <w:t>.</w:t>
      </w:r>
      <w:r w:rsidR="00296E26" w:rsidRPr="00034A4A">
        <w:rPr>
          <w:rFonts w:ascii="Sylfaen" w:hAnsi="Sylfaen" w:cs="Times New Roman"/>
        </w:rPr>
        <w:t xml:space="preserve"> </w:t>
      </w:r>
      <w:r w:rsidR="00CE4BAB" w:rsidRPr="00034A4A">
        <w:rPr>
          <w:rFonts w:ascii="Sylfaen" w:hAnsi="Sylfaen" w:cs="Times New Roman"/>
        </w:rPr>
        <w:t xml:space="preserve">At the same time, </w:t>
      </w:r>
      <w:r w:rsidR="000C2582" w:rsidRPr="00034A4A">
        <w:rPr>
          <w:rFonts w:ascii="Sylfaen" w:hAnsi="Sylfaen" w:cs="Times New Roman"/>
        </w:rPr>
        <w:t xml:space="preserve">it will be difficult for the large number of unskilled job seekers to benefit from new opportunities. </w:t>
      </w:r>
      <w:r w:rsidR="004B4D2F" w:rsidRPr="00034A4A">
        <w:rPr>
          <w:rFonts w:ascii="Sylfaen" w:hAnsi="Sylfaen" w:cs="Times New Roman"/>
        </w:rPr>
        <w:t xml:space="preserve">Policies that foster vocational skills </w:t>
      </w:r>
      <w:r w:rsidR="00E64873" w:rsidRPr="00034A4A">
        <w:rPr>
          <w:rFonts w:ascii="Sylfaen" w:hAnsi="Sylfaen" w:cs="Times New Roman"/>
        </w:rPr>
        <w:t>are a promising way of promoting</w:t>
      </w:r>
      <w:r w:rsidR="004B4D2F" w:rsidRPr="00034A4A">
        <w:rPr>
          <w:rFonts w:ascii="Sylfaen" w:hAnsi="Sylfaen" w:cs="Times New Roman"/>
        </w:rPr>
        <w:t xml:space="preserve"> access to jobs across all productive sectors. </w:t>
      </w:r>
    </w:p>
    <w:p w14:paraId="299C058D" w14:textId="02C6F185" w:rsidR="00597D8B" w:rsidRPr="00034A4A" w:rsidRDefault="00F045C1" w:rsidP="008769F4">
      <w:pPr>
        <w:spacing w:after="120"/>
        <w:jc w:val="both"/>
        <w:rPr>
          <w:rFonts w:ascii="Sylfaen" w:hAnsi="Sylfaen"/>
        </w:rPr>
      </w:pPr>
      <w:r w:rsidRPr="00034A4A">
        <w:rPr>
          <w:rFonts w:ascii="Sylfaen" w:hAnsi="Sylfaen"/>
          <w:b/>
        </w:rPr>
        <w:t>The rehabilitation of i</w:t>
      </w:r>
      <w:r w:rsidR="00597D8B" w:rsidRPr="00034A4A">
        <w:rPr>
          <w:rFonts w:ascii="Sylfaen" w:hAnsi="Sylfaen"/>
          <w:b/>
        </w:rPr>
        <w:t>nfrastructure</w:t>
      </w:r>
      <w:r w:rsidRPr="00034A4A">
        <w:rPr>
          <w:rFonts w:ascii="Sylfaen" w:hAnsi="Sylfaen"/>
          <w:b/>
        </w:rPr>
        <w:t>,</w:t>
      </w:r>
      <w:r w:rsidR="00597D8B" w:rsidRPr="00034A4A">
        <w:rPr>
          <w:rFonts w:ascii="Sylfaen" w:hAnsi="Sylfaen"/>
          <w:b/>
        </w:rPr>
        <w:t xml:space="preserve"> and demand </w:t>
      </w:r>
      <w:r w:rsidRPr="00034A4A">
        <w:rPr>
          <w:rFonts w:ascii="Sylfaen" w:hAnsi="Sylfaen"/>
          <w:b/>
        </w:rPr>
        <w:t xml:space="preserve">driven by successful job creation </w:t>
      </w:r>
      <w:r w:rsidR="00597D8B" w:rsidRPr="00034A4A">
        <w:rPr>
          <w:rFonts w:ascii="Sylfaen" w:hAnsi="Sylfaen"/>
          <w:b/>
        </w:rPr>
        <w:t xml:space="preserve">can benefit productivity and job creation beyond construction and agriculture. </w:t>
      </w:r>
      <w:r w:rsidR="00597D8B" w:rsidRPr="00034A4A">
        <w:rPr>
          <w:rFonts w:ascii="Sylfaen" w:hAnsi="Sylfaen"/>
        </w:rPr>
        <w:t xml:space="preserve">Construction and maintenance of roads, ports, irrigation systems, and other infrastructure lowers cost and raises productivity. This has the potential to create jobs in the many types of businesses across the economy that rely on these services. Similarly, </w:t>
      </w:r>
      <w:r w:rsidR="00E64873" w:rsidRPr="00034A4A">
        <w:rPr>
          <w:rFonts w:ascii="Sylfaen" w:hAnsi="Sylfaen"/>
        </w:rPr>
        <w:t xml:space="preserve">agriculture and construction activities can give a </w:t>
      </w:r>
      <w:r w:rsidR="00597D8B" w:rsidRPr="00034A4A">
        <w:rPr>
          <w:rFonts w:ascii="Sylfaen" w:hAnsi="Sylfaen"/>
        </w:rPr>
        <w:t xml:space="preserve">demand boost to linked businesses </w:t>
      </w:r>
      <w:r w:rsidR="00E64873" w:rsidRPr="00034A4A">
        <w:rPr>
          <w:rFonts w:ascii="Sylfaen" w:hAnsi="Sylfaen"/>
        </w:rPr>
        <w:t xml:space="preserve">and foster their ability to create </w:t>
      </w:r>
      <w:r w:rsidR="00597D8B" w:rsidRPr="00034A4A">
        <w:rPr>
          <w:rFonts w:ascii="Sylfaen" w:hAnsi="Sylfaen"/>
        </w:rPr>
        <w:t>job</w:t>
      </w:r>
      <w:r w:rsidR="00E64873" w:rsidRPr="00034A4A">
        <w:rPr>
          <w:rFonts w:ascii="Sylfaen" w:hAnsi="Sylfaen"/>
        </w:rPr>
        <w:t>s</w:t>
      </w:r>
      <w:r w:rsidR="00597D8B" w:rsidRPr="00034A4A">
        <w:rPr>
          <w:rFonts w:ascii="Sylfaen" w:hAnsi="Sylfaen"/>
        </w:rPr>
        <w:t>. This is the case for firms directly linked to the sectors – for instance, food processing and construction materials, but also transport and retail trade. A large enough – and jobs-intensive – recovery in the two sectors also has the potential to raise aggregate demand and fuel recovery of the economy as a whole.</w:t>
      </w:r>
    </w:p>
    <w:p w14:paraId="39718E30" w14:textId="262A660A" w:rsidR="00296E26" w:rsidRPr="00034A4A" w:rsidRDefault="0062307C" w:rsidP="008769F4">
      <w:pPr>
        <w:spacing w:after="120"/>
        <w:jc w:val="both"/>
        <w:rPr>
          <w:rFonts w:ascii="Sylfaen" w:hAnsi="Sylfaen" w:cs="Times New Roman"/>
        </w:rPr>
      </w:pPr>
      <w:r w:rsidRPr="00034A4A">
        <w:rPr>
          <w:rFonts w:ascii="Sylfaen" w:hAnsi="Sylfaen" w:cs="Times New Roman"/>
          <w:b/>
        </w:rPr>
        <w:t>Other sectors in Iraq’s economy do not pass the three-point test.</w:t>
      </w:r>
      <w:r w:rsidRPr="00034A4A">
        <w:rPr>
          <w:rFonts w:ascii="Sylfaen" w:hAnsi="Sylfaen" w:cs="Times New Roman"/>
        </w:rPr>
        <w:t xml:space="preserve"> For example, export-oriented light manufacturing creates large numbers of jobs in lower-income countries, but Iraq’s income levels are not competitive. Moreover, the prevailing insecurity and poor investment climate are a strong deterrent to new investors in the manufacturing sector. </w:t>
      </w:r>
      <w:r w:rsidR="004B4D2F" w:rsidRPr="00034A4A">
        <w:rPr>
          <w:rFonts w:ascii="Sylfaen" w:hAnsi="Sylfaen" w:cs="Times New Roman"/>
        </w:rPr>
        <w:t xml:space="preserve">Domestically-oriented manufacturing of fast-moving consumer goods may be a medium-term perspective. </w:t>
      </w:r>
      <w:r w:rsidRPr="00034A4A">
        <w:rPr>
          <w:rFonts w:ascii="Sylfaen" w:hAnsi="Sylfaen" w:cs="Times New Roman"/>
        </w:rPr>
        <w:t>There is some scope for a revival of Iraq’s heavy manufacturing industries, including through reforms to the inefficient SOEs in the sector. However, the sector is not jobs-intensive; scaling up presents a medium to longer-term agenda.</w:t>
      </w:r>
    </w:p>
    <w:p w14:paraId="4F26BA19" w14:textId="77777777" w:rsidR="00B7667B" w:rsidRPr="00034A4A" w:rsidRDefault="00B7667B" w:rsidP="008769F4">
      <w:pPr>
        <w:spacing w:after="120"/>
        <w:jc w:val="both"/>
        <w:rPr>
          <w:rFonts w:ascii="Sylfaen" w:hAnsi="Sylfaen"/>
          <w:b/>
          <w:color w:val="0070C0"/>
          <w:sz w:val="24"/>
        </w:rPr>
      </w:pPr>
      <w:r w:rsidRPr="00034A4A">
        <w:rPr>
          <w:rFonts w:ascii="Sylfaen" w:hAnsi="Sylfaen"/>
          <w:b/>
          <w:color w:val="0070C0"/>
          <w:sz w:val="24"/>
        </w:rPr>
        <w:br w:type="page"/>
      </w:r>
    </w:p>
    <w:p w14:paraId="07D8E3A6" w14:textId="667AEAC8" w:rsidR="00296E26" w:rsidRPr="00034A4A" w:rsidRDefault="00296E26" w:rsidP="008769F4">
      <w:pPr>
        <w:spacing w:after="120"/>
        <w:jc w:val="both"/>
        <w:rPr>
          <w:rFonts w:ascii="Sylfaen" w:hAnsi="Sylfaen"/>
          <w:b/>
          <w:color w:val="0070C0"/>
          <w:sz w:val="24"/>
        </w:rPr>
      </w:pPr>
      <w:r w:rsidRPr="00034A4A">
        <w:rPr>
          <w:rFonts w:ascii="Sylfaen" w:hAnsi="Sylfaen"/>
          <w:b/>
          <w:color w:val="0070C0"/>
          <w:sz w:val="24"/>
        </w:rPr>
        <w:t>1. Construction and public works</w:t>
      </w:r>
    </w:p>
    <w:p w14:paraId="26A213C6" w14:textId="3480A218" w:rsidR="00296E26" w:rsidRPr="00034A4A" w:rsidRDefault="008A5389" w:rsidP="008769F4">
      <w:pPr>
        <w:spacing w:after="120"/>
        <w:jc w:val="both"/>
        <w:rPr>
          <w:rFonts w:ascii="Sylfaen" w:hAnsi="Sylfaen" w:cs="Times New Roman"/>
        </w:rPr>
      </w:pPr>
      <w:r w:rsidRPr="00034A4A">
        <w:rPr>
          <w:rFonts w:ascii="Sylfaen" w:hAnsi="Sylfaen" w:cs="Times New Roman"/>
          <w:b/>
        </w:rPr>
        <w:t xml:space="preserve">Reconstruction </w:t>
      </w:r>
      <w:r w:rsidR="004B4D2F" w:rsidRPr="00034A4A">
        <w:rPr>
          <w:rFonts w:ascii="Sylfaen" w:hAnsi="Sylfaen" w:cs="Times New Roman"/>
          <w:b/>
        </w:rPr>
        <w:t xml:space="preserve">and repair </w:t>
      </w:r>
      <w:r w:rsidRPr="00034A4A">
        <w:rPr>
          <w:rFonts w:ascii="Sylfaen" w:hAnsi="Sylfaen" w:cs="Times New Roman"/>
          <w:b/>
        </w:rPr>
        <w:t xml:space="preserve">offer the most obvious opportunities for </w:t>
      </w:r>
      <w:r w:rsidR="004B4D2F" w:rsidRPr="00034A4A">
        <w:rPr>
          <w:rFonts w:ascii="Sylfaen" w:hAnsi="Sylfaen" w:cs="Times New Roman"/>
          <w:b/>
        </w:rPr>
        <w:t xml:space="preserve">short-term </w:t>
      </w:r>
      <w:r w:rsidRPr="00034A4A">
        <w:rPr>
          <w:rFonts w:ascii="Sylfaen" w:hAnsi="Sylfaen" w:cs="Times New Roman"/>
          <w:b/>
        </w:rPr>
        <w:t>job creation, but policies are needed to ensure Iraqis benefit.</w:t>
      </w:r>
      <w:r w:rsidRPr="00034A4A">
        <w:rPr>
          <w:rFonts w:ascii="Sylfaen" w:hAnsi="Sylfaen" w:cs="Times New Roman"/>
        </w:rPr>
        <w:t xml:space="preserve"> </w:t>
      </w:r>
      <w:r w:rsidR="00296E26" w:rsidRPr="00034A4A">
        <w:rPr>
          <w:rFonts w:ascii="Sylfaen" w:hAnsi="Sylfaen" w:cs="Times New Roman"/>
        </w:rPr>
        <w:t xml:space="preserve">As the reconstruction of Iraq </w:t>
      </w:r>
      <w:r w:rsidRPr="00034A4A">
        <w:rPr>
          <w:rFonts w:ascii="Sylfaen" w:hAnsi="Sylfaen" w:cs="Times New Roman"/>
        </w:rPr>
        <w:t xml:space="preserve">and the rehabilitation of its </w:t>
      </w:r>
      <w:r w:rsidR="004B4D2F" w:rsidRPr="00034A4A">
        <w:rPr>
          <w:rFonts w:ascii="Sylfaen" w:hAnsi="Sylfaen" w:cs="Times New Roman"/>
        </w:rPr>
        <w:t xml:space="preserve">long-neglected </w:t>
      </w:r>
      <w:r w:rsidRPr="00034A4A">
        <w:rPr>
          <w:rFonts w:ascii="Sylfaen" w:hAnsi="Sylfaen" w:cs="Times New Roman"/>
        </w:rPr>
        <w:t xml:space="preserve">infrastructure </w:t>
      </w:r>
      <w:r w:rsidR="00296E26" w:rsidRPr="00034A4A">
        <w:rPr>
          <w:rFonts w:ascii="Sylfaen" w:hAnsi="Sylfaen" w:cs="Times New Roman"/>
        </w:rPr>
        <w:t xml:space="preserve">commences, the combined demand for </w:t>
      </w:r>
      <w:r w:rsidRPr="00034A4A">
        <w:rPr>
          <w:rFonts w:ascii="Sylfaen" w:hAnsi="Sylfaen" w:cs="Times New Roman"/>
        </w:rPr>
        <w:t xml:space="preserve">construction labor and related </w:t>
      </w:r>
      <w:r w:rsidR="00296E26" w:rsidRPr="00034A4A">
        <w:rPr>
          <w:rFonts w:ascii="Sylfaen" w:hAnsi="Sylfaen" w:cs="Times New Roman"/>
        </w:rPr>
        <w:t>service</w:t>
      </w:r>
      <w:r w:rsidRPr="00034A4A">
        <w:rPr>
          <w:rFonts w:ascii="Sylfaen" w:hAnsi="Sylfaen" w:cs="Times New Roman"/>
        </w:rPr>
        <w:t>s</w:t>
      </w:r>
      <w:r w:rsidR="00296E26" w:rsidRPr="00034A4A">
        <w:rPr>
          <w:rFonts w:ascii="Sylfaen" w:hAnsi="Sylfaen" w:cs="Times New Roman"/>
        </w:rPr>
        <w:t xml:space="preserve"> </w:t>
      </w:r>
      <w:r w:rsidRPr="00034A4A">
        <w:rPr>
          <w:rFonts w:ascii="Sylfaen" w:hAnsi="Sylfaen" w:cs="Times New Roman"/>
        </w:rPr>
        <w:t xml:space="preserve">can support </w:t>
      </w:r>
      <w:r w:rsidR="00296E26" w:rsidRPr="00034A4A">
        <w:rPr>
          <w:rFonts w:ascii="Sylfaen" w:hAnsi="Sylfaen" w:cs="Times New Roman"/>
        </w:rPr>
        <w:t>large-scale job creation in the short term. Construction and public works can create employment for Iraqis of all sects</w:t>
      </w:r>
      <w:r w:rsidRPr="00034A4A">
        <w:rPr>
          <w:rFonts w:ascii="Sylfaen" w:hAnsi="Sylfaen" w:cs="Times New Roman"/>
        </w:rPr>
        <w:t>,</w:t>
      </w:r>
      <w:r w:rsidR="00296E26" w:rsidRPr="00034A4A">
        <w:rPr>
          <w:rFonts w:ascii="Sylfaen" w:hAnsi="Sylfaen" w:cs="Times New Roman"/>
        </w:rPr>
        <w:t xml:space="preserve"> in rural and urban areas</w:t>
      </w:r>
      <w:r w:rsidRPr="00034A4A">
        <w:rPr>
          <w:rFonts w:ascii="Sylfaen" w:hAnsi="Sylfaen" w:cs="Times New Roman"/>
        </w:rPr>
        <w:t>, and</w:t>
      </w:r>
      <w:r w:rsidR="00296E26" w:rsidRPr="00034A4A">
        <w:rPr>
          <w:rFonts w:ascii="Sylfaen" w:hAnsi="Sylfaen" w:cs="Times New Roman"/>
        </w:rPr>
        <w:t xml:space="preserve"> across the country. This offers GOI a prized </w:t>
      </w:r>
      <w:r w:rsidR="00766F2F">
        <w:rPr>
          <w:rFonts w:ascii="Sylfaen" w:hAnsi="Sylfaen" w:cs="Times New Roman"/>
        </w:rPr>
        <w:t>opportunity</w:t>
      </w:r>
      <w:r w:rsidR="00F33F83" w:rsidRPr="00034A4A">
        <w:rPr>
          <w:rFonts w:ascii="Sylfaen" w:hAnsi="Sylfaen" w:cs="Times New Roman"/>
        </w:rPr>
        <w:t xml:space="preserve"> </w:t>
      </w:r>
      <w:r w:rsidR="00296E26" w:rsidRPr="00034A4A">
        <w:rPr>
          <w:rFonts w:ascii="Sylfaen" w:hAnsi="Sylfaen" w:cs="Times New Roman"/>
        </w:rPr>
        <w:t xml:space="preserve">to signal its commitment to attend to the needs of all Iraqis fairly </w:t>
      </w:r>
      <w:r w:rsidR="00296E26" w:rsidRPr="00034A4A">
        <w:rPr>
          <w:rFonts w:ascii="Sylfaen" w:hAnsi="Sylfaen" w:cs="Times New Roman"/>
          <w:color w:val="0D0D0D" w:themeColor="text1" w:themeTint="F2"/>
        </w:rPr>
        <w:t xml:space="preserve">and transparently. </w:t>
      </w:r>
      <w:r w:rsidR="0022676B" w:rsidRPr="00034A4A">
        <w:rPr>
          <w:rFonts w:ascii="Sylfaen" w:hAnsi="Sylfaen" w:cs="Times New Roman"/>
          <w:color w:val="0D0D0D" w:themeColor="text1" w:themeTint="F2"/>
        </w:rPr>
        <w:t xml:space="preserve">It also provides GOI a leverage point to support SME development at significant scale, while circumventing obstacles that make other approaches to SME support difficult. </w:t>
      </w:r>
      <w:r w:rsidR="00296E26" w:rsidRPr="00034A4A">
        <w:rPr>
          <w:rFonts w:ascii="Sylfaen" w:hAnsi="Sylfaen" w:cs="Times New Roman"/>
        </w:rPr>
        <w:t xml:space="preserve">However, post-conflict experience shows that demand </w:t>
      </w:r>
      <w:r w:rsidR="00F33F83" w:rsidRPr="00034A4A">
        <w:rPr>
          <w:rFonts w:ascii="Sylfaen" w:hAnsi="Sylfaen" w:cs="Times New Roman"/>
        </w:rPr>
        <w:t xml:space="preserve">does not automatically </w:t>
      </w:r>
      <w:r w:rsidR="00296E26" w:rsidRPr="00034A4A">
        <w:rPr>
          <w:rFonts w:ascii="Sylfaen" w:hAnsi="Sylfaen" w:cs="Times New Roman"/>
        </w:rPr>
        <w:t xml:space="preserve">translate either into business opportunities for local firms or </w:t>
      </w:r>
      <w:r w:rsidR="00F33F83" w:rsidRPr="00034A4A">
        <w:rPr>
          <w:rFonts w:ascii="Sylfaen" w:hAnsi="Sylfaen" w:cs="Times New Roman"/>
        </w:rPr>
        <w:t xml:space="preserve">into </w:t>
      </w:r>
      <w:r w:rsidR="00296E26" w:rsidRPr="00034A4A">
        <w:rPr>
          <w:rFonts w:ascii="Sylfaen" w:hAnsi="Sylfaen" w:cs="Times New Roman"/>
        </w:rPr>
        <w:t>jobs for local communities.</w:t>
      </w:r>
      <w:r w:rsidR="00F33F83" w:rsidRPr="00034A4A">
        <w:rPr>
          <w:rFonts w:ascii="Sylfaen" w:hAnsi="Sylfaen" w:cs="Times New Roman"/>
        </w:rPr>
        <w:t xml:space="preserve"> </w:t>
      </w:r>
      <w:r w:rsidRPr="00034A4A">
        <w:rPr>
          <w:rFonts w:ascii="Sylfaen" w:hAnsi="Sylfaen" w:cs="Times New Roman"/>
        </w:rPr>
        <w:t xml:space="preserve">Benefits may be limited where an excessive number of projects are </w:t>
      </w:r>
      <w:r w:rsidR="00F33F83" w:rsidRPr="00034A4A">
        <w:rPr>
          <w:rFonts w:ascii="Sylfaen" w:hAnsi="Sylfaen" w:cs="Times New Roman"/>
        </w:rPr>
        <w:t xml:space="preserve">led by international companies, </w:t>
      </w:r>
      <w:r w:rsidRPr="00034A4A">
        <w:rPr>
          <w:rFonts w:ascii="Sylfaen" w:hAnsi="Sylfaen" w:cs="Times New Roman"/>
        </w:rPr>
        <w:t>or rely</w:t>
      </w:r>
      <w:r w:rsidR="007F683F" w:rsidRPr="00034A4A">
        <w:rPr>
          <w:rFonts w:ascii="Sylfaen" w:hAnsi="Sylfaen" w:cs="Times New Roman"/>
        </w:rPr>
        <w:t xml:space="preserve"> on capital-</w:t>
      </w:r>
      <w:r w:rsidR="00F33F83" w:rsidRPr="00034A4A">
        <w:rPr>
          <w:rFonts w:ascii="Sylfaen" w:hAnsi="Sylfaen" w:cs="Times New Roman"/>
        </w:rPr>
        <w:t xml:space="preserve">intensive processes or </w:t>
      </w:r>
      <w:r w:rsidR="007F683F" w:rsidRPr="00034A4A">
        <w:rPr>
          <w:rFonts w:ascii="Sylfaen" w:hAnsi="Sylfaen" w:cs="Times New Roman"/>
        </w:rPr>
        <w:t xml:space="preserve">even </w:t>
      </w:r>
      <w:r w:rsidR="00F33F83" w:rsidRPr="00034A4A">
        <w:rPr>
          <w:rFonts w:ascii="Sylfaen" w:hAnsi="Sylfaen" w:cs="Times New Roman"/>
        </w:rPr>
        <w:t xml:space="preserve">imported labor. </w:t>
      </w:r>
      <w:r w:rsidR="00296E26" w:rsidRPr="00034A4A">
        <w:rPr>
          <w:rFonts w:ascii="Sylfaen" w:hAnsi="Sylfaen" w:cs="Times New Roman"/>
        </w:rPr>
        <w:t xml:space="preserve">The goal of GOI policy must be to ensure that </w:t>
      </w:r>
      <w:r w:rsidRPr="00034A4A">
        <w:rPr>
          <w:rFonts w:ascii="Sylfaen" w:hAnsi="Sylfaen" w:cs="Times New Roman"/>
        </w:rPr>
        <w:t>the opportunity</w:t>
      </w:r>
      <w:r w:rsidR="00FE1ADE" w:rsidRPr="00034A4A">
        <w:rPr>
          <w:rFonts w:ascii="Sylfaen" w:hAnsi="Sylfaen" w:cs="Times New Roman"/>
        </w:rPr>
        <w:t xml:space="preserve"> benefit</w:t>
      </w:r>
      <w:r w:rsidRPr="00034A4A">
        <w:rPr>
          <w:rFonts w:ascii="Sylfaen" w:hAnsi="Sylfaen" w:cs="Times New Roman"/>
        </w:rPr>
        <w:t>s</w:t>
      </w:r>
      <w:r w:rsidR="00FE1ADE" w:rsidRPr="00034A4A">
        <w:rPr>
          <w:rFonts w:ascii="Sylfaen" w:hAnsi="Sylfaen" w:cs="Times New Roman"/>
        </w:rPr>
        <w:t xml:space="preserve"> Iraqis</w:t>
      </w:r>
      <w:r w:rsidR="00296E26" w:rsidRPr="00034A4A">
        <w:rPr>
          <w:rFonts w:ascii="Sylfaen" w:hAnsi="Sylfaen" w:cs="Times New Roman"/>
        </w:rPr>
        <w:t>.</w:t>
      </w:r>
    </w:p>
    <w:p w14:paraId="32DD5CCF" w14:textId="299B10FA" w:rsidR="00296E26" w:rsidRPr="00034A4A" w:rsidRDefault="00296E26" w:rsidP="008769F4">
      <w:pPr>
        <w:spacing w:after="120"/>
        <w:jc w:val="both"/>
        <w:rPr>
          <w:rFonts w:ascii="Sylfaen" w:hAnsi="Sylfaen" w:cs="Times New Roman"/>
          <w:color w:val="0070C0"/>
        </w:rPr>
      </w:pPr>
      <w:r w:rsidRPr="00034A4A">
        <w:rPr>
          <w:rFonts w:ascii="Sylfaen" w:hAnsi="Sylfaen" w:cs="Times New Roman"/>
          <w:color w:val="0070C0"/>
        </w:rPr>
        <w:t>In the short-term, the construction sector offers significant opportunities for job creation.</w:t>
      </w:r>
    </w:p>
    <w:p w14:paraId="713E4EC8" w14:textId="0005FF4B" w:rsidR="00296E26" w:rsidRPr="00034A4A" w:rsidRDefault="00296E26" w:rsidP="008769F4">
      <w:pPr>
        <w:spacing w:after="120"/>
        <w:jc w:val="both"/>
        <w:rPr>
          <w:rFonts w:ascii="Sylfaen" w:hAnsi="Sylfaen" w:cs="Times New Roman"/>
        </w:rPr>
      </w:pPr>
      <w:r w:rsidRPr="00034A4A">
        <w:rPr>
          <w:rFonts w:ascii="Sylfaen" w:hAnsi="Sylfaen" w:cs="Times New Roman"/>
          <w:b/>
        </w:rPr>
        <w:t xml:space="preserve">The winding down of conflict reveals that Iraq has a colossal deficit in infrastructure caused by destruction in areas of active fighting, </w:t>
      </w:r>
      <w:r w:rsidR="00FE1ADE" w:rsidRPr="00034A4A">
        <w:rPr>
          <w:rFonts w:ascii="Sylfaen" w:hAnsi="Sylfaen" w:cs="Times New Roman"/>
          <w:b/>
        </w:rPr>
        <w:t xml:space="preserve">but also by </w:t>
      </w:r>
      <w:r w:rsidR="00F33F83" w:rsidRPr="00034A4A">
        <w:rPr>
          <w:rFonts w:ascii="Sylfaen" w:hAnsi="Sylfaen" w:cs="Times New Roman"/>
          <w:b/>
        </w:rPr>
        <w:t xml:space="preserve">a </w:t>
      </w:r>
      <w:r w:rsidRPr="00034A4A">
        <w:rPr>
          <w:rFonts w:ascii="Sylfaen" w:hAnsi="Sylfaen" w:cs="Times New Roman"/>
          <w:b/>
        </w:rPr>
        <w:t>lack of maintenance over decades.</w:t>
      </w:r>
      <w:r w:rsidRPr="00034A4A">
        <w:rPr>
          <w:rFonts w:ascii="Sylfaen" w:hAnsi="Sylfaen" w:cs="Times New Roman"/>
        </w:rPr>
        <w:t xml:space="preserve"> </w:t>
      </w:r>
      <w:r w:rsidR="002917D7" w:rsidRPr="00034A4A">
        <w:rPr>
          <w:rFonts w:ascii="Sylfaen" w:hAnsi="Sylfaen" w:cs="Times New Roman"/>
        </w:rPr>
        <w:t>In addition, t</w:t>
      </w:r>
      <w:r w:rsidRPr="00034A4A">
        <w:rPr>
          <w:rFonts w:ascii="Sylfaen" w:hAnsi="Sylfaen" w:cs="Times New Roman"/>
        </w:rPr>
        <w:t>here is a huge backlog in the delivery of basic services. Some infrastructure projects, such as new interstate highways, airports</w:t>
      </w:r>
      <w:r w:rsidR="002917D7" w:rsidRPr="00034A4A">
        <w:rPr>
          <w:rFonts w:ascii="Sylfaen" w:hAnsi="Sylfaen" w:cs="Times New Roman"/>
        </w:rPr>
        <w:t>,</w:t>
      </w:r>
      <w:r w:rsidRPr="00034A4A">
        <w:rPr>
          <w:rFonts w:ascii="Sylfaen" w:hAnsi="Sylfaen" w:cs="Times New Roman"/>
        </w:rPr>
        <w:t xml:space="preserve"> and dams have long gestation lag</w:t>
      </w:r>
      <w:r w:rsidRPr="00034A4A">
        <w:rPr>
          <w:rFonts w:ascii="Sylfaen" w:hAnsi="Sylfaen" w:cs="Times New Roman"/>
          <w:color w:val="0D0D0D" w:themeColor="text1" w:themeTint="F2"/>
        </w:rPr>
        <w:t xml:space="preserve">s and are a longer-term proposition. </w:t>
      </w:r>
      <w:r w:rsidRPr="00034A4A">
        <w:rPr>
          <w:rFonts w:ascii="Sylfaen" w:hAnsi="Sylfaen" w:cs="Times New Roman"/>
        </w:rPr>
        <w:t>However, in the short term, there are many achievable construction projects that can create large numbers of jobs across the country:</w:t>
      </w:r>
    </w:p>
    <w:p w14:paraId="6496F923" w14:textId="59EFB74B" w:rsidR="008A5389" w:rsidRPr="00034A4A" w:rsidRDefault="008A5389" w:rsidP="008769F4">
      <w:pPr>
        <w:pStyle w:val="ListParagraph"/>
        <w:numPr>
          <w:ilvl w:val="0"/>
          <w:numId w:val="17"/>
        </w:numPr>
        <w:spacing w:after="120"/>
        <w:contextualSpacing w:val="0"/>
        <w:jc w:val="both"/>
        <w:rPr>
          <w:rFonts w:ascii="Sylfaen" w:hAnsi="Sylfaen" w:cs="Times New Roman"/>
        </w:rPr>
      </w:pPr>
      <w:r w:rsidRPr="00034A4A">
        <w:rPr>
          <w:rFonts w:ascii="Sylfaen" w:hAnsi="Sylfaen" w:cs="Times New Roman"/>
          <w:color w:val="0D0D0D" w:themeColor="text1" w:themeTint="F2"/>
        </w:rPr>
        <w:t xml:space="preserve">Across the country, there is a considerable backlog in the </w:t>
      </w:r>
      <w:r w:rsidRPr="00034A4A">
        <w:rPr>
          <w:rFonts w:ascii="Sylfaen" w:hAnsi="Sylfaen" w:cs="Times New Roman"/>
        </w:rPr>
        <w:t>restoration and maintenance of basic infrastructure such as access roads, bridges, irrigation and drainage channels, sanitation, and electricity connections. The Damage and Needs Assessment for Iraq estimates $16bn in investment needs in reconstruction alone</w:t>
      </w:r>
      <w:r w:rsidR="00B7667B" w:rsidRPr="00034A4A">
        <w:rPr>
          <w:rFonts w:ascii="Sylfaen" w:hAnsi="Sylfaen" w:cs="Times New Roman"/>
        </w:rPr>
        <w:t>.</w:t>
      </w:r>
      <w:r w:rsidRPr="00034A4A">
        <w:rPr>
          <w:rStyle w:val="FootnoteReference"/>
          <w:rFonts w:ascii="Sylfaen" w:hAnsi="Sylfaen" w:cs="Times New Roman"/>
        </w:rPr>
        <w:footnoteReference w:id="8"/>
      </w:r>
    </w:p>
    <w:p w14:paraId="7E6149D6" w14:textId="5675852E" w:rsidR="00296E26" w:rsidRPr="00034A4A" w:rsidRDefault="00296E26" w:rsidP="008769F4">
      <w:pPr>
        <w:pStyle w:val="ListParagraph"/>
        <w:numPr>
          <w:ilvl w:val="0"/>
          <w:numId w:val="17"/>
        </w:numPr>
        <w:spacing w:after="120"/>
        <w:contextualSpacing w:val="0"/>
        <w:jc w:val="both"/>
        <w:rPr>
          <w:rFonts w:ascii="Sylfaen" w:hAnsi="Sylfaen" w:cs="Times New Roman"/>
        </w:rPr>
      </w:pPr>
      <w:r w:rsidRPr="00034A4A">
        <w:rPr>
          <w:rFonts w:ascii="Sylfaen" w:hAnsi="Sylfaen" w:cs="Times New Roman"/>
        </w:rPr>
        <w:t>In the housing sector, a 2012 USAID estimate showed a shortfall of 1-3.5 million housing units even prior to the height of the internal displacement crisis. The World Bank estimates that almost 30-40 percent of the population lives in very poor housing conditions</w:t>
      </w:r>
      <w:r w:rsidR="00B7667B" w:rsidRPr="00034A4A">
        <w:rPr>
          <w:rFonts w:ascii="Sylfaen" w:hAnsi="Sylfaen" w:cs="Times New Roman"/>
        </w:rPr>
        <w:t>.</w:t>
      </w:r>
      <w:r w:rsidRPr="00034A4A">
        <w:rPr>
          <w:rStyle w:val="FootnoteReference"/>
          <w:rFonts w:ascii="Sylfaen" w:hAnsi="Sylfaen" w:cs="Times New Roman"/>
        </w:rPr>
        <w:footnoteReference w:id="9"/>
      </w:r>
      <w:r w:rsidR="00160F6B" w:rsidRPr="00034A4A">
        <w:rPr>
          <w:rFonts w:ascii="Sylfaen" w:hAnsi="Sylfaen" w:cs="Times New Roman"/>
        </w:rPr>
        <w:t xml:space="preserve"> Financing </w:t>
      </w:r>
      <w:r w:rsidR="008A5389" w:rsidRPr="00034A4A">
        <w:rPr>
          <w:rFonts w:ascii="Sylfaen" w:hAnsi="Sylfaen" w:cs="Times New Roman"/>
        </w:rPr>
        <w:t>needs</w:t>
      </w:r>
      <w:r w:rsidR="00160F6B" w:rsidRPr="00034A4A">
        <w:rPr>
          <w:rFonts w:ascii="Sylfaen" w:hAnsi="Sylfaen" w:cs="Times New Roman"/>
        </w:rPr>
        <w:t xml:space="preserve"> are estimated to </w:t>
      </w:r>
      <w:r w:rsidR="008A5389" w:rsidRPr="00034A4A">
        <w:rPr>
          <w:rFonts w:ascii="Sylfaen" w:hAnsi="Sylfaen" w:cs="Times New Roman"/>
        </w:rPr>
        <w:t xml:space="preserve">amount to </w:t>
      </w:r>
      <w:r w:rsidR="00160F6B" w:rsidRPr="00034A4A">
        <w:rPr>
          <w:rFonts w:ascii="Sylfaen" w:hAnsi="Sylfaen" w:cs="Times New Roman"/>
        </w:rPr>
        <w:t>$17bn</w:t>
      </w:r>
      <w:r w:rsidR="00B7667B" w:rsidRPr="00034A4A">
        <w:rPr>
          <w:rFonts w:ascii="Sylfaen" w:hAnsi="Sylfaen" w:cs="Times New Roman"/>
        </w:rPr>
        <w:t>.</w:t>
      </w:r>
      <w:r w:rsidR="00160F6B" w:rsidRPr="00034A4A">
        <w:rPr>
          <w:rStyle w:val="FootnoteReference"/>
          <w:rFonts w:ascii="Sylfaen" w:hAnsi="Sylfaen" w:cs="Times New Roman"/>
        </w:rPr>
        <w:footnoteReference w:id="10"/>
      </w:r>
      <w:r w:rsidR="00160F6B" w:rsidRPr="00034A4A">
        <w:rPr>
          <w:rFonts w:ascii="Sylfaen" w:hAnsi="Sylfaen" w:cs="Times New Roman"/>
        </w:rPr>
        <w:t xml:space="preserve"> </w:t>
      </w:r>
      <w:r w:rsidRPr="00034A4A">
        <w:rPr>
          <w:rFonts w:ascii="Sylfaen" w:hAnsi="Sylfaen" w:cs="Times New Roman"/>
        </w:rPr>
        <w:t xml:space="preserve">In liberated areas in particular, public buildings and office space are </w:t>
      </w:r>
      <w:r w:rsidR="008A5389" w:rsidRPr="00034A4A">
        <w:rPr>
          <w:rFonts w:ascii="Sylfaen" w:hAnsi="Sylfaen" w:cs="Times New Roman"/>
        </w:rPr>
        <w:t xml:space="preserve">also </w:t>
      </w:r>
      <w:r w:rsidRPr="00034A4A">
        <w:rPr>
          <w:rFonts w:ascii="Sylfaen" w:hAnsi="Sylfaen" w:cs="Times New Roman"/>
        </w:rPr>
        <w:t xml:space="preserve">in disrepair. For instance, </w:t>
      </w:r>
      <w:r w:rsidRPr="00034A4A">
        <w:rPr>
          <w:rFonts w:ascii="Sylfaen" w:hAnsi="Sylfaen" w:cs="Times New Roman"/>
          <w:color w:val="0D0D0D" w:themeColor="text1" w:themeTint="F2"/>
        </w:rPr>
        <w:t>a 2016 Ministry of Education Survey found that about half of the school buildings in Iraq needed rehabilitation or reconstruction. After the liberation of Mosul, these numbers have increased.</w:t>
      </w:r>
    </w:p>
    <w:p w14:paraId="7519760B" w14:textId="3D361289" w:rsidR="00666D58" w:rsidRPr="00011269" w:rsidRDefault="00A9704A" w:rsidP="008769F4">
      <w:pPr>
        <w:spacing w:after="120"/>
        <w:jc w:val="both"/>
        <w:rPr>
          <w:rFonts w:ascii="Sylfaen" w:hAnsi="Sylfaen" w:cs="Times New Roman"/>
        </w:rPr>
      </w:pPr>
      <w:r w:rsidRPr="00011269">
        <w:rPr>
          <w:rFonts w:ascii="Sylfaen" w:hAnsi="Sylfaen" w:cs="Times New Roman"/>
          <w:b/>
        </w:rPr>
        <w:t xml:space="preserve">Public </w:t>
      </w:r>
      <w:r w:rsidR="00666D58" w:rsidRPr="00011269">
        <w:rPr>
          <w:rFonts w:ascii="Sylfaen" w:hAnsi="Sylfaen" w:cs="Times New Roman"/>
          <w:b/>
        </w:rPr>
        <w:t>procurement offers the GOI a direct opportunity to support jobs and foster private sector development at a significant</w:t>
      </w:r>
      <w:r w:rsidR="003F7AF0" w:rsidRPr="00011269">
        <w:rPr>
          <w:rFonts w:ascii="Sylfaen" w:hAnsi="Sylfaen" w:cs="Times New Roman"/>
          <w:b/>
        </w:rPr>
        <w:t xml:space="preserve"> scale</w:t>
      </w:r>
      <w:r w:rsidR="00666D58" w:rsidRPr="00011269">
        <w:rPr>
          <w:rFonts w:ascii="Sylfaen" w:hAnsi="Sylfaen" w:cs="Times New Roman"/>
          <w:b/>
        </w:rPr>
        <w:t>.</w:t>
      </w:r>
      <w:r w:rsidR="00666D58" w:rsidRPr="00011269">
        <w:rPr>
          <w:rFonts w:ascii="Sylfaen" w:hAnsi="Sylfaen" w:cs="Times New Roman"/>
        </w:rPr>
        <w:t xml:space="preserve"> The National Development Plan 2018-2022 envisions a rise of the share of private capital by 2022, but recognizes that public investment i</w:t>
      </w:r>
      <w:r w:rsidR="003F7AF0" w:rsidRPr="00011269">
        <w:rPr>
          <w:rFonts w:ascii="Sylfaen" w:hAnsi="Sylfaen" w:cs="Times New Roman"/>
        </w:rPr>
        <w:t>s</w:t>
      </w:r>
      <w:r w:rsidR="00666D58" w:rsidRPr="00011269">
        <w:rPr>
          <w:rFonts w:ascii="Sylfaen" w:hAnsi="Sylfaen" w:cs="Times New Roman"/>
        </w:rPr>
        <w:t xml:space="preserve"> likely to still play a large role</w:t>
      </w:r>
      <w:r w:rsidR="003F7AF0" w:rsidRPr="00011269">
        <w:rPr>
          <w:rFonts w:ascii="Sylfaen" w:hAnsi="Sylfaen" w:cs="Times New Roman"/>
        </w:rPr>
        <w:t>, and a role that is not limited to the oil sector</w:t>
      </w:r>
      <w:r w:rsidR="00666D58" w:rsidRPr="00011269">
        <w:rPr>
          <w:rFonts w:ascii="Sylfaen" w:hAnsi="Sylfaen" w:cs="Times New Roman"/>
        </w:rPr>
        <w:t xml:space="preserve">. Thus, by 2022, </w:t>
      </w:r>
      <w:r w:rsidR="003F7AF0" w:rsidRPr="00011269">
        <w:rPr>
          <w:rFonts w:ascii="Sylfaen" w:hAnsi="Sylfaen" w:cs="Times New Roman"/>
        </w:rPr>
        <w:t>public investment is expected to account for 75</w:t>
      </w:r>
      <w:r w:rsidR="00766F2F">
        <w:rPr>
          <w:rFonts w:ascii="Sylfaen" w:hAnsi="Sylfaen" w:cs="Times New Roman"/>
        </w:rPr>
        <w:t xml:space="preserve"> percent</w:t>
      </w:r>
      <w:r w:rsidR="003F7AF0" w:rsidRPr="00011269">
        <w:rPr>
          <w:rFonts w:ascii="Sylfaen" w:hAnsi="Sylfaen" w:cs="Times New Roman"/>
        </w:rPr>
        <w:t xml:space="preserve"> of capital investment in electricity and water (compared to 81</w:t>
      </w:r>
      <w:r w:rsidR="00766F2F">
        <w:rPr>
          <w:rFonts w:ascii="Sylfaen" w:hAnsi="Sylfaen" w:cs="Times New Roman"/>
        </w:rPr>
        <w:t xml:space="preserve"> percent</w:t>
      </w:r>
      <w:r w:rsidR="003F7AF0" w:rsidRPr="00011269">
        <w:rPr>
          <w:rFonts w:ascii="Sylfaen" w:hAnsi="Sylfaen" w:cs="Times New Roman"/>
        </w:rPr>
        <w:t xml:space="preserve"> in 2015), and 40</w:t>
      </w:r>
      <w:r w:rsidR="00766F2F">
        <w:rPr>
          <w:rFonts w:ascii="Sylfaen" w:hAnsi="Sylfaen" w:cs="Times New Roman"/>
        </w:rPr>
        <w:t xml:space="preserve"> percent</w:t>
      </w:r>
      <w:r w:rsidR="003F7AF0" w:rsidRPr="00011269">
        <w:rPr>
          <w:rFonts w:ascii="Sylfaen" w:hAnsi="Sylfaen" w:cs="Times New Roman"/>
        </w:rPr>
        <w:t xml:space="preserve"> in construction and buildings (43</w:t>
      </w:r>
      <w:r w:rsidR="00766F2F">
        <w:rPr>
          <w:rFonts w:ascii="Sylfaen" w:hAnsi="Sylfaen" w:cs="Times New Roman"/>
        </w:rPr>
        <w:t xml:space="preserve"> percent</w:t>
      </w:r>
      <w:r w:rsidR="003F7AF0" w:rsidRPr="00011269">
        <w:rPr>
          <w:rFonts w:ascii="Sylfaen" w:hAnsi="Sylfaen" w:cs="Times New Roman"/>
        </w:rPr>
        <w:t xml:space="preserve"> in 2015). </w:t>
      </w:r>
      <w:r w:rsidR="008C4BB4" w:rsidRPr="00011269">
        <w:rPr>
          <w:rFonts w:ascii="Sylfaen" w:hAnsi="Sylfaen" w:cs="Times New Roman"/>
        </w:rPr>
        <w:t>This implies planned public investments of about $2.6bn in the water and electricity sector and $845</w:t>
      </w:r>
      <w:r w:rsidR="00012565" w:rsidRPr="00011269">
        <w:rPr>
          <w:rFonts w:ascii="Sylfaen" w:hAnsi="Sylfaen" w:cs="Times New Roman"/>
        </w:rPr>
        <w:t>m</w:t>
      </w:r>
      <w:r w:rsidR="008C4BB4" w:rsidRPr="00011269">
        <w:rPr>
          <w:rFonts w:ascii="Sylfaen" w:hAnsi="Sylfaen" w:cs="Times New Roman"/>
        </w:rPr>
        <w:t xml:space="preserve"> in the building and construction sector each year through 2022.</w:t>
      </w:r>
      <w:r w:rsidR="008C4BB4" w:rsidRPr="00011269">
        <w:rPr>
          <w:rStyle w:val="FootnoteReference"/>
          <w:rFonts w:ascii="Sylfaen" w:hAnsi="Sylfaen" w:cs="Times New Roman"/>
        </w:rPr>
        <w:footnoteReference w:id="11"/>
      </w:r>
      <w:r w:rsidR="008C4BB4" w:rsidRPr="00011269">
        <w:rPr>
          <w:rFonts w:ascii="Sylfaen" w:hAnsi="Sylfaen" w:cs="Times New Roman"/>
        </w:rPr>
        <w:t xml:space="preserve"> </w:t>
      </w:r>
      <w:r w:rsidR="00E3175D" w:rsidRPr="00011269">
        <w:rPr>
          <w:rFonts w:ascii="Sylfaen" w:hAnsi="Sylfaen" w:cs="Times New Roman"/>
        </w:rPr>
        <w:t xml:space="preserve">These projections are based on the assumption that oil revenues remain stable. </w:t>
      </w:r>
      <w:r w:rsidR="008C4BB4" w:rsidRPr="00011269">
        <w:rPr>
          <w:rFonts w:ascii="Sylfaen" w:hAnsi="Sylfaen" w:cs="Times New Roman"/>
        </w:rPr>
        <w:t>With the right policies, these important public investments given the GOI a unique opportunity to favor job creation, and to support SME development.</w:t>
      </w:r>
    </w:p>
    <w:p w14:paraId="2D2A2D03" w14:textId="442ECCD8" w:rsidR="00296E26" w:rsidRPr="00034A4A" w:rsidRDefault="00296E26" w:rsidP="008769F4">
      <w:pPr>
        <w:spacing w:after="120"/>
        <w:jc w:val="both"/>
        <w:rPr>
          <w:rFonts w:ascii="Sylfaen" w:hAnsi="Sylfaen" w:cs="Times New Roman"/>
          <w:color w:val="0D0D0D" w:themeColor="text1" w:themeTint="F2"/>
        </w:rPr>
      </w:pPr>
      <w:r w:rsidRPr="00034A4A">
        <w:rPr>
          <w:rFonts w:ascii="Sylfaen" w:hAnsi="Sylfaen" w:cs="Times New Roman"/>
          <w:b/>
        </w:rPr>
        <w:t xml:space="preserve">There is substantial private sector activity in the construction sector </w:t>
      </w:r>
      <w:r w:rsidR="002917D7" w:rsidRPr="00034A4A">
        <w:rPr>
          <w:rFonts w:ascii="Sylfaen" w:hAnsi="Sylfaen" w:cs="Times New Roman"/>
          <w:b/>
        </w:rPr>
        <w:t xml:space="preserve">and linked industries </w:t>
      </w:r>
      <w:r w:rsidRPr="00034A4A">
        <w:rPr>
          <w:rFonts w:ascii="Sylfaen" w:hAnsi="Sylfaen" w:cs="Times New Roman"/>
          <w:b/>
        </w:rPr>
        <w:t xml:space="preserve">that could potentially benefit from </w:t>
      </w:r>
      <w:r w:rsidR="00F33F83" w:rsidRPr="00034A4A">
        <w:rPr>
          <w:rFonts w:ascii="Sylfaen" w:hAnsi="Sylfaen" w:cs="Times New Roman"/>
          <w:b/>
        </w:rPr>
        <w:t xml:space="preserve">this </w:t>
      </w:r>
      <w:r w:rsidRPr="00034A4A">
        <w:rPr>
          <w:rFonts w:ascii="Sylfaen" w:hAnsi="Sylfaen" w:cs="Times New Roman"/>
          <w:b/>
        </w:rPr>
        <w:t>demand boost.</w:t>
      </w:r>
      <w:r w:rsidRPr="00034A4A">
        <w:rPr>
          <w:rFonts w:ascii="Sylfaen" w:hAnsi="Sylfaen" w:cs="Times New Roman"/>
        </w:rPr>
        <w:t xml:space="preserve"> Fifteen percent of all private sector employment is in the construction sector. Private firms routinely bid for smaller contracts in World Bank projects, and are sub-contracted by SOEs to carry out the principal activities for larger contracts.</w:t>
      </w:r>
      <w:r w:rsidR="00C47673" w:rsidRPr="00034A4A">
        <w:rPr>
          <w:rFonts w:ascii="Sylfaen" w:hAnsi="Sylfaen" w:cs="Times New Roman"/>
        </w:rPr>
        <w:t xml:space="preserve"> </w:t>
      </w:r>
      <w:r w:rsidRPr="00034A4A">
        <w:rPr>
          <w:rFonts w:ascii="Sylfaen" w:hAnsi="Sylfaen" w:cs="Times New Roman"/>
        </w:rPr>
        <w:t xml:space="preserve">In addition, there is the potential for indirect jobs through backward linkages. Indeed, the construction materials industry is one of only two manufacturing sub-sectors in Iraq (in addition to food processing) with a meaningful level of private activity (see Figure 3B). Reconstruction is also likely to boost some supporting services, such as security services, food and </w:t>
      </w:r>
      <w:r w:rsidR="00160F6B" w:rsidRPr="00034A4A">
        <w:rPr>
          <w:rFonts w:ascii="Sylfaen" w:hAnsi="Sylfaen" w:cs="Times New Roman"/>
        </w:rPr>
        <w:t>beverages</w:t>
      </w:r>
      <w:r w:rsidRPr="00034A4A">
        <w:rPr>
          <w:rFonts w:ascii="Sylfaen" w:hAnsi="Sylfaen" w:cs="Times New Roman"/>
        </w:rPr>
        <w:t>, logistics and transport, and telecommunications.</w:t>
      </w:r>
      <w:r w:rsidR="004A101A" w:rsidRPr="00034A4A">
        <w:rPr>
          <w:rFonts w:ascii="Sylfaen" w:hAnsi="Sylfaen" w:cs="Times New Roman"/>
        </w:rPr>
        <w:t xml:space="preserve"> In the medium term, domestic light manufacturing might </w:t>
      </w:r>
      <w:r w:rsidR="00EE7A10" w:rsidRPr="00034A4A">
        <w:rPr>
          <w:rFonts w:ascii="Sylfaen" w:hAnsi="Sylfaen" w:cs="Times New Roman"/>
        </w:rPr>
        <w:t xml:space="preserve">become more viable due to </w:t>
      </w:r>
      <w:r w:rsidR="004A101A" w:rsidRPr="00034A4A">
        <w:rPr>
          <w:rFonts w:ascii="Sylfaen" w:hAnsi="Sylfaen" w:cs="Times New Roman"/>
        </w:rPr>
        <w:t xml:space="preserve">the demand for fast-moving consumer goods associated with residential construction. </w:t>
      </w:r>
      <w:r w:rsidRPr="00034A4A">
        <w:rPr>
          <w:rFonts w:ascii="Sylfaen" w:hAnsi="Sylfaen" w:cs="Times New Roman"/>
        </w:rPr>
        <w:t xml:space="preserve">Finally, infrastructure rehabilitation is likely to reduce the cost of doing business for </w:t>
      </w:r>
      <w:r w:rsidRPr="00034A4A">
        <w:rPr>
          <w:rFonts w:ascii="Sylfaen" w:hAnsi="Sylfaen" w:cs="Times New Roman"/>
          <w:color w:val="0D0D0D" w:themeColor="text1" w:themeTint="F2"/>
        </w:rPr>
        <w:t xml:space="preserve">private firms, </w:t>
      </w:r>
      <w:r w:rsidR="00160F6B" w:rsidRPr="00034A4A">
        <w:rPr>
          <w:rFonts w:ascii="Sylfaen" w:hAnsi="Sylfaen" w:cs="Times New Roman"/>
          <w:color w:val="0D0D0D" w:themeColor="text1" w:themeTint="F2"/>
        </w:rPr>
        <w:t xml:space="preserve">as well as to </w:t>
      </w:r>
      <w:r w:rsidRPr="00034A4A">
        <w:rPr>
          <w:rFonts w:ascii="Sylfaen" w:hAnsi="Sylfaen" w:cs="Times New Roman"/>
          <w:color w:val="0D0D0D" w:themeColor="text1" w:themeTint="F2"/>
        </w:rPr>
        <w:t>significantly enhance the mobility of individual Iraqis, and their ability to participate in economic life. This is particularly true of those who are poor and reside in rural areas, with inadequate co</w:t>
      </w:r>
      <w:r w:rsidR="00766F2F">
        <w:rPr>
          <w:rFonts w:ascii="Sylfaen" w:hAnsi="Sylfaen" w:cs="Times New Roman"/>
          <w:color w:val="0D0D0D" w:themeColor="text1" w:themeTint="F2"/>
        </w:rPr>
        <w:t>nnections through unpaved roads.</w:t>
      </w:r>
      <w:r w:rsidRPr="00034A4A">
        <w:rPr>
          <w:rFonts w:ascii="Sylfaen" w:hAnsi="Sylfaen" w:cs="Times New Roman"/>
          <w:color w:val="0D0D0D" w:themeColor="text1" w:themeTint="F2"/>
        </w:rPr>
        <w:t xml:space="preserve"> </w:t>
      </w:r>
      <w:r w:rsidR="00766F2F">
        <w:rPr>
          <w:rFonts w:ascii="Sylfaen" w:hAnsi="Sylfaen" w:cs="Times New Roman"/>
          <w:color w:val="0D0D0D" w:themeColor="text1" w:themeTint="F2"/>
        </w:rPr>
        <w:t>F</w:t>
      </w:r>
      <w:r w:rsidRPr="00034A4A">
        <w:rPr>
          <w:rFonts w:ascii="Sylfaen" w:hAnsi="Sylfaen" w:cs="Times New Roman"/>
          <w:color w:val="0D0D0D" w:themeColor="text1" w:themeTint="F2"/>
        </w:rPr>
        <w:t>or example, poor</w:t>
      </w:r>
      <w:r w:rsidRPr="00034A4A">
        <w:rPr>
          <w:rFonts w:ascii="Sylfaen" w:hAnsi="Sylfaen" w:cs="Times New Roman"/>
        </w:rPr>
        <w:t xml:space="preserve"> workers in non-wage agriculture are more likely than others to live on unpaved roads and to live more than five kilometers from a market.</w:t>
      </w:r>
    </w:p>
    <w:p w14:paraId="0C3D5BA8" w14:textId="2DD1F51F" w:rsidR="00A655CA" w:rsidRPr="00034A4A" w:rsidRDefault="00296E26" w:rsidP="008769F4">
      <w:pPr>
        <w:spacing w:after="120"/>
        <w:jc w:val="both"/>
        <w:rPr>
          <w:rFonts w:ascii="Sylfaen" w:hAnsi="Sylfaen" w:cs="Times New Roman"/>
          <w:color w:val="0070C0"/>
        </w:rPr>
      </w:pPr>
      <w:r w:rsidRPr="00034A4A">
        <w:rPr>
          <w:rFonts w:ascii="Sylfaen" w:hAnsi="Sylfaen" w:cs="Times New Roman"/>
          <w:color w:val="0070C0"/>
        </w:rPr>
        <w:t>Who can deliver infrastructure reconstruction?</w:t>
      </w:r>
    </w:p>
    <w:p w14:paraId="74B221A0" w14:textId="7783DD48" w:rsidR="00DD45CF" w:rsidRPr="00034A4A" w:rsidRDefault="002864C7" w:rsidP="008769F4">
      <w:pPr>
        <w:spacing w:after="120"/>
        <w:jc w:val="both"/>
        <w:rPr>
          <w:rFonts w:ascii="Sylfaen" w:hAnsi="Sylfaen" w:cs="Times New Roman"/>
        </w:rPr>
      </w:pPr>
      <w:r w:rsidRPr="00034A4A">
        <w:rPr>
          <w:rFonts w:ascii="Sylfaen" w:hAnsi="Sylfaen" w:cs="Times New Roman"/>
          <w:b/>
        </w:rPr>
        <w:t>Jobs in the short term will be best-served by relying on local private business and public works.</w:t>
      </w:r>
      <w:r w:rsidRPr="00034A4A">
        <w:rPr>
          <w:rFonts w:ascii="Sylfaen" w:hAnsi="Sylfaen" w:cs="Times New Roman"/>
        </w:rPr>
        <w:t xml:space="preserve"> </w:t>
      </w:r>
      <w:r w:rsidR="00DD45CF" w:rsidRPr="00034A4A">
        <w:rPr>
          <w:rFonts w:ascii="Sylfaen" w:hAnsi="Sylfaen" w:cs="Times New Roman"/>
        </w:rPr>
        <w:t xml:space="preserve">Reconstruction </w:t>
      </w:r>
      <w:r w:rsidR="00EE7A10" w:rsidRPr="00034A4A">
        <w:rPr>
          <w:rFonts w:ascii="Sylfaen" w:hAnsi="Sylfaen" w:cs="Times New Roman"/>
        </w:rPr>
        <w:t xml:space="preserve">and repair </w:t>
      </w:r>
      <w:r w:rsidR="00DD45CF" w:rsidRPr="00034A4A">
        <w:rPr>
          <w:rFonts w:ascii="Sylfaen" w:hAnsi="Sylfaen" w:cs="Times New Roman"/>
        </w:rPr>
        <w:t>can in principle be carried out in four ways:</w:t>
      </w:r>
    </w:p>
    <w:p w14:paraId="70C0F108" w14:textId="77777777" w:rsidR="00DD45CF" w:rsidRPr="00034A4A" w:rsidRDefault="00DD45CF" w:rsidP="008769F4">
      <w:pPr>
        <w:pStyle w:val="ListParagraph"/>
        <w:numPr>
          <w:ilvl w:val="0"/>
          <w:numId w:val="18"/>
        </w:numPr>
        <w:spacing w:after="120"/>
        <w:contextualSpacing w:val="0"/>
        <w:jc w:val="both"/>
        <w:rPr>
          <w:rFonts w:ascii="Sylfaen" w:hAnsi="Sylfaen" w:cs="Times New Roman"/>
        </w:rPr>
      </w:pPr>
      <w:r w:rsidRPr="00034A4A">
        <w:rPr>
          <w:rFonts w:ascii="Sylfaen" w:hAnsi="Sylfaen" w:cs="Times New Roman"/>
        </w:rPr>
        <w:t>Traditional government-driven delivery, including through SOEs;</w:t>
      </w:r>
    </w:p>
    <w:p w14:paraId="34EBAE20" w14:textId="77777777" w:rsidR="00DD45CF" w:rsidRPr="00034A4A" w:rsidRDefault="00DD45CF" w:rsidP="008769F4">
      <w:pPr>
        <w:pStyle w:val="ListParagraph"/>
        <w:numPr>
          <w:ilvl w:val="0"/>
          <w:numId w:val="18"/>
        </w:numPr>
        <w:spacing w:after="120"/>
        <w:contextualSpacing w:val="0"/>
        <w:jc w:val="both"/>
        <w:rPr>
          <w:rFonts w:ascii="Sylfaen" w:hAnsi="Sylfaen" w:cs="Times New Roman"/>
        </w:rPr>
      </w:pPr>
      <w:r w:rsidRPr="00034A4A">
        <w:rPr>
          <w:rFonts w:ascii="Sylfaen" w:hAnsi="Sylfaen" w:cs="Times New Roman"/>
        </w:rPr>
        <w:t>Foreign construction conglomerates;</w:t>
      </w:r>
    </w:p>
    <w:p w14:paraId="5083E2F5" w14:textId="77777777" w:rsidR="00DD45CF" w:rsidRPr="00034A4A" w:rsidRDefault="00DD45CF" w:rsidP="008769F4">
      <w:pPr>
        <w:pStyle w:val="ListParagraph"/>
        <w:numPr>
          <w:ilvl w:val="0"/>
          <w:numId w:val="18"/>
        </w:numPr>
        <w:spacing w:after="120"/>
        <w:contextualSpacing w:val="0"/>
        <w:jc w:val="both"/>
        <w:rPr>
          <w:rFonts w:ascii="Sylfaen" w:hAnsi="Sylfaen" w:cs="Times New Roman"/>
        </w:rPr>
      </w:pPr>
      <w:r w:rsidRPr="00034A4A">
        <w:rPr>
          <w:rFonts w:ascii="Sylfaen" w:hAnsi="Sylfaen" w:cs="Times New Roman"/>
        </w:rPr>
        <w:t>Local private construction businesses;</w:t>
      </w:r>
    </w:p>
    <w:p w14:paraId="6EA6A8F8" w14:textId="77777777" w:rsidR="00DD45CF" w:rsidRPr="00034A4A" w:rsidRDefault="00DD45CF" w:rsidP="008769F4">
      <w:pPr>
        <w:pStyle w:val="ListParagraph"/>
        <w:numPr>
          <w:ilvl w:val="0"/>
          <w:numId w:val="18"/>
        </w:numPr>
        <w:spacing w:after="120"/>
        <w:contextualSpacing w:val="0"/>
        <w:jc w:val="both"/>
        <w:rPr>
          <w:rFonts w:ascii="Sylfaen" w:hAnsi="Sylfaen" w:cs="Times New Roman"/>
        </w:rPr>
      </w:pPr>
      <w:r w:rsidRPr="00034A4A">
        <w:rPr>
          <w:rFonts w:ascii="Sylfaen" w:hAnsi="Sylfaen" w:cs="Times New Roman"/>
        </w:rPr>
        <w:t>Public works.</w:t>
      </w:r>
    </w:p>
    <w:p w14:paraId="12865F53" w14:textId="32C4647F" w:rsidR="00296E26" w:rsidRDefault="00296E26" w:rsidP="008769F4">
      <w:pPr>
        <w:spacing w:after="120"/>
        <w:jc w:val="both"/>
        <w:rPr>
          <w:rFonts w:ascii="Sylfaen" w:hAnsi="Sylfaen" w:cs="Times New Roman"/>
          <w:color w:val="0D0D0D" w:themeColor="text1" w:themeTint="F2"/>
        </w:rPr>
      </w:pPr>
      <w:r w:rsidRPr="00034A4A">
        <w:rPr>
          <w:rFonts w:ascii="Sylfaen" w:hAnsi="Sylfaen" w:cs="Times New Roman"/>
        </w:rPr>
        <w:t>The traditional model of infrastructure delivery</w:t>
      </w:r>
      <w:r w:rsidR="008F6763" w:rsidRPr="00034A4A">
        <w:rPr>
          <w:rFonts w:ascii="Sylfaen" w:hAnsi="Sylfaen" w:cs="Times New Roman"/>
        </w:rPr>
        <w:t xml:space="preserve"> in Iraq</w:t>
      </w:r>
      <w:r w:rsidRPr="00034A4A">
        <w:rPr>
          <w:rFonts w:ascii="Sylfaen" w:hAnsi="Sylfaen" w:cs="Times New Roman"/>
        </w:rPr>
        <w:t xml:space="preserve"> is mired in an inefficient bureaucracy and regulatory system. It is unlikely to serve large-scale reconstruction needs </w:t>
      </w:r>
      <w:r w:rsidR="008F6763" w:rsidRPr="00034A4A">
        <w:rPr>
          <w:rFonts w:ascii="Sylfaen" w:hAnsi="Sylfaen" w:cs="Times New Roman"/>
        </w:rPr>
        <w:t xml:space="preserve">efficiently, </w:t>
      </w:r>
      <w:r w:rsidRPr="00034A4A">
        <w:rPr>
          <w:rFonts w:ascii="Sylfaen" w:hAnsi="Sylfaen" w:cs="Times New Roman"/>
        </w:rPr>
        <w:t xml:space="preserve">or </w:t>
      </w:r>
      <w:r w:rsidR="008F6763" w:rsidRPr="00034A4A">
        <w:rPr>
          <w:rFonts w:ascii="Sylfaen" w:hAnsi="Sylfaen" w:cs="Times New Roman"/>
        </w:rPr>
        <w:t xml:space="preserve">to </w:t>
      </w:r>
      <w:r w:rsidRPr="00034A4A">
        <w:rPr>
          <w:rFonts w:ascii="Sylfaen" w:hAnsi="Sylfaen" w:cs="Times New Roman"/>
        </w:rPr>
        <w:t>create large-scale employment in the short term</w:t>
      </w:r>
      <w:r w:rsidR="00DD45CF" w:rsidRPr="00034A4A">
        <w:rPr>
          <w:rFonts w:ascii="Sylfaen" w:hAnsi="Sylfaen" w:cs="Times New Roman"/>
        </w:rPr>
        <w:t>, beyond jobs that already exist in SOEs</w:t>
      </w:r>
      <w:r w:rsidRPr="00034A4A">
        <w:rPr>
          <w:rFonts w:ascii="Sylfaen" w:hAnsi="Sylfaen" w:cs="Times New Roman"/>
        </w:rPr>
        <w:t>. Large foreign construction conglomerates are certain to be involved in marquee infrastructure projects. However, delivery through the local private sector should be encouraged where possible, as a way of favoring more labor-intensive processes, and to encourage multiplier effects that may not arise through foreign firms. Public works are an important alternative where a local private-sector response is unlikely to be vigorous enough.</w:t>
      </w:r>
      <w:r w:rsidR="008F6763" w:rsidRPr="00034A4A">
        <w:rPr>
          <w:rFonts w:ascii="Sylfaen" w:hAnsi="Sylfaen" w:cs="Times New Roman"/>
        </w:rPr>
        <w:t xml:space="preserve"> </w:t>
      </w:r>
      <w:r w:rsidR="006C705B" w:rsidRPr="00034A4A">
        <w:rPr>
          <w:rFonts w:ascii="Sylfaen" w:hAnsi="Sylfaen" w:cs="Times New Roman"/>
        </w:rPr>
        <w:t xml:space="preserve">They also allow GOI to emphasize access to jobs </w:t>
      </w:r>
      <w:r w:rsidR="00FA7075" w:rsidRPr="00034A4A">
        <w:rPr>
          <w:rFonts w:ascii="Sylfaen" w:hAnsi="Sylfaen" w:cs="Times New Roman"/>
        </w:rPr>
        <w:t xml:space="preserve">to assist in the reintegration of former militia members, and </w:t>
      </w:r>
      <w:r w:rsidR="006C705B" w:rsidRPr="00034A4A">
        <w:rPr>
          <w:rFonts w:ascii="Sylfaen" w:hAnsi="Sylfaen" w:cs="Times New Roman"/>
        </w:rPr>
        <w:t xml:space="preserve">for disadvantaged groups, including IDPs and returnees, as well as their host communities. </w:t>
      </w:r>
      <w:r w:rsidRPr="00034A4A">
        <w:rPr>
          <w:rFonts w:ascii="Sylfaen" w:hAnsi="Sylfaen" w:cs="Times New Roman"/>
        </w:rPr>
        <w:t xml:space="preserve">Public works and delivery through smaller local firms may not uniformly deliver </w:t>
      </w:r>
      <w:r w:rsidR="00DD45CF" w:rsidRPr="00034A4A">
        <w:rPr>
          <w:rFonts w:ascii="Sylfaen" w:hAnsi="Sylfaen" w:cs="Times New Roman"/>
        </w:rPr>
        <w:t xml:space="preserve">high </w:t>
      </w:r>
      <w:r w:rsidRPr="00034A4A">
        <w:rPr>
          <w:rFonts w:ascii="Sylfaen" w:hAnsi="Sylfaen" w:cs="Times New Roman"/>
        </w:rPr>
        <w:t xml:space="preserve">quality. However, </w:t>
      </w:r>
      <w:r w:rsidR="00DD45CF" w:rsidRPr="00034A4A">
        <w:rPr>
          <w:rFonts w:ascii="Sylfaen" w:hAnsi="Sylfaen" w:cs="Times New Roman"/>
        </w:rPr>
        <w:t xml:space="preserve">in </w:t>
      </w:r>
      <w:r w:rsidRPr="00034A4A">
        <w:rPr>
          <w:rFonts w:ascii="Sylfaen" w:hAnsi="Sylfaen" w:cs="Times New Roman"/>
        </w:rPr>
        <w:t>cognizance of Iraq’s political reality</w:t>
      </w:r>
      <w:r w:rsidR="00DD45CF" w:rsidRPr="00034A4A">
        <w:rPr>
          <w:rFonts w:ascii="Sylfaen" w:hAnsi="Sylfaen" w:cs="Times New Roman"/>
        </w:rPr>
        <w:t>,</w:t>
      </w:r>
      <w:r w:rsidRPr="00034A4A">
        <w:rPr>
          <w:rFonts w:ascii="Sylfaen" w:hAnsi="Sylfaen" w:cs="Times New Roman"/>
        </w:rPr>
        <w:t xml:space="preserve"> </w:t>
      </w:r>
      <w:r w:rsidR="00EE7A10" w:rsidRPr="00034A4A">
        <w:rPr>
          <w:rFonts w:ascii="Sylfaen" w:hAnsi="Sylfaen" w:cs="Times New Roman"/>
        </w:rPr>
        <w:t>the government must consider in its assessment of</w:t>
      </w:r>
      <w:r w:rsidR="00B7667B" w:rsidRPr="00034A4A">
        <w:rPr>
          <w:rFonts w:ascii="Sylfaen" w:hAnsi="Sylfaen" w:cs="Times New Roman"/>
        </w:rPr>
        <w:t xml:space="preserve"> the</w:t>
      </w:r>
      <w:r w:rsidR="00EE7A10" w:rsidRPr="00034A4A">
        <w:rPr>
          <w:rFonts w:ascii="Sylfaen" w:hAnsi="Sylfaen" w:cs="Times New Roman"/>
        </w:rPr>
        <w:t xml:space="preserve"> costs and benefits of different ways </w:t>
      </w:r>
      <w:r w:rsidR="00B7667B" w:rsidRPr="00034A4A">
        <w:rPr>
          <w:rFonts w:ascii="Sylfaen" w:hAnsi="Sylfaen" w:cs="Times New Roman"/>
        </w:rPr>
        <w:t xml:space="preserve">of undertaking </w:t>
      </w:r>
      <w:r w:rsidR="00EE7A10" w:rsidRPr="00034A4A">
        <w:rPr>
          <w:rFonts w:ascii="Sylfaen" w:hAnsi="Sylfaen" w:cs="Times New Roman"/>
        </w:rPr>
        <w:t xml:space="preserve">construction the social externalities that arise where it creates </w:t>
      </w:r>
      <w:r w:rsidR="008F6763" w:rsidRPr="00034A4A">
        <w:rPr>
          <w:rFonts w:ascii="Sylfaen" w:hAnsi="Sylfaen" w:cs="Times New Roman"/>
        </w:rPr>
        <w:t>local jobs and foster local business. Thus, t</w:t>
      </w:r>
      <w:r w:rsidRPr="00034A4A">
        <w:rPr>
          <w:rFonts w:ascii="Sylfaen" w:hAnsi="Sylfaen" w:cs="Times New Roman"/>
        </w:rPr>
        <w:t xml:space="preserve">he </w:t>
      </w:r>
      <w:r w:rsidRPr="00034A4A">
        <w:rPr>
          <w:rFonts w:ascii="Sylfaen" w:hAnsi="Sylfaen" w:cs="Times New Roman"/>
          <w:i/>
        </w:rPr>
        <w:t>Vision</w:t>
      </w:r>
      <w:r w:rsidR="00766F2F">
        <w:rPr>
          <w:rFonts w:ascii="Sylfaen" w:hAnsi="Sylfaen" w:cs="Times New Roman"/>
          <w:i/>
        </w:rPr>
        <w:t xml:space="preserve"> 2030</w:t>
      </w:r>
      <w:r w:rsidRPr="00034A4A">
        <w:rPr>
          <w:rFonts w:ascii="Sylfaen" w:hAnsi="Sylfaen" w:cs="Times New Roman"/>
          <w:i/>
        </w:rPr>
        <w:t xml:space="preserve"> </w:t>
      </w:r>
      <w:r w:rsidR="00766F2F">
        <w:rPr>
          <w:rFonts w:ascii="Sylfaen" w:hAnsi="Sylfaen" w:cs="Times New Roman"/>
        </w:rPr>
        <w:t>I</w:t>
      </w:r>
      <w:r w:rsidRPr="00034A4A">
        <w:rPr>
          <w:rFonts w:ascii="Sylfaen" w:hAnsi="Sylfaen" w:cs="Times New Roman"/>
        </w:rPr>
        <w:t xml:space="preserve">nfrastructure </w:t>
      </w:r>
      <w:r w:rsidR="00766F2F">
        <w:rPr>
          <w:rFonts w:ascii="Sylfaen" w:hAnsi="Sylfaen" w:cs="Times New Roman"/>
        </w:rPr>
        <w:t>N</w:t>
      </w:r>
      <w:r w:rsidRPr="00034A4A">
        <w:rPr>
          <w:rFonts w:ascii="Sylfaen" w:hAnsi="Sylfaen" w:cs="Times New Roman"/>
        </w:rPr>
        <w:t xml:space="preserve">ote recommends embracing pragmatic, best-fit options to address immediate challenges related with infrastructure and related </w:t>
      </w:r>
      <w:r w:rsidRPr="00034A4A">
        <w:rPr>
          <w:rFonts w:ascii="Sylfaen" w:hAnsi="Sylfaen" w:cs="Times New Roman"/>
          <w:color w:val="0D0D0D" w:themeColor="text1" w:themeTint="F2"/>
        </w:rPr>
        <w:t>services restoration.</w:t>
      </w:r>
    </w:p>
    <w:p w14:paraId="5BC5A67A" w14:textId="130D4336" w:rsidR="00296E26" w:rsidRPr="00034A4A" w:rsidRDefault="00DD45CF" w:rsidP="008769F4">
      <w:pPr>
        <w:spacing w:after="120"/>
        <w:jc w:val="both"/>
        <w:rPr>
          <w:rFonts w:ascii="Sylfaen" w:hAnsi="Sylfaen"/>
        </w:rPr>
      </w:pPr>
      <w:r w:rsidRPr="00011269">
        <w:rPr>
          <w:rFonts w:ascii="Sylfaen" w:hAnsi="Sylfaen" w:cs="Times New Roman"/>
          <w:b/>
        </w:rPr>
        <w:t xml:space="preserve">Reconstruction </w:t>
      </w:r>
      <w:r w:rsidR="00296E26" w:rsidRPr="00011269">
        <w:rPr>
          <w:rFonts w:ascii="Sylfaen" w:hAnsi="Sylfaen" w:cs="Times New Roman"/>
          <w:b/>
        </w:rPr>
        <w:t xml:space="preserve">policy </w:t>
      </w:r>
      <w:r w:rsidR="00B7667B" w:rsidRPr="00011269">
        <w:rPr>
          <w:rFonts w:ascii="Sylfaen" w:hAnsi="Sylfaen" w:cs="Times New Roman"/>
          <w:b/>
        </w:rPr>
        <w:t xml:space="preserve">– </w:t>
      </w:r>
      <w:r w:rsidR="00EA4B0C" w:rsidRPr="00011269">
        <w:rPr>
          <w:rFonts w:ascii="Sylfaen" w:hAnsi="Sylfaen" w:cs="Times New Roman"/>
          <w:b/>
        </w:rPr>
        <w:t xml:space="preserve">and changes in the way Iraq undertakes maintenance </w:t>
      </w:r>
      <w:r w:rsidR="00B7667B" w:rsidRPr="00011269">
        <w:rPr>
          <w:rFonts w:ascii="Sylfaen" w:hAnsi="Sylfaen" w:cs="Times New Roman"/>
          <w:b/>
        </w:rPr>
        <w:t xml:space="preserve">– </w:t>
      </w:r>
      <w:r w:rsidR="00296E26" w:rsidRPr="00011269">
        <w:rPr>
          <w:rFonts w:ascii="Sylfaen" w:hAnsi="Sylfaen" w:cs="Times New Roman"/>
          <w:b/>
        </w:rPr>
        <w:t xml:space="preserve">can support job creation without downsizing in </w:t>
      </w:r>
      <w:r w:rsidR="002864C7" w:rsidRPr="00011269">
        <w:rPr>
          <w:rFonts w:ascii="Sylfaen" w:hAnsi="Sylfaen" w:cs="Times New Roman"/>
          <w:b/>
        </w:rPr>
        <w:t>SOEs</w:t>
      </w:r>
      <w:r w:rsidR="00296E26" w:rsidRPr="00011269">
        <w:rPr>
          <w:rFonts w:ascii="Sylfaen" w:hAnsi="Sylfaen" w:cs="Times New Roman"/>
          <w:b/>
        </w:rPr>
        <w:t>.</w:t>
      </w:r>
      <w:r w:rsidR="00296E26" w:rsidRPr="00011269">
        <w:rPr>
          <w:rFonts w:ascii="Sylfaen" w:hAnsi="Sylfaen" w:cs="Times New Roman"/>
        </w:rPr>
        <w:t xml:space="preserve"> </w:t>
      </w:r>
      <w:r w:rsidR="009E72FE" w:rsidRPr="00011269">
        <w:rPr>
          <w:rFonts w:ascii="Sylfaen" w:hAnsi="Sylfaen" w:cs="Times New Roman"/>
        </w:rPr>
        <w:t>Much like business climate reform at large, c</w:t>
      </w:r>
      <w:r w:rsidR="00296E26" w:rsidRPr="00011269">
        <w:rPr>
          <w:rFonts w:ascii="Sylfaen" w:hAnsi="Sylfaen" w:cs="Times New Roman"/>
        </w:rPr>
        <w:t xml:space="preserve">onstruction SOEs </w:t>
      </w:r>
      <w:r w:rsidR="009E72FE" w:rsidRPr="00011269">
        <w:rPr>
          <w:rFonts w:ascii="Sylfaen" w:hAnsi="Sylfaen" w:cs="Times New Roman"/>
        </w:rPr>
        <w:t xml:space="preserve">are unlikely to </w:t>
      </w:r>
      <w:r w:rsidR="00296E26" w:rsidRPr="00011269">
        <w:rPr>
          <w:rFonts w:ascii="Sylfaen" w:hAnsi="Sylfaen" w:cs="Times New Roman"/>
        </w:rPr>
        <w:t xml:space="preserve">reform rapidly. However, the process needs to begin – </w:t>
      </w:r>
      <w:r w:rsidR="007D4313" w:rsidRPr="00011269">
        <w:rPr>
          <w:rFonts w:ascii="Sylfaen" w:hAnsi="Sylfaen" w:cs="Times New Roman"/>
        </w:rPr>
        <w:t>by deepening steps toward greater transparency</w:t>
      </w:r>
      <w:r w:rsidR="00DF280A">
        <w:rPr>
          <w:rFonts w:ascii="Sylfaen" w:hAnsi="Sylfaen" w:cs="Times New Roman"/>
        </w:rPr>
        <w:t>, integrity, and accountability</w:t>
      </w:r>
      <w:r w:rsidR="007D4313" w:rsidRPr="00011269">
        <w:rPr>
          <w:rFonts w:ascii="Sylfaen" w:hAnsi="Sylfaen" w:cs="Times New Roman"/>
        </w:rPr>
        <w:t xml:space="preserve"> in </w:t>
      </w:r>
      <w:r w:rsidR="005647EA" w:rsidRPr="00011269">
        <w:rPr>
          <w:rFonts w:ascii="Sylfaen" w:hAnsi="Sylfaen" w:cs="Times New Roman"/>
        </w:rPr>
        <w:t xml:space="preserve">public </w:t>
      </w:r>
      <w:r w:rsidR="007D4313" w:rsidRPr="00011269">
        <w:rPr>
          <w:rFonts w:ascii="Sylfaen" w:hAnsi="Sylfaen" w:cs="Times New Roman"/>
        </w:rPr>
        <w:t xml:space="preserve">procurement, </w:t>
      </w:r>
      <w:r w:rsidR="00766F2F">
        <w:rPr>
          <w:rFonts w:ascii="Sylfaen" w:hAnsi="Sylfaen" w:cs="Times New Roman"/>
        </w:rPr>
        <w:t xml:space="preserve">and by adopting a vision of SOEs behaving as </w:t>
      </w:r>
      <w:r w:rsidR="00296E26" w:rsidRPr="00011269">
        <w:rPr>
          <w:rFonts w:ascii="Sylfaen" w:hAnsi="Sylfaen" w:cs="Times New Roman"/>
        </w:rPr>
        <w:t xml:space="preserve">more like </w:t>
      </w:r>
      <w:r w:rsidR="00766F2F">
        <w:rPr>
          <w:rFonts w:ascii="Sylfaen" w:hAnsi="Sylfaen" w:cs="Times New Roman"/>
        </w:rPr>
        <w:t xml:space="preserve">that of </w:t>
      </w:r>
      <w:r w:rsidR="00296E26" w:rsidRPr="00011269">
        <w:rPr>
          <w:rFonts w:ascii="Sylfaen" w:hAnsi="Sylfaen" w:cs="Times New Roman"/>
        </w:rPr>
        <w:t>private businesses, and being governed by less politically dependent boards. In addition, local hiring requirements make sense for SOEs bidding for government contracts.</w:t>
      </w:r>
      <w:r w:rsidR="00F85E3A" w:rsidRPr="00011269">
        <w:rPr>
          <w:rFonts w:ascii="Sylfaen" w:hAnsi="Sylfaen" w:cs="Times New Roman"/>
        </w:rPr>
        <w:t xml:space="preserve"> </w:t>
      </w:r>
      <w:r w:rsidR="00296E26" w:rsidRPr="00011269">
        <w:rPr>
          <w:rFonts w:ascii="Sylfaen" w:hAnsi="Sylfaen" w:cs="Times New Roman"/>
        </w:rPr>
        <w:t xml:space="preserve">Private construction companies are active, but hampered by poor access to credit, government arrears, </w:t>
      </w:r>
      <w:r w:rsidR="005A78A5">
        <w:rPr>
          <w:rFonts w:ascii="Sylfaen" w:hAnsi="Sylfaen" w:cs="Times New Roman"/>
        </w:rPr>
        <w:t xml:space="preserve">outdated procurement and contract management, rules on registration and classification that have the effect of restricting competition, </w:t>
      </w:r>
      <w:r w:rsidR="00296E26" w:rsidRPr="00011269">
        <w:rPr>
          <w:rFonts w:ascii="Sylfaen" w:hAnsi="Sylfaen" w:cs="Times New Roman"/>
        </w:rPr>
        <w:t xml:space="preserve">and the political clout of SOEs in bidding processes. </w:t>
      </w:r>
      <w:r w:rsidR="0022676B" w:rsidRPr="00011269">
        <w:rPr>
          <w:rFonts w:ascii="Sylfaen" w:hAnsi="Sylfaen" w:cs="Times New Roman"/>
        </w:rPr>
        <w:t xml:space="preserve">Yet, the GOI </w:t>
      </w:r>
      <w:r w:rsidR="005A6494">
        <w:rPr>
          <w:rFonts w:ascii="Sylfaen" w:hAnsi="Sylfaen" w:cs="Times New Roman"/>
        </w:rPr>
        <w:t xml:space="preserve">has </w:t>
      </w:r>
      <w:r w:rsidR="0022676B" w:rsidRPr="00011269">
        <w:rPr>
          <w:rFonts w:ascii="Sylfaen" w:hAnsi="Sylfaen" w:cs="Times New Roman"/>
        </w:rPr>
        <w:t xml:space="preserve">a range of attractive </w:t>
      </w:r>
      <w:r w:rsidR="005A6494">
        <w:rPr>
          <w:rFonts w:ascii="Sylfaen" w:hAnsi="Sylfaen" w:cs="Times New Roman"/>
        </w:rPr>
        <w:t xml:space="preserve">opportunities </w:t>
      </w:r>
      <w:r w:rsidR="0022676B" w:rsidRPr="00011269">
        <w:rPr>
          <w:rFonts w:ascii="Sylfaen" w:hAnsi="Sylfaen" w:cs="Times New Roman"/>
        </w:rPr>
        <w:t>to directly support SMEs</w:t>
      </w:r>
      <w:r w:rsidR="00E93A69" w:rsidRPr="00011269">
        <w:rPr>
          <w:rFonts w:ascii="Sylfaen" w:hAnsi="Sylfaen" w:cs="Times New Roman"/>
        </w:rPr>
        <w:t xml:space="preserve"> </w:t>
      </w:r>
      <w:r w:rsidR="005A6494">
        <w:rPr>
          <w:rFonts w:ascii="Sylfaen" w:hAnsi="Sylfaen" w:cs="Times New Roman"/>
        </w:rPr>
        <w:t xml:space="preserve">through changes in its procurement process </w:t>
      </w:r>
      <w:r w:rsidR="00E93A69" w:rsidRPr="00011269">
        <w:rPr>
          <w:rFonts w:ascii="Sylfaen" w:hAnsi="Sylfaen" w:cs="Times New Roman"/>
        </w:rPr>
        <w:t>– some of which have been successfully developed at the sub-national level in the Kurdistan region</w:t>
      </w:r>
      <w:r w:rsidR="0022676B" w:rsidRPr="00011269">
        <w:rPr>
          <w:rFonts w:ascii="Sylfaen" w:hAnsi="Sylfaen" w:cs="Times New Roman"/>
        </w:rPr>
        <w:t>.</w:t>
      </w:r>
      <w:r w:rsidR="00E93A69" w:rsidRPr="00011269">
        <w:rPr>
          <w:rFonts w:ascii="Sylfaen" w:hAnsi="Sylfaen" w:cs="Times New Roman"/>
        </w:rPr>
        <w:t xml:space="preserve"> </w:t>
      </w:r>
      <w:r w:rsidR="0022676B" w:rsidRPr="00011269">
        <w:rPr>
          <w:rFonts w:ascii="Sylfaen" w:hAnsi="Sylfaen" w:cs="Times New Roman"/>
        </w:rPr>
        <w:t>Thus, t</w:t>
      </w:r>
      <w:r w:rsidR="002864C7" w:rsidRPr="00011269">
        <w:rPr>
          <w:rFonts w:ascii="Sylfaen" w:hAnsi="Sylfaen" w:cs="Times New Roman"/>
        </w:rPr>
        <w:t>o enable greater private-sector participation, t</w:t>
      </w:r>
      <w:r w:rsidR="00296E26" w:rsidRPr="00011269">
        <w:rPr>
          <w:rFonts w:ascii="Sylfaen" w:hAnsi="Sylfaen" w:cs="Times New Roman"/>
        </w:rPr>
        <w:t>he GOI should consider giving priority to local private enterprises in bid</w:t>
      </w:r>
      <w:r w:rsidR="00C47673" w:rsidRPr="00011269">
        <w:rPr>
          <w:rFonts w:ascii="Sylfaen" w:hAnsi="Sylfaen" w:cs="Times New Roman"/>
        </w:rPr>
        <w:t>s</w:t>
      </w:r>
      <w:r w:rsidR="0022676B" w:rsidRPr="00011269">
        <w:rPr>
          <w:rFonts w:ascii="Sylfaen" w:hAnsi="Sylfaen" w:cs="Times New Roman"/>
        </w:rPr>
        <w:t>, in recognition of the social and economic value of carrying out projects through SMEs</w:t>
      </w:r>
      <w:r w:rsidR="00296E26" w:rsidRPr="00011269">
        <w:rPr>
          <w:rFonts w:ascii="Sylfaen" w:hAnsi="Sylfaen" w:cs="Times New Roman"/>
        </w:rPr>
        <w:t xml:space="preserve"> (at least for a certain share of projects bid out).</w:t>
      </w:r>
      <w:r w:rsidR="003218BC" w:rsidRPr="00011269">
        <w:rPr>
          <w:rFonts w:ascii="Sylfaen" w:hAnsi="Sylfaen" w:cs="Times New Roman"/>
        </w:rPr>
        <w:t xml:space="preserve"> </w:t>
      </w:r>
      <w:r w:rsidR="00150199" w:rsidRPr="00011269">
        <w:rPr>
          <w:rFonts w:ascii="Sylfaen" w:hAnsi="Sylfaen" w:cs="Times New Roman"/>
        </w:rPr>
        <w:t>To create opportunities for the large majority of small businesses that are informal, the G</w:t>
      </w:r>
      <w:r w:rsidR="00B7667B" w:rsidRPr="00011269">
        <w:rPr>
          <w:rFonts w:ascii="Sylfaen" w:hAnsi="Sylfaen" w:cs="Times New Roman"/>
        </w:rPr>
        <w:t>O</w:t>
      </w:r>
      <w:r w:rsidR="00150199" w:rsidRPr="00011269">
        <w:rPr>
          <w:rFonts w:ascii="Sylfaen" w:hAnsi="Sylfaen" w:cs="Times New Roman"/>
        </w:rPr>
        <w:t xml:space="preserve">I could </w:t>
      </w:r>
      <w:r w:rsidR="0004712A" w:rsidRPr="00011269">
        <w:rPr>
          <w:rFonts w:ascii="Sylfaen" w:hAnsi="Sylfaen" w:cs="Times New Roman"/>
        </w:rPr>
        <w:t>weigh</w:t>
      </w:r>
      <w:r w:rsidR="00150199" w:rsidRPr="00011269">
        <w:rPr>
          <w:rFonts w:ascii="Sylfaen" w:hAnsi="Sylfaen" w:cs="Times New Roman"/>
        </w:rPr>
        <w:t xml:space="preserve"> </w:t>
      </w:r>
      <w:r w:rsidR="00E1650E" w:rsidRPr="00011269">
        <w:rPr>
          <w:rFonts w:ascii="Sylfaen" w:hAnsi="Sylfaen" w:cs="Times New Roman"/>
        </w:rPr>
        <w:t xml:space="preserve">simplifying </w:t>
      </w:r>
      <w:r w:rsidR="005A78A5">
        <w:rPr>
          <w:rFonts w:ascii="Sylfaen" w:hAnsi="Sylfaen" w:cs="Times New Roman"/>
        </w:rPr>
        <w:t xml:space="preserve">or </w:t>
      </w:r>
      <w:r w:rsidR="005A78A5" w:rsidRPr="00011269">
        <w:rPr>
          <w:rFonts w:ascii="Sylfaen" w:hAnsi="Sylfaen" w:cs="Times New Roman"/>
        </w:rPr>
        <w:t xml:space="preserve">temporarily waiving </w:t>
      </w:r>
      <w:r w:rsidR="00942E67" w:rsidRPr="00011269">
        <w:rPr>
          <w:rFonts w:ascii="Sylfaen" w:hAnsi="Sylfaen" w:cs="Times New Roman"/>
        </w:rPr>
        <w:t xml:space="preserve">some </w:t>
      </w:r>
      <w:r w:rsidR="00E1650E" w:rsidRPr="00011269">
        <w:rPr>
          <w:rFonts w:ascii="Sylfaen" w:hAnsi="Sylfaen" w:cs="Times New Roman"/>
        </w:rPr>
        <w:t xml:space="preserve">registration </w:t>
      </w:r>
      <w:r w:rsidR="005A78A5">
        <w:rPr>
          <w:rFonts w:ascii="Sylfaen" w:hAnsi="Sylfaen" w:cs="Times New Roman"/>
        </w:rPr>
        <w:t xml:space="preserve">and classification </w:t>
      </w:r>
      <w:r w:rsidR="00150199" w:rsidRPr="00011269">
        <w:rPr>
          <w:rFonts w:ascii="Sylfaen" w:hAnsi="Sylfaen" w:cs="Times New Roman"/>
        </w:rPr>
        <w:t xml:space="preserve">requirements for the smallest </w:t>
      </w:r>
      <w:r w:rsidR="001B7EB6" w:rsidRPr="00011269">
        <w:rPr>
          <w:rFonts w:ascii="Sylfaen" w:hAnsi="Sylfaen" w:cs="Times New Roman"/>
        </w:rPr>
        <w:t>contracts likely to be within reach of small firms</w:t>
      </w:r>
      <w:r w:rsidR="003218BC" w:rsidRPr="00011269">
        <w:rPr>
          <w:rFonts w:ascii="Sylfaen" w:hAnsi="Sylfaen" w:cs="Times New Roman"/>
        </w:rPr>
        <w:t>.</w:t>
      </w:r>
      <w:r w:rsidR="00296E26" w:rsidRPr="00011269">
        <w:rPr>
          <w:rFonts w:ascii="Sylfaen" w:hAnsi="Sylfaen" w:cs="Times New Roman"/>
        </w:rPr>
        <w:t xml:space="preserve"> </w:t>
      </w:r>
      <w:r w:rsidR="00E93A69" w:rsidRPr="00011269">
        <w:rPr>
          <w:rFonts w:ascii="Sylfaen" w:hAnsi="Sylfaen" w:cs="Times New Roman"/>
        </w:rPr>
        <w:t>In addition, the GOI c</w:t>
      </w:r>
      <w:r w:rsidR="00766F2F">
        <w:rPr>
          <w:rFonts w:ascii="Sylfaen" w:hAnsi="Sylfaen" w:cs="Times New Roman"/>
        </w:rPr>
        <w:t>ould</w:t>
      </w:r>
      <w:r w:rsidR="00E93A69" w:rsidRPr="00011269">
        <w:rPr>
          <w:rFonts w:ascii="Sylfaen" w:hAnsi="Sylfaen" w:cs="Times New Roman"/>
        </w:rPr>
        <w:t xml:space="preserve"> make bidding more financially viable for small firms by ensuring rapid payment of contracts, </w:t>
      </w:r>
      <w:r w:rsidR="005A6494">
        <w:rPr>
          <w:rFonts w:ascii="Sylfaen" w:hAnsi="Sylfaen" w:cs="Times New Roman"/>
        </w:rPr>
        <w:t xml:space="preserve">introducing SME preference programs and policies, </w:t>
      </w:r>
      <w:r w:rsidR="00E93A69" w:rsidRPr="00011269">
        <w:rPr>
          <w:rFonts w:ascii="Sylfaen" w:hAnsi="Sylfaen" w:cs="Times New Roman"/>
        </w:rPr>
        <w:t xml:space="preserve">and easing the requirements for small bidders to provide securities. </w:t>
      </w:r>
      <w:r w:rsidR="00296E26" w:rsidRPr="00011269">
        <w:rPr>
          <w:rFonts w:ascii="Sylfaen" w:hAnsi="Sylfaen" w:cs="Times New Roman"/>
        </w:rPr>
        <w:t>Financial market interventions could target relief from government arrears, or revive Iraq’s housing loans scheme.</w:t>
      </w:r>
      <w:r w:rsidR="00F85E3A" w:rsidRPr="00011269">
        <w:rPr>
          <w:rFonts w:ascii="Sylfaen" w:hAnsi="Sylfaen" w:cs="Times New Roman"/>
        </w:rPr>
        <w:t xml:space="preserve"> </w:t>
      </w:r>
      <w:r w:rsidR="00C47673" w:rsidRPr="00011269">
        <w:rPr>
          <w:rFonts w:ascii="Sylfaen" w:hAnsi="Sylfaen" w:cs="Times New Roman"/>
        </w:rPr>
        <w:t>It is worth notin</w:t>
      </w:r>
      <w:r w:rsidR="00766F2F">
        <w:rPr>
          <w:rFonts w:ascii="Sylfaen" w:hAnsi="Sylfaen" w:cs="Times New Roman"/>
        </w:rPr>
        <w:t>g that the hurdles for SMEs to become</w:t>
      </w:r>
      <w:r w:rsidR="00C47673" w:rsidRPr="00011269">
        <w:rPr>
          <w:rFonts w:ascii="Sylfaen" w:hAnsi="Sylfaen" w:cs="Times New Roman"/>
        </w:rPr>
        <w:t xml:space="preserve"> engaged may be lowest in maintenance contracts (where there is, in addition, the prospect of durable business opportunities</w:t>
      </w:r>
      <w:r w:rsidR="006E0100" w:rsidRPr="00011269">
        <w:rPr>
          <w:rFonts w:ascii="Sylfaen" w:hAnsi="Sylfaen" w:cs="Times New Roman"/>
        </w:rPr>
        <w:t>)</w:t>
      </w:r>
      <w:r w:rsidR="00C47673" w:rsidRPr="00011269">
        <w:rPr>
          <w:rFonts w:ascii="Sylfaen" w:hAnsi="Sylfaen" w:cs="Times New Roman"/>
        </w:rPr>
        <w:t>.</w:t>
      </w:r>
      <w:r w:rsidR="007B6663" w:rsidRPr="00034A4A">
        <w:rPr>
          <w:rFonts w:ascii="Sylfaen" w:hAnsi="Sylfaen" w:cs="Times New Roman"/>
        </w:rPr>
        <w:t xml:space="preserve"> </w:t>
      </w:r>
      <w:r w:rsidR="007B6663" w:rsidRPr="00011269">
        <w:rPr>
          <w:rFonts w:ascii="Sylfaen" w:hAnsi="Sylfaen" w:cs="Times New Roman"/>
        </w:rPr>
        <w:t>In the somewhat longer term</w:t>
      </w:r>
      <w:r w:rsidR="007B6663" w:rsidRPr="00034A4A">
        <w:rPr>
          <w:rFonts w:ascii="Sylfaen" w:hAnsi="Sylfaen" w:cs="Times New Roman"/>
        </w:rPr>
        <w:t xml:space="preserve">, an effective </w:t>
      </w:r>
      <w:r w:rsidR="00766F2F">
        <w:rPr>
          <w:rFonts w:ascii="Sylfaen" w:hAnsi="Sylfaen" w:cs="Times New Roman"/>
        </w:rPr>
        <w:t xml:space="preserve">public-private partnership (PPP) </w:t>
      </w:r>
      <w:r w:rsidR="007B6663" w:rsidRPr="00034A4A">
        <w:rPr>
          <w:rFonts w:ascii="Sylfaen" w:hAnsi="Sylfaen" w:cs="Times New Roman"/>
        </w:rPr>
        <w:t>framework could provide business opportunities for private enterprises in operation and maintenance</w:t>
      </w:r>
      <w:r w:rsidR="007B6663" w:rsidRPr="00011269">
        <w:rPr>
          <w:rFonts w:ascii="Sylfaen" w:hAnsi="Sylfaen" w:cs="Times New Roman"/>
        </w:rPr>
        <w:t xml:space="preserve"> at larger scale</w:t>
      </w:r>
      <w:r w:rsidR="007B6663" w:rsidRPr="00034A4A">
        <w:rPr>
          <w:rFonts w:ascii="Sylfaen" w:hAnsi="Sylfaen" w:cs="Times New Roman"/>
        </w:rPr>
        <w:t>.</w:t>
      </w:r>
    </w:p>
    <w:p w14:paraId="4890904E" w14:textId="2DD3E2F5" w:rsidR="00296E26" w:rsidRPr="00034A4A" w:rsidRDefault="002864C7" w:rsidP="008769F4">
      <w:pPr>
        <w:spacing w:after="120"/>
        <w:jc w:val="both"/>
        <w:rPr>
          <w:rFonts w:ascii="Sylfaen" w:hAnsi="Sylfaen" w:cs="Times New Roman"/>
        </w:rPr>
      </w:pPr>
      <w:r w:rsidRPr="00034A4A">
        <w:rPr>
          <w:rFonts w:ascii="Sylfaen" w:hAnsi="Sylfaen" w:cs="Times New Roman"/>
          <w:b/>
          <w:color w:val="0D0D0D" w:themeColor="text1" w:themeTint="F2"/>
        </w:rPr>
        <w:t xml:space="preserve">Past experience suggests that simple construction projects in Iraq can create one </w:t>
      </w:r>
      <w:r w:rsidR="00DD45CF" w:rsidRPr="00034A4A">
        <w:rPr>
          <w:rFonts w:ascii="Sylfaen" w:hAnsi="Sylfaen" w:cs="Times New Roman"/>
          <w:b/>
          <w:color w:val="0D0D0D" w:themeColor="text1" w:themeTint="F2"/>
        </w:rPr>
        <w:t xml:space="preserve">new additional </w:t>
      </w:r>
      <w:r w:rsidRPr="00034A4A">
        <w:rPr>
          <w:rFonts w:ascii="Sylfaen" w:hAnsi="Sylfaen" w:cs="Times New Roman"/>
          <w:b/>
          <w:color w:val="0D0D0D" w:themeColor="text1" w:themeTint="F2"/>
        </w:rPr>
        <w:t>job for every $5,000 invested</w:t>
      </w:r>
      <w:r w:rsidR="00E51AB5" w:rsidRPr="00034A4A">
        <w:rPr>
          <w:rFonts w:ascii="Sylfaen" w:hAnsi="Sylfaen" w:cs="Times New Roman"/>
          <w:b/>
          <w:color w:val="0D0D0D" w:themeColor="text1" w:themeTint="F2"/>
        </w:rPr>
        <w:t xml:space="preserve"> in simple projects, and $25,000 in more complex ones</w:t>
      </w:r>
      <w:r w:rsidRPr="00034A4A">
        <w:rPr>
          <w:rFonts w:ascii="Sylfaen" w:hAnsi="Sylfaen" w:cs="Times New Roman"/>
          <w:b/>
          <w:color w:val="0D0D0D" w:themeColor="text1" w:themeTint="F2"/>
        </w:rPr>
        <w:t>.</w:t>
      </w:r>
      <w:r w:rsidRPr="00034A4A">
        <w:rPr>
          <w:rFonts w:ascii="Sylfaen" w:hAnsi="Sylfaen" w:cs="Times New Roman"/>
          <w:color w:val="0D0D0D" w:themeColor="text1" w:themeTint="F2"/>
        </w:rPr>
        <w:t xml:space="preserve"> </w:t>
      </w:r>
      <w:r w:rsidR="00296E26" w:rsidRPr="00034A4A">
        <w:rPr>
          <w:rFonts w:ascii="Sylfaen" w:hAnsi="Sylfaen" w:cs="Times New Roman"/>
          <w:color w:val="0D0D0D" w:themeColor="text1" w:themeTint="F2"/>
        </w:rPr>
        <w:t xml:space="preserve">While any estimate of cost per direct (indirect) short-term job created from construction investment in Iraq is necessarily very uncertain, information provided in Estache et al. </w:t>
      </w:r>
      <w:r w:rsidR="00DD45CF" w:rsidRPr="00034A4A">
        <w:rPr>
          <w:rFonts w:ascii="Sylfaen" w:hAnsi="Sylfaen" w:cs="Times New Roman"/>
          <w:color w:val="0D0D0D" w:themeColor="text1" w:themeTint="F2"/>
        </w:rPr>
        <w:t>(</w:t>
      </w:r>
      <w:r w:rsidR="00296E26" w:rsidRPr="00034A4A">
        <w:rPr>
          <w:rFonts w:ascii="Sylfaen" w:hAnsi="Sylfaen" w:cs="Times New Roman"/>
          <w:color w:val="0D0D0D" w:themeColor="text1" w:themeTint="F2"/>
        </w:rPr>
        <w:t>2013</w:t>
      </w:r>
      <w:r w:rsidR="00DD45CF" w:rsidRPr="00034A4A">
        <w:rPr>
          <w:rFonts w:ascii="Sylfaen" w:hAnsi="Sylfaen" w:cs="Times New Roman"/>
          <w:color w:val="0D0D0D" w:themeColor="text1" w:themeTint="F2"/>
        </w:rPr>
        <w:t>)</w:t>
      </w:r>
      <w:r w:rsidR="00296E26" w:rsidRPr="00034A4A">
        <w:rPr>
          <w:rFonts w:ascii="Sylfaen" w:hAnsi="Sylfaen" w:cs="Times New Roman"/>
          <w:color w:val="0D0D0D" w:themeColor="text1" w:themeTint="F2"/>
        </w:rPr>
        <w:t xml:space="preserve"> suggests that one could reasonably expect </w:t>
      </w:r>
      <w:r w:rsidR="00E51AB5" w:rsidRPr="00034A4A">
        <w:rPr>
          <w:rFonts w:ascii="Sylfaen" w:hAnsi="Sylfaen" w:cs="Times New Roman"/>
          <w:color w:val="0D0D0D" w:themeColor="text1" w:themeTint="F2"/>
        </w:rPr>
        <w:t xml:space="preserve">the construction of </w:t>
      </w:r>
      <w:r w:rsidR="00296E26" w:rsidRPr="00034A4A">
        <w:rPr>
          <w:rFonts w:ascii="Sylfaen" w:hAnsi="Sylfaen" w:cs="Times New Roman"/>
          <w:color w:val="0D0D0D" w:themeColor="text1" w:themeTint="F2"/>
        </w:rPr>
        <w:t>building</w:t>
      </w:r>
      <w:r w:rsidR="00E51AB5" w:rsidRPr="00034A4A">
        <w:rPr>
          <w:rFonts w:ascii="Sylfaen" w:hAnsi="Sylfaen" w:cs="Times New Roman"/>
          <w:color w:val="0D0D0D" w:themeColor="text1" w:themeTint="F2"/>
        </w:rPr>
        <w:t>s</w:t>
      </w:r>
      <w:r w:rsidR="00296E26" w:rsidRPr="00034A4A">
        <w:rPr>
          <w:rFonts w:ascii="Sylfaen" w:hAnsi="Sylfaen" w:cs="Times New Roman"/>
          <w:color w:val="0D0D0D" w:themeColor="text1" w:themeTint="F2"/>
        </w:rPr>
        <w:t xml:space="preserve"> to create one job for roughly every $25,000 invested, and road and other simple construction activities to create one job for about every $5,000 invested</w:t>
      </w:r>
      <w:r w:rsidR="00B7667B" w:rsidRPr="00034A4A">
        <w:rPr>
          <w:rFonts w:ascii="Sylfaen" w:hAnsi="Sylfaen" w:cs="Times New Roman"/>
          <w:color w:val="0D0D0D" w:themeColor="text1" w:themeTint="F2"/>
        </w:rPr>
        <w:t>.</w:t>
      </w:r>
      <w:r w:rsidR="00296E26" w:rsidRPr="00034A4A">
        <w:rPr>
          <w:rStyle w:val="FootnoteReference"/>
          <w:rFonts w:ascii="Sylfaen" w:hAnsi="Sylfaen" w:cs="Times New Roman"/>
          <w:color w:val="0D0D0D" w:themeColor="text1" w:themeTint="F2"/>
        </w:rPr>
        <w:footnoteReference w:id="12"/>
      </w:r>
      <w:r w:rsidR="00296E26" w:rsidRPr="00034A4A">
        <w:rPr>
          <w:rFonts w:ascii="Sylfaen" w:hAnsi="Sylfaen" w:cs="Times New Roman"/>
          <w:color w:val="0D0D0D" w:themeColor="text1" w:themeTint="F2"/>
        </w:rPr>
        <w:t xml:space="preserve"> Each $100m invested in roads and simple infrastructure would therefore be expected to be associated with about </w:t>
      </w:r>
      <w:r w:rsidR="00B0217B" w:rsidRPr="00034A4A">
        <w:rPr>
          <w:rFonts w:ascii="Sylfaen" w:hAnsi="Sylfaen" w:cs="Times New Roman"/>
          <w:color w:val="0D0D0D" w:themeColor="text1" w:themeTint="F2"/>
        </w:rPr>
        <w:t>20</w:t>
      </w:r>
      <w:r w:rsidR="00296E26" w:rsidRPr="00034A4A">
        <w:rPr>
          <w:rFonts w:ascii="Sylfaen" w:hAnsi="Sylfaen" w:cs="Times New Roman"/>
          <w:color w:val="0D0D0D" w:themeColor="text1" w:themeTint="F2"/>
        </w:rPr>
        <w:t xml:space="preserve">,000 short-term jobs, and $100m invested in building construction and more complex infrastructure, </w:t>
      </w:r>
      <w:r w:rsidR="00B0217B" w:rsidRPr="00034A4A">
        <w:rPr>
          <w:rFonts w:ascii="Sylfaen" w:hAnsi="Sylfaen" w:cs="Times New Roman"/>
          <w:color w:val="0D0D0D" w:themeColor="text1" w:themeTint="F2"/>
        </w:rPr>
        <w:t>4</w:t>
      </w:r>
      <w:r w:rsidR="00296E26" w:rsidRPr="00034A4A">
        <w:rPr>
          <w:rFonts w:ascii="Sylfaen" w:hAnsi="Sylfaen" w:cs="Times New Roman"/>
          <w:color w:val="0D0D0D" w:themeColor="text1" w:themeTint="F2"/>
        </w:rPr>
        <w:t>,000 jobs.</w:t>
      </w:r>
      <w:r w:rsidR="00F85E3A" w:rsidRPr="00034A4A">
        <w:rPr>
          <w:rFonts w:ascii="Sylfaen" w:hAnsi="Sylfaen" w:cs="Times New Roman"/>
          <w:color w:val="0D0D0D" w:themeColor="text1" w:themeTint="F2"/>
        </w:rPr>
        <w:t xml:space="preserve"> Assuming equal amounts invested in simple and more complex infrastructure, a reconstruction inve</w:t>
      </w:r>
      <w:r w:rsidR="00657337">
        <w:rPr>
          <w:rFonts w:ascii="Sylfaen" w:hAnsi="Sylfaen" w:cs="Times New Roman"/>
          <w:color w:val="0D0D0D" w:themeColor="text1" w:themeTint="F2"/>
        </w:rPr>
        <w:t>stment of $7.5bn could provide</w:t>
      </w:r>
      <w:r w:rsidR="00F85E3A" w:rsidRPr="00034A4A">
        <w:rPr>
          <w:rFonts w:ascii="Sylfaen" w:hAnsi="Sylfaen" w:cs="Times New Roman"/>
          <w:color w:val="0D0D0D" w:themeColor="text1" w:themeTint="F2"/>
        </w:rPr>
        <w:t xml:space="preserve"> jobs for one in five Iraqis currently unemployed.</w:t>
      </w:r>
    </w:p>
    <w:p w14:paraId="51506A17" w14:textId="77777777" w:rsidR="00D9316B" w:rsidRPr="00034A4A" w:rsidRDefault="00D9316B" w:rsidP="008769F4">
      <w:pPr>
        <w:spacing w:after="120"/>
        <w:jc w:val="both"/>
        <w:rPr>
          <w:rFonts w:ascii="Sylfaen" w:hAnsi="Sylfaen"/>
        </w:rPr>
      </w:pPr>
    </w:p>
    <w:p w14:paraId="7618B27D" w14:textId="7B1AF40C" w:rsidR="00296E26" w:rsidRPr="00034A4A" w:rsidRDefault="00296E26" w:rsidP="008769F4">
      <w:pPr>
        <w:spacing w:after="120"/>
        <w:jc w:val="both"/>
        <w:rPr>
          <w:rFonts w:ascii="Sylfaen" w:hAnsi="Sylfaen"/>
          <w:b/>
          <w:color w:val="0070C0"/>
          <w:sz w:val="24"/>
        </w:rPr>
      </w:pPr>
      <w:r w:rsidRPr="00034A4A">
        <w:rPr>
          <w:rFonts w:ascii="Sylfaen" w:hAnsi="Sylfaen"/>
          <w:b/>
          <w:color w:val="0070C0"/>
          <w:sz w:val="24"/>
        </w:rPr>
        <w:t xml:space="preserve">2. Agriculture and agribusiness </w:t>
      </w:r>
    </w:p>
    <w:p w14:paraId="62B63DB1" w14:textId="77777777" w:rsidR="003D630B" w:rsidRPr="00034A4A" w:rsidRDefault="003D630B" w:rsidP="008769F4">
      <w:pPr>
        <w:spacing w:after="120"/>
        <w:jc w:val="both"/>
        <w:rPr>
          <w:rFonts w:ascii="Sylfaen" w:hAnsi="Sylfaen" w:cs="Times New Roman"/>
          <w:color w:val="0070C0"/>
        </w:rPr>
      </w:pPr>
      <w:r w:rsidRPr="00034A4A">
        <w:rPr>
          <w:rFonts w:ascii="Sylfaen" w:hAnsi="Sylfaen" w:cs="Times New Roman"/>
          <w:color w:val="0070C0"/>
        </w:rPr>
        <w:t>Why agriculture and agribusiness?</w:t>
      </w:r>
    </w:p>
    <w:p w14:paraId="04699BE0" w14:textId="26939168" w:rsidR="003D630B" w:rsidRPr="00034A4A" w:rsidRDefault="00EE0238" w:rsidP="008769F4">
      <w:pPr>
        <w:spacing w:after="120"/>
        <w:jc w:val="both"/>
        <w:rPr>
          <w:rFonts w:ascii="Sylfaen" w:hAnsi="Sylfaen" w:cs="Times New Roman"/>
          <w:color w:val="0D0D0D" w:themeColor="text1" w:themeTint="F2"/>
        </w:rPr>
      </w:pPr>
      <w:r w:rsidRPr="00034A4A">
        <w:rPr>
          <w:rFonts w:ascii="Sylfaen" w:hAnsi="Sylfaen" w:cs="Times New Roman"/>
          <w:b/>
        </w:rPr>
        <w:t xml:space="preserve">Agriculture offers the potential </w:t>
      </w:r>
      <w:r w:rsidR="00EA4B0C" w:rsidRPr="00034A4A">
        <w:rPr>
          <w:rFonts w:ascii="Sylfaen" w:hAnsi="Sylfaen" w:cs="Times New Roman"/>
          <w:b/>
        </w:rPr>
        <w:t xml:space="preserve">to create </w:t>
      </w:r>
      <w:r w:rsidRPr="00034A4A">
        <w:rPr>
          <w:rFonts w:ascii="Sylfaen" w:hAnsi="Sylfaen" w:cs="Times New Roman"/>
          <w:b/>
        </w:rPr>
        <w:t>jobs</w:t>
      </w:r>
      <w:r w:rsidR="002804F0" w:rsidRPr="00034A4A">
        <w:rPr>
          <w:rFonts w:ascii="Sylfaen" w:hAnsi="Sylfaen" w:cs="Times New Roman"/>
          <w:b/>
        </w:rPr>
        <w:t xml:space="preserve"> in the immediate term</w:t>
      </w:r>
      <w:r w:rsidRPr="00034A4A">
        <w:rPr>
          <w:rFonts w:ascii="Sylfaen" w:hAnsi="Sylfaen" w:cs="Times New Roman"/>
          <w:b/>
        </w:rPr>
        <w:t>, in particular for groups no</w:t>
      </w:r>
      <w:r w:rsidR="00D9316B" w:rsidRPr="00034A4A">
        <w:rPr>
          <w:rFonts w:ascii="Sylfaen" w:hAnsi="Sylfaen" w:cs="Times New Roman"/>
          <w:b/>
        </w:rPr>
        <w:t>w</w:t>
      </w:r>
      <w:r w:rsidRPr="00034A4A">
        <w:rPr>
          <w:rFonts w:ascii="Sylfaen" w:hAnsi="Sylfaen" w:cs="Times New Roman"/>
          <w:b/>
        </w:rPr>
        <w:t xml:space="preserve"> excluded from other opportunities. </w:t>
      </w:r>
      <w:r w:rsidR="003D630B" w:rsidRPr="00034A4A">
        <w:rPr>
          <w:rFonts w:ascii="Sylfaen" w:hAnsi="Sylfaen" w:cs="Times New Roman"/>
        </w:rPr>
        <w:t xml:space="preserve">The agriculture sector is an integral part of the Iraqi economy and embodies the skills and expertise required to support large-scale job creation in the short term. </w:t>
      </w:r>
      <w:r w:rsidR="00FD13A8">
        <w:rPr>
          <w:rFonts w:ascii="Sylfaen" w:hAnsi="Sylfaen" w:cs="Times New Roman"/>
        </w:rPr>
        <w:t>An emphasis on</w:t>
      </w:r>
      <w:r w:rsidR="003D630B" w:rsidRPr="00034A4A">
        <w:rPr>
          <w:rFonts w:ascii="Sylfaen" w:hAnsi="Sylfaen" w:cs="Times New Roman"/>
        </w:rPr>
        <w:t xml:space="preserve"> agriculture and agribusiness in job creation has several advantages. </w:t>
      </w:r>
      <w:r w:rsidRPr="00034A4A">
        <w:rPr>
          <w:rFonts w:ascii="Sylfaen" w:hAnsi="Sylfaen" w:cs="Times New Roman"/>
          <w:color w:val="0D0D0D" w:themeColor="text1" w:themeTint="F2"/>
        </w:rPr>
        <w:t xml:space="preserve">The need for jobs is certainly great in rural areas, where </w:t>
      </w:r>
      <w:r w:rsidR="0060768A" w:rsidRPr="00034A4A">
        <w:rPr>
          <w:rFonts w:ascii="Sylfaen" w:hAnsi="Sylfaen" w:cs="Times New Roman"/>
        </w:rPr>
        <w:t xml:space="preserve">some 31 percent </w:t>
      </w:r>
      <w:r w:rsidRPr="00034A4A">
        <w:rPr>
          <w:rFonts w:ascii="Sylfaen" w:hAnsi="Sylfaen" w:cs="Times New Roman"/>
        </w:rPr>
        <w:t xml:space="preserve">of the Iraqi population resides: about </w:t>
      </w:r>
      <w:r w:rsidR="0060768A" w:rsidRPr="00034A4A">
        <w:rPr>
          <w:rFonts w:ascii="Sylfaen" w:hAnsi="Sylfaen" w:cs="Times New Roman"/>
        </w:rPr>
        <w:t xml:space="preserve">one in three members of the </w:t>
      </w:r>
      <w:r w:rsidRPr="00034A4A">
        <w:rPr>
          <w:rFonts w:ascii="Sylfaen" w:hAnsi="Sylfaen" w:cs="Times New Roman"/>
        </w:rPr>
        <w:t xml:space="preserve">rural labor force </w:t>
      </w:r>
      <w:r w:rsidR="0060768A" w:rsidRPr="00034A4A">
        <w:rPr>
          <w:rFonts w:ascii="Sylfaen" w:hAnsi="Sylfaen" w:cs="Times New Roman"/>
        </w:rPr>
        <w:t xml:space="preserve">is </w:t>
      </w:r>
      <w:r w:rsidRPr="00034A4A">
        <w:rPr>
          <w:rFonts w:ascii="Sylfaen" w:hAnsi="Sylfaen" w:cs="Times New Roman"/>
        </w:rPr>
        <w:t>unemployed. At the same time, with 20 percent of total employment in agriculture, the sector makes a large contribution to overall employment, and offers the potential for job creation at scale.</w:t>
      </w:r>
      <w:r w:rsidRPr="00034A4A">
        <w:rPr>
          <w:rFonts w:ascii="Sylfaen" w:hAnsi="Sylfaen"/>
          <w:vertAlign w:val="superscript"/>
        </w:rPr>
        <w:footnoteReference w:id="13"/>
      </w:r>
      <w:r w:rsidRPr="00034A4A">
        <w:rPr>
          <w:rFonts w:ascii="Sylfaen" w:hAnsi="Sylfaen" w:cs="Times New Roman"/>
        </w:rPr>
        <w:t xml:space="preserve"> </w:t>
      </w:r>
      <w:r w:rsidR="003D630B" w:rsidRPr="00034A4A">
        <w:rPr>
          <w:rFonts w:ascii="Sylfaen" w:hAnsi="Sylfaen" w:cs="Times New Roman"/>
        </w:rPr>
        <w:t xml:space="preserve">Jobs created in rural areas reach </w:t>
      </w:r>
      <w:r w:rsidR="00BF436B" w:rsidRPr="00034A4A">
        <w:rPr>
          <w:rFonts w:ascii="Sylfaen" w:hAnsi="Sylfaen" w:cs="Times New Roman"/>
        </w:rPr>
        <w:t xml:space="preserve">women, </w:t>
      </w:r>
      <w:r w:rsidR="003D630B" w:rsidRPr="00034A4A">
        <w:rPr>
          <w:rFonts w:ascii="Sylfaen" w:hAnsi="Sylfaen" w:cs="Times New Roman"/>
        </w:rPr>
        <w:t>and the poor</w:t>
      </w:r>
      <w:r w:rsidR="002E1D0E" w:rsidRPr="00034A4A">
        <w:rPr>
          <w:rFonts w:ascii="Sylfaen" w:hAnsi="Sylfaen" w:cs="Times New Roman"/>
        </w:rPr>
        <w:t>;</w:t>
      </w:r>
      <w:r w:rsidR="003D630B" w:rsidRPr="00034A4A">
        <w:rPr>
          <w:rFonts w:ascii="Sylfaen" w:hAnsi="Sylfaen" w:cs="Times New Roman"/>
        </w:rPr>
        <w:t xml:space="preserve"> </w:t>
      </w:r>
      <w:r w:rsidR="002E1D0E" w:rsidRPr="00034A4A">
        <w:rPr>
          <w:rFonts w:ascii="Sylfaen" w:hAnsi="Sylfaen" w:cs="Times New Roman"/>
        </w:rPr>
        <w:t>t</w:t>
      </w:r>
      <w:r w:rsidR="003D630B" w:rsidRPr="00034A4A">
        <w:rPr>
          <w:rFonts w:ascii="Sylfaen" w:hAnsi="Sylfaen" w:cs="Times New Roman"/>
        </w:rPr>
        <w:t>he sector is also vital to the future prospects of returning IDPs</w:t>
      </w:r>
      <w:r w:rsidR="006C705B" w:rsidRPr="00034A4A">
        <w:rPr>
          <w:rFonts w:ascii="Sylfaen" w:hAnsi="Sylfaen" w:cs="Times New Roman"/>
        </w:rPr>
        <w:t xml:space="preserve"> and their home communities</w:t>
      </w:r>
      <w:r w:rsidR="003D630B" w:rsidRPr="00034A4A">
        <w:rPr>
          <w:rFonts w:ascii="Sylfaen" w:hAnsi="Sylfaen" w:cs="Times New Roman"/>
        </w:rPr>
        <w:t xml:space="preserve">. </w:t>
      </w:r>
      <w:r w:rsidR="002E1D0E" w:rsidRPr="00034A4A">
        <w:rPr>
          <w:rFonts w:ascii="Sylfaen" w:hAnsi="Sylfaen" w:cs="Times New Roman"/>
        </w:rPr>
        <w:t>J</w:t>
      </w:r>
      <w:r w:rsidR="003D630B" w:rsidRPr="00034A4A">
        <w:rPr>
          <w:rFonts w:ascii="Sylfaen" w:hAnsi="Sylfaen" w:cs="Times New Roman"/>
        </w:rPr>
        <w:t xml:space="preserve">obs in agriculture require modest skills that can be developed in the short term; and a stronger agriculture sector could play a crucial role in Iraq’s food </w:t>
      </w:r>
      <w:r w:rsidR="003D630B" w:rsidRPr="00034A4A">
        <w:rPr>
          <w:rFonts w:ascii="Sylfaen" w:hAnsi="Sylfaen" w:cs="Times New Roman"/>
          <w:color w:val="0D0D0D" w:themeColor="text1" w:themeTint="F2"/>
        </w:rPr>
        <w:t xml:space="preserve">security. </w:t>
      </w:r>
    </w:p>
    <w:p w14:paraId="1867E12E" w14:textId="3FB70A20" w:rsidR="00C9699E" w:rsidRPr="00034A4A" w:rsidRDefault="006C616C" w:rsidP="008769F4">
      <w:pPr>
        <w:spacing w:after="120"/>
        <w:jc w:val="both"/>
        <w:rPr>
          <w:rStyle w:val="A2"/>
          <w:rFonts w:ascii="Sylfaen" w:hAnsi="Sylfaen" w:cs="Times New Roman"/>
        </w:rPr>
      </w:pPr>
      <w:r w:rsidRPr="00034A4A">
        <w:rPr>
          <w:rFonts w:ascii="Sylfaen" w:hAnsi="Sylfaen" w:cs="Times New Roman"/>
          <w:b/>
          <w:color w:val="0D0D0D" w:themeColor="text1" w:themeTint="F2"/>
        </w:rPr>
        <w:t xml:space="preserve">Agriculture in Iraq has profoundly declined. </w:t>
      </w:r>
      <w:r w:rsidR="003D630B" w:rsidRPr="00034A4A">
        <w:rPr>
          <w:rFonts w:ascii="Sylfaen" w:hAnsi="Sylfaen" w:cs="Times New Roman"/>
          <w:color w:val="0D0D0D" w:themeColor="text1" w:themeTint="F2"/>
        </w:rPr>
        <w:t xml:space="preserve">Historically, Iraqi </w:t>
      </w:r>
      <w:r w:rsidR="00F37534" w:rsidRPr="00034A4A">
        <w:rPr>
          <w:rFonts w:ascii="Sylfaen" w:hAnsi="Sylfaen" w:cs="Times New Roman"/>
          <w:color w:val="0D0D0D" w:themeColor="text1" w:themeTint="F2"/>
        </w:rPr>
        <w:t xml:space="preserve">agriculture </w:t>
      </w:r>
      <w:r w:rsidR="003D630B" w:rsidRPr="00034A4A">
        <w:rPr>
          <w:rFonts w:ascii="Sylfaen" w:hAnsi="Sylfaen" w:cs="Times New Roman"/>
          <w:color w:val="0D0D0D" w:themeColor="text1" w:themeTint="F2"/>
        </w:rPr>
        <w:t>was an important source of jobs and food for its citizens, but decades</w:t>
      </w:r>
      <w:r w:rsidR="003D630B" w:rsidRPr="00034A4A">
        <w:rPr>
          <w:rFonts w:ascii="Sylfaen" w:hAnsi="Sylfaen" w:cs="Times New Roman"/>
        </w:rPr>
        <w:t xml:space="preserve"> of conflict </w:t>
      </w:r>
      <w:r w:rsidR="003A1B7C" w:rsidRPr="00034A4A">
        <w:rPr>
          <w:rFonts w:ascii="Sylfaen" w:hAnsi="Sylfaen" w:cs="Times New Roman"/>
        </w:rPr>
        <w:t xml:space="preserve">and sanctions </w:t>
      </w:r>
      <w:r w:rsidR="00F37534" w:rsidRPr="00034A4A">
        <w:rPr>
          <w:rFonts w:ascii="Sylfaen" w:hAnsi="Sylfaen" w:cs="Times New Roman"/>
        </w:rPr>
        <w:t xml:space="preserve">have </w:t>
      </w:r>
      <w:r w:rsidR="003D630B" w:rsidRPr="00034A4A">
        <w:rPr>
          <w:rFonts w:ascii="Sylfaen" w:hAnsi="Sylfaen" w:cs="Times New Roman"/>
        </w:rPr>
        <w:t xml:space="preserve">gradually eroded </w:t>
      </w:r>
      <w:r w:rsidR="00F37534" w:rsidRPr="00034A4A">
        <w:rPr>
          <w:rFonts w:ascii="Sylfaen" w:hAnsi="Sylfaen" w:cs="Times New Roman"/>
        </w:rPr>
        <w:t>its performance</w:t>
      </w:r>
      <w:r w:rsidR="003D630B" w:rsidRPr="00034A4A">
        <w:rPr>
          <w:rFonts w:ascii="Sylfaen" w:hAnsi="Sylfaen" w:cs="Times New Roman"/>
        </w:rPr>
        <w:t xml:space="preserve">. Today, half the cereals consumed are imported, and the share of food products in Iraq’s import basket is </w:t>
      </w:r>
      <w:r w:rsidR="00B7667B" w:rsidRPr="00034A4A">
        <w:rPr>
          <w:rFonts w:ascii="Sylfaen" w:hAnsi="Sylfaen" w:cs="Times New Roman"/>
        </w:rPr>
        <w:t>20</w:t>
      </w:r>
      <w:r w:rsidR="003D630B" w:rsidRPr="00034A4A">
        <w:rPr>
          <w:rFonts w:ascii="Sylfaen" w:hAnsi="Sylfaen" w:cs="Times New Roman"/>
        </w:rPr>
        <w:t xml:space="preserve"> percent</w:t>
      </w:r>
      <w:r w:rsidRPr="00034A4A">
        <w:rPr>
          <w:rFonts w:ascii="Sylfaen" w:hAnsi="Sylfaen" w:cs="Times New Roman"/>
        </w:rPr>
        <w:t xml:space="preserve"> (Figure 2</w:t>
      </w:r>
      <w:r w:rsidR="003A1B7C" w:rsidRPr="00034A4A">
        <w:rPr>
          <w:rFonts w:ascii="Sylfaen" w:hAnsi="Sylfaen" w:cs="Times New Roman"/>
        </w:rPr>
        <w:t>, Panel</w:t>
      </w:r>
      <w:r w:rsidRPr="00034A4A">
        <w:rPr>
          <w:rFonts w:ascii="Sylfaen" w:hAnsi="Sylfaen" w:cs="Times New Roman"/>
        </w:rPr>
        <w:t xml:space="preserve"> A and B)</w:t>
      </w:r>
      <w:r w:rsidR="003D630B" w:rsidRPr="00034A4A">
        <w:rPr>
          <w:rFonts w:ascii="Sylfaen" w:hAnsi="Sylfaen" w:cs="Times New Roman"/>
        </w:rPr>
        <w:t xml:space="preserve">. While food dependence is not unusual for an oil exporter, conflict-battered and neglected transport networks have limited access to major trading routes, </w:t>
      </w:r>
      <w:r w:rsidR="00FD13A8">
        <w:rPr>
          <w:rFonts w:ascii="Sylfaen" w:hAnsi="Sylfaen" w:cs="Times New Roman"/>
        </w:rPr>
        <w:t xml:space="preserve">which raises </w:t>
      </w:r>
      <w:r w:rsidR="00F37534" w:rsidRPr="00034A4A">
        <w:rPr>
          <w:rFonts w:ascii="Sylfaen" w:hAnsi="Sylfaen" w:cs="Times New Roman"/>
        </w:rPr>
        <w:t xml:space="preserve">import bills and </w:t>
      </w:r>
      <w:r w:rsidR="00FD13A8">
        <w:rPr>
          <w:rFonts w:ascii="Sylfaen" w:hAnsi="Sylfaen" w:cs="Times New Roman"/>
        </w:rPr>
        <w:t>exacerbates</w:t>
      </w:r>
      <w:r w:rsidR="003D630B" w:rsidRPr="00034A4A">
        <w:rPr>
          <w:rFonts w:ascii="Sylfaen" w:hAnsi="Sylfaen" w:cs="Times New Roman"/>
        </w:rPr>
        <w:t xml:space="preserve"> concerns about food insecurity. Already, 2.4 million people across the country require food security assistance (FAO 2016)</w:t>
      </w:r>
      <w:r w:rsidR="00F37534" w:rsidRPr="00034A4A">
        <w:rPr>
          <w:rFonts w:ascii="Sylfaen" w:hAnsi="Sylfaen" w:cs="Times New Roman"/>
        </w:rPr>
        <w:t>.</w:t>
      </w:r>
      <w:r w:rsidRPr="00034A4A">
        <w:rPr>
          <w:rFonts w:ascii="Sylfaen" w:hAnsi="Sylfaen" w:cs="Times New Roman"/>
        </w:rPr>
        <w:t xml:space="preserve"> Reach and Big Heart (2016), quoted in FAO (2017), find that since the</w:t>
      </w:r>
      <w:r w:rsidR="00AD33C9" w:rsidRPr="00034A4A">
        <w:rPr>
          <w:rFonts w:ascii="Sylfaen" w:hAnsi="Sylfaen" w:cs="Times New Roman"/>
        </w:rPr>
        <w:t xml:space="preserve"> Daesh</w:t>
      </w:r>
      <w:r w:rsidRPr="00034A4A">
        <w:rPr>
          <w:rFonts w:ascii="Sylfaen" w:hAnsi="Sylfaen" w:cs="Times New Roman"/>
        </w:rPr>
        <w:t xml:space="preserve"> occupation</w:t>
      </w:r>
      <w:r w:rsidR="00B25CF0" w:rsidRPr="00034A4A">
        <w:rPr>
          <w:rFonts w:ascii="Sylfaen" w:hAnsi="Sylfaen" w:cs="Times New Roman"/>
        </w:rPr>
        <w:t>, Iraq has</w:t>
      </w:r>
      <w:r w:rsidRPr="00034A4A">
        <w:rPr>
          <w:rFonts w:ascii="Sylfaen" w:hAnsi="Sylfaen" w:cs="Times New Roman"/>
        </w:rPr>
        <w:t xml:space="preserve"> additionally lost 40 percent of the agricultural production in </w:t>
      </w:r>
      <w:r w:rsidR="00B25CF0" w:rsidRPr="00034A4A">
        <w:rPr>
          <w:rFonts w:ascii="Sylfaen" w:hAnsi="Sylfaen" w:cs="Times New Roman"/>
        </w:rPr>
        <w:t xml:space="preserve">predominantly </w:t>
      </w:r>
      <w:r w:rsidRPr="00034A4A">
        <w:rPr>
          <w:rFonts w:ascii="Sylfaen" w:hAnsi="Sylfaen" w:cs="Times New Roman"/>
        </w:rPr>
        <w:t>agricultural provinces</w:t>
      </w:r>
      <w:r w:rsidRPr="00034A4A">
        <w:rPr>
          <w:rStyle w:val="A2"/>
          <w:rFonts w:ascii="Sylfaen" w:hAnsi="Sylfaen" w:cs="Times New Roman"/>
        </w:rPr>
        <w:t>.</w:t>
      </w:r>
      <w:r w:rsidRPr="00034A4A">
        <w:rPr>
          <w:rStyle w:val="FootnoteReference"/>
          <w:rFonts w:ascii="Sylfaen" w:hAnsi="Sylfaen" w:cs="Times New Roman"/>
        </w:rPr>
        <w:footnoteReference w:id="14"/>
      </w:r>
    </w:p>
    <w:p w14:paraId="241AEE46" w14:textId="4D629F7C" w:rsidR="00BF436B" w:rsidRPr="00034A4A" w:rsidRDefault="003D630B" w:rsidP="008769F4">
      <w:pPr>
        <w:spacing w:after="120"/>
        <w:jc w:val="both"/>
        <w:rPr>
          <w:rFonts w:ascii="Sylfaen" w:hAnsi="Sylfaen" w:cs="Times New Roman"/>
        </w:rPr>
      </w:pPr>
      <w:r w:rsidRPr="00034A4A">
        <w:rPr>
          <w:rFonts w:ascii="Sylfaen" w:hAnsi="Sylfaen" w:cs="Times New Roman"/>
          <w:b/>
        </w:rPr>
        <w:t>A</w:t>
      </w:r>
      <w:r w:rsidR="00D6104B" w:rsidRPr="00034A4A">
        <w:rPr>
          <w:rFonts w:ascii="Sylfaen" w:hAnsi="Sylfaen" w:cs="Times New Roman"/>
          <w:b/>
        </w:rPr>
        <w:t xml:space="preserve"> revival of </w:t>
      </w:r>
      <w:r w:rsidRPr="00034A4A">
        <w:rPr>
          <w:rFonts w:ascii="Sylfaen" w:hAnsi="Sylfaen" w:cs="Times New Roman"/>
          <w:b/>
        </w:rPr>
        <w:t>agriculture would have the potential to be a boon for jobs.</w:t>
      </w:r>
      <w:r w:rsidRPr="00034A4A">
        <w:rPr>
          <w:rFonts w:ascii="Sylfaen" w:hAnsi="Sylfaen" w:cs="Times New Roman"/>
        </w:rPr>
        <w:t xml:space="preserve"> Production </w:t>
      </w:r>
      <w:r w:rsidR="00BF436B" w:rsidRPr="00034A4A">
        <w:rPr>
          <w:rFonts w:ascii="Sylfaen" w:hAnsi="Sylfaen" w:cs="Times New Roman"/>
        </w:rPr>
        <w:t xml:space="preserve">in primary agriculture </w:t>
      </w:r>
      <w:r w:rsidRPr="00034A4A">
        <w:rPr>
          <w:rFonts w:ascii="Sylfaen" w:hAnsi="Sylfaen" w:cs="Times New Roman"/>
        </w:rPr>
        <w:t xml:space="preserve">is labor-intensive, with a labor share of about 40 percent </w:t>
      </w:r>
      <w:r w:rsidR="008A59CE" w:rsidRPr="00034A4A">
        <w:rPr>
          <w:rFonts w:ascii="Sylfaen" w:hAnsi="Sylfaen" w:cs="Times New Roman"/>
        </w:rPr>
        <w:t>of total factor share</w:t>
      </w:r>
      <w:r w:rsidRPr="00034A4A">
        <w:rPr>
          <w:rFonts w:ascii="Sylfaen" w:hAnsi="Sylfaen" w:cs="Times New Roman"/>
        </w:rPr>
        <w:t xml:space="preserve">, compared to a share of capital and machinery of less than 15 percent (Figure 2F). </w:t>
      </w:r>
      <w:r w:rsidR="00BF436B" w:rsidRPr="00034A4A">
        <w:rPr>
          <w:rFonts w:ascii="Sylfaen" w:hAnsi="Sylfaen" w:cs="Times New Roman"/>
        </w:rPr>
        <w:t xml:space="preserve">It is </w:t>
      </w:r>
      <w:r w:rsidR="00BF436B" w:rsidRPr="00034A4A">
        <w:rPr>
          <w:rStyle w:val="A2"/>
          <w:rFonts w:ascii="Sylfaen" w:hAnsi="Sylfaen" w:cs="Times New Roman"/>
        </w:rPr>
        <w:t xml:space="preserve">important to note that, in the immediate term, the goal of recovery is to allow Iraqis to return to farming activities they used to carry out, including </w:t>
      </w:r>
      <w:r w:rsidR="00FD13A8">
        <w:rPr>
          <w:rStyle w:val="A2"/>
          <w:rFonts w:ascii="Sylfaen" w:hAnsi="Sylfaen" w:cs="Times New Roman"/>
        </w:rPr>
        <w:t xml:space="preserve">until </w:t>
      </w:r>
      <w:r w:rsidR="00BF436B" w:rsidRPr="00034A4A">
        <w:rPr>
          <w:rStyle w:val="A2"/>
          <w:rFonts w:ascii="Sylfaen" w:hAnsi="Sylfaen" w:cs="Times New Roman"/>
        </w:rPr>
        <w:t>quite recently.</w:t>
      </w:r>
      <w:r w:rsidR="00BF436B" w:rsidRPr="00034A4A">
        <w:rPr>
          <w:rFonts w:ascii="Sylfaen" w:hAnsi="Sylfaen" w:cs="Times New Roman"/>
        </w:rPr>
        <w:t xml:space="preserve"> There are two important implications to this fact</w:t>
      </w:r>
      <w:r w:rsidR="00B7667B" w:rsidRPr="00034A4A">
        <w:rPr>
          <w:rFonts w:ascii="Sylfaen" w:hAnsi="Sylfaen" w:cs="Times New Roman"/>
        </w:rPr>
        <w:t>,</w:t>
      </w:r>
      <w:r w:rsidR="00BF436B" w:rsidRPr="00034A4A">
        <w:rPr>
          <w:rFonts w:ascii="Sylfaen" w:hAnsi="Sylfaen" w:cs="Times New Roman"/>
        </w:rPr>
        <w:t xml:space="preserve"> as far as the potential of agriculture to foster jobs growth is concerned. First, while successful recovery might in the medium term imply more capital-intensive production, it </w:t>
      </w:r>
      <w:r w:rsidR="00B7667B" w:rsidRPr="00034A4A">
        <w:rPr>
          <w:rFonts w:ascii="Sylfaen" w:hAnsi="Sylfaen" w:cs="Times New Roman"/>
        </w:rPr>
        <w:t xml:space="preserve">may be </w:t>
      </w:r>
      <w:r w:rsidR="00BF436B" w:rsidRPr="00034A4A">
        <w:rPr>
          <w:rFonts w:ascii="Sylfaen" w:hAnsi="Sylfaen" w:cs="Times New Roman"/>
        </w:rPr>
        <w:t xml:space="preserve">reasonable to assume that a resumption of activities would not immediately </w:t>
      </w:r>
      <w:r w:rsidR="00B7667B" w:rsidRPr="00034A4A">
        <w:rPr>
          <w:rFonts w:ascii="Sylfaen" w:hAnsi="Sylfaen" w:cs="Times New Roman"/>
        </w:rPr>
        <w:t xml:space="preserve">involve </w:t>
      </w:r>
      <w:r w:rsidR="00BF436B" w:rsidRPr="00034A4A">
        <w:rPr>
          <w:rFonts w:ascii="Sylfaen" w:hAnsi="Sylfaen" w:cs="Times New Roman"/>
        </w:rPr>
        <w:t xml:space="preserve">a leap to </w:t>
      </w:r>
      <w:r w:rsidR="00B7667B" w:rsidRPr="00034A4A">
        <w:rPr>
          <w:rFonts w:ascii="Sylfaen" w:hAnsi="Sylfaen" w:cs="Times New Roman"/>
        </w:rPr>
        <w:t xml:space="preserve">much lower </w:t>
      </w:r>
      <w:r w:rsidR="00BF436B" w:rsidRPr="00034A4A">
        <w:rPr>
          <w:rFonts w:ascii="Sylfaen" w:hAnsi="Sylfaen" w:cs="Times New Roman"/>
        </w:rPr>
        <w:t>labor</w:t>
      </w:r>
      <w:r w:rsidR="00B7667B" w:rsidRPr="00034A4A">
        <w:rPr>
          <w:rFonts w:ascii="Sylfaen" w:hAnsi="Sylfaen" w:cs="Times New Roman"/>
        </w:rPr>
        <w:t xml:space="preserve"> intensity</w:t>
      </w:r>
      <w:r w:rsidR="00BF436B" w:rsidRPr="00034A4A">
        <w:rPr>
          <w:rFonts w:ascii="Sylfaen" w:hAnsi="Sylfaen" w:cs="Times New Roman"/>
        </w:rPr>
        <w:t xml:space="preserve">. Secondly, while it is important </w:t>
      </w:r>
      <w:r w:rsidR="00C9699E" w:rsidRPr="00034A4A">
        <w:rPr>
          <w:rStyle w:val="A2"/>
          <w:rFonts w:ascii="Sylfaen" w:hAnsi="Sylfaen" w:cs="Times New Roman"/>
        </w:rPr>
        <w:t xml:space="preserve">to ask whether cultural reservations and reservation wages might lead unemployed Iraqis to </w:t>
      </w:r>
      <w:r w:rsidR="00BF436B" w:rsidRPr="00034A4A">
        <w:rPr>
          <w:rStyle w:val="A2"/>
          <w:rFonts w:ascii="Sylfaen" w:hAnsi="Sylfaen" w:cs="Times New Roman"/>
        </w:rPr>
        <w:t xml:space="preserve">reject </w:t>
      </w:r>
      <w:r w:rsidR="00C9699E" w:rsidRPr="00034A4A">
        <w:rPr>
          <w:rStyle w:val="A2"/>
          <w:rFonts w:ascii="Sylfaen" w:hAnsi="Sylfaen" w:cs="Times New Roman"/>
        </w:rPr>
        <w:t>work in agriculture</w:t>
      </w:r>
      <w:r w:rsidR="00BF436B" w:rsidRPr="00034A4A">
        <w:rPr>
          <w:rStyle w:val="A2"/>
          <w:rFonts w:ascii="Sylfaen" w:hAnsi="Sylfaen" w:cs="Times New Roman"/>
        </w:rPr>
        <w:t xml:space="preserve">, this </w:t>
      </w:r>
      <w:r w:rsidR="00B7667B" w:rsidRPr="00034A4A">
        <w:rPr>
          <w:rStyle w:val="A2"/>
          <w:rFonts w:ascii="Sylfaen" w:hAnsi="Sylfaen" w:cs="Times New Roman"/>
        </w:rPr>
        <w:t xml:space="preserve">concern is less acute </w:t>
      </w:r>
      <w:r w:rsidR="00BF436B" w:rsidRPr="00034A4A">
        <w:rPr>
          <w:rStyle w:val="A2"/>
          <w:rFonts w:ascii="Sylfaen" w:hAnsi="Sylfaen" w:cs="Times New Roman"/>
        </w:rPr>
        <w:t>for those returning to farming</w:t>
      </w:r>
      <w:r w:rsidR="00C9699E" w:rsidRPr="00034A4A">
        <w:rPr>
          <w:rStyle w:val="A2"/>
          <w:rFonts w:ascii="Sylfaen" w:hAnsi="Sylfaen" w:cs="Times New Roman"/>
        </w:rPr>
        <w:t xml:space="preserve">. </w:t>
      </w:r>
      <w:r w:rsidR="00B7667B" w:rsidRPr="00034A4A">
        <w:rPr>
          <w:rStyle w:val="A2"/>
          <w:rFonts w:ascii="Sylfaen" w:hAnsi="Sylfaen" w:cs="Times New Roman"/>
        </w:rPr>
        <w:t>Further, t</w:t>
      </w:r>
      <w:r w:rsidR="00C9699E" w:rsidRPr="00034A4A">
        <w:rPr>
          <w:rFonts w:ascii="Sylfaen" w:hAnsi="Sylfaen" w:cs="Times New Roman"/>
        </w:rPr>
        <w:t xml:space="preserve">radition-constrained rural Iraqi women who are presently excluded from the workforce in other sectors will benefit disproportionately. </w:t>
      </w:r>
      <w:r w:rsidR="00BF436B" w:rsidRPr="00034A4A">
        <w:rPr>
          <w:rFonts w:ascii="Sylfaen" w:hAnsi="Sylfaen" w:cs="Times New Roman"/>
        </w:rPr>
        <w:t>Thus, women hold a far higher share of jobs in the sector than in the economy at large: b</w:t>
      </w:r>
      <w:r w:rsidR="00BF436B" w:rsidRPr="00034A4A">
        <w:rPr>
          <w:rFonts w:ascii="Sylfaen" w:hAnsi="Sylfaen" w:cs="Times New Roman"/>
          <w:color w:val="000000"/>
        </w:rPr>
        <w:t>etween 1980 and 2010, the share of women in agriculture increased from 30 to 50 percent</w:t>
      </w:r>
      <w:r w:rsidR="00BF436B" w:rsidRPr="00034A4A">
        <w:rPr>
          <w:rFonts w:ascii="Sylfaen" w:hAnsi="Sylfaen" w:cs="Times New Roman"/>
        </w:rPr>
        <w:t>, and it may now be as high as 60 percent.</w:t>
      </w:r>
      <w:r w:rsidR="00BF436B" w:rsidRPr="00034A4A">
        <w:rPr>
          <w:rStyle w:val="FootnoteReference"/>
          <w:rFonts w:ascii="Sylfaen" w:hAnsi="Sylfaen" w:cs="Times New Roman"/>
        </w:rPr>
        <w:footnoteReference w:id="15"/>
      </w:r>
      <w:r w:rsidR="00BF436B" w:rsidRPr="00034A4A">
        <w:rPr>
          <w:rFonts w:ascii="Sylfaen" w:hAnsi="Sylfaen" w:cs="Times New Roman"/>
        </w:rPr>
        <w:t xml:space="preserve"> This compares to a share of women of just 9 percent among all employed. </w:t>
      </w:r>
      <w:r w:rsidR="00BF436B" w:rsidRPr="00034A4A">
        <w:rPr>
          <w:rFonts w:ascii="Sylfaen" w:hAnsi="Sylfaen" w:cs="Times New Roman"/>
          <w:color w:val="000000"/>
        </w:rPr>
        <w:t>Employment in the sector is particularly important for less-educated women.</w:t>
      </w:r>
      <w:r w:rsidR="00BF436B" w:rsidRPr="00034A4A">
        <w:rPr>
          <w:rFonts w:ascii="Sylfaen" w:hAnsi="Sylfaen" w:cs="Times New Roman"/>
        </w:rPr>
        <w:t xml:space="preserve"> </w:t>
      </w:r>
    </w:p>
    <w:p w14:paraId="134DDCB5" w14:textId="52993069" w:rsidR="003D7F72" w:rsidRPr="00034A4A" w:rsidRDefault="00BF436B" w:rsidP="008769F4">
      <w:pPr>
        <w:spacing w:after="120"/>
        <w:jc w:val="both"/>
        <w:rPr>
          <w:rFonts w:ascii="Sylfaen" w:hAnsi="Sylfaen" w:cs="Times New Roman"/>
        </w:rPr>
      </w:pPr>
      <w:r w:rsidRPr="00034A4A">
        <w:rPr>
          <w:rFonts w:ascii="Sylfaen" w:hAnsi="Sylfaen" w:cs="Times New Roman"/>
          <w:b/>
        </w:rPr>
        <w:t xml:space="preserve">Linkages in </w:t>
      </w:r>
      <w:r w:rsidR="000F29F9" w:rsidRPr="00034A4A">
        <w:rPr>
          <w:rFonts w:ascii="Sylfaen" w:hAnsi="Sylfaen" w:cs="Times New Roman"/>
          <w:b/>
        </w:rPr>
        <w:t>the food system could become a source of additional jobs.</w:t>
      </w:r>
      <w:r w:rsidR="000F29F9" w:rsidRPr="00034A4A">
        <w:rPr>
          <w:rFonts w:ascii="Sylfaen" w:hAnsi="Sylfaen" w:cs="Times New Roman"/>
        </w:rPr>
        <w:t xml:space="preserve"> </w:t>
      </w:r>
      <w:r w:rsidR="003D630B" w:rsidRPr="00034A4A">
        <w:rPr>
          <w:rFonts w:ascii="Sylfaen" w:hAnsi="Sylfaen" w:cs="Times New Roman"/>
        </w:rPr>
        <w:t xml:space="preserve">Scaling up agriculture in Iraq also has the potential for spillovers for job creation in industry. </w:t>
      </w:r>
      <w:r w:rsidR="006C616C" w:rsidRPr="00034A4A">
        <w:rPr>
          <w:rFonts w:ascii="Sylfaen" w:hAnsi="Sylfaen" w:cs="Times New Roman"/>
        </w:rPr>
        <w:t>In Iraq, f</w:t>
      </w:r>
      <w:r w:rsidR="003D630B" w:rsidRPr="00034A4A">
        <w:rPr>
          <w:rFonts w:ascii="Sylfaen" w:hAnsi="Sylfaen" w:cs="Times New Roman"/>
        </w:rPr>
        <w:t xml:space="preserve">ood processing </w:t>
      </w:r>
      <w:r w:rsidR="008A59CE" w:rsidRPr="00034A4A">
        <w:rPr>
          <w:rFonts w:ascii="Sylfaen" w:hAnsi="Sylfaen" w:cs="Times New Roman"/>
        </w:rPr>
        <w:t xml:space="preserve">is the manufacturing subsector in which the </w:t>
      </w:r>
      <w:r w:rsidR="006C616C" w:rsidRPr="00034A4A">
        <w:rPr>
          <w:rFonts w:ascii="Sylfaen" w:hAnsi="Sylfaen" w:cs="Times New Roman"/>
        </w:rPr>
        <w:t xml:space="preserve">most private firms </w:t>
      </w:r>
      <w:r w:rsidR="00741809" w:rsidRPr="00034A4A">
        <w:rPr>
          <w:rFonts w:ascii="Sylfaen" w:hAnsi="Sylfaen" w:cs="Times New Roman"/>
        </w:rPr>
        <w:t xml:space="preserve">– </w:t>
      </w:r>
      <w:r w:rsidR="00B7667B" w:rsidRPr="00034A4A">
        <w:rPr>
          <w:rFonts w:ascii="Sylfaen" w:hAnsi="Sylfaen" w:cs="Times New Roman"/>
        </w:rPr>
        <w:t xml:space="preserve">the large majority </w:t>
      </w:r>
      <w:r w:rsidR="00741809" w:rsidRPr="00034A4A">
        <w:rPr>
          <w:rFonts w:ascii="Sylfaen" w:hAnsi="Sylfaen" w:cs="Times New Roman"/>
        </w:rPr>
        <w:t xml:space="preserve">of them informal – </w:t>
      </w:r>
      <w:r w:rsidR="006C616C" w:rsidRPr="00034A4A">
        <w:rPr>
          <w:rFonts w:ascii="Sylfaen" w:hAnsi="Sylfaen" w:cs="Times New Roman"/>
        </w:rPr>
        <w:t xml:space="preserve">are active </w:t>
      </w:r>
      <w:r w:rsidR="003D630B" w:rsidRPr="00034A4A">
        <w:rPr>
          <w:rFonts w:ascii="Sylfaen" w:hAnsi="Sylfaen" w:cs="Times New Roman"/>
        </w:rPr>
        <w:t xml:space="preserve">(Figure 3B). Forward linkages are therefore quite likely to help generate jobs. </w:t>
      </w:r>
      <w:r w:rsidRPr="00034A4A">
        <w:rPr>
          <w:rFonts w:ascii="Sylfaen" w:hAnsi="Sylfaen" w:cs="Times New Roman"/>
        </w:rPr>
        <w:t xml:space="preserve">Among these, jobs in home-based production could provide further opportunities for women who have little </w:t>
      </w:r>
      <w:r w:rsidR="000F29F9" w:rsidRPr="00034A4A">
        <w:rPr>
          <w:rFonts w:ascii="Sylfaen" w:hAnsi="Sylfaen" w:cs="Times New Roman"/>
        </w:rPr>
        <w:t xml:space="preserve">other </w:t>
      </w:r>
      <w:r w:rsidRPr="00034A4A">
        <w:rPr>
          <w:rFonts w:ascii="Sylfaen" w:hAnsi="Sylfaen" w:cs="Times New Roman"/>
        </w:rPr>
        <w:t xml:space="preserve">access to jobs. </w:t>
      </w:r>
      <w:r w:rsidR="00B7667B" w:rsidRPr="00034A4A">
        <w:rPr>
          <w:rFonts w:ascii="Sylfaen" w:hAnsi="Sylfaen" w:cs="Times New Roman"/>
        </w:rPr>
        <w:t>If recovery proceeds well, it could also nurture the revival of larger downstream industries such as a sugar processing plant that was abandoned by private owners. Finally, t</w:t>
      </w:r>
      <w:r w:rsidR="003D630B" w:rsidRPr="00034A4A">
        <w:rPr>
          <w:rFonts w:ascii="Sylfaen" w:hAnsi="Sylfaen" w:cs="Times New Roman"/>
        </w:rPr>
        <w:t>here are also possible backward linkages through new demand for industrial inputs</w:t>
      </w:r>
      <w:r w:rsidR="00FD13A8">
        <w:rPr>
          <w:rFonts w:ascii="Sylfaen" w:hAnsi="Sylfaen" w:cs="Times New Roman"/>
        </w:rPr>
        <w:t xml:space="preserve"> – fertilizers, chemicals, seeds, among others</w:t>
      </w:r>
      <w:r w:rsidR="003D630B" w:rsidRPr="00034A4A">
        <w:rPr>
          <w:rFonts w:ascii="Sylfaen" w:hAnsi="Sylfaen" w:cs="Times New Roman"/>
        </w:rPr>
        <w:t xml:space="preserve">. </w:t>
      </w:r>
      <w:r w:rsidR="00F37534" w:rsidRPr="00034A4A">
        <w:rPr>
          <w:rFonts w:ascii="Sylfaen" w:hAnsi="Sylfaen" w:cs="Times New Roman"/>
        </w:rPr>
        <w:t>T</w:t>
      </w:r>
      <w:r w:rsidR="003D630B" w:rsidRPr="00034A4A">
        <w:rPr>
          <w:rFonts w:ascii="Sylfaen" w:hAnsi="Sylfaen" w:cs="Times New Roman"/>
        </w:rPr>
        <w:t>hese are, however, capital-intensive industries dominated by SOEs.</w:t>
      </w:r>
    </w:p>
    <w:p w14:paraId="35312C92" w14:textId="77A552DD" w:rsidR="00841BCC" w:rsidRPr="00034A4A" w:rsidRDefault="00E567BA" w:rsidP="008769F4">
      <w:pPr>
        <w:spacing w:after="120"/>
        <w:jc w:val="both"/>
        <w:rPr>
          <w:rFonts w:ascii="Sylfaen" w:hAnsi="Sylfaen" w:cs="Times New Roman"/>
          <w:b/>
        </w:rPr>
      </w:pPr>
      <w:r w:rsidRPr="00034A4A">
        <w:rPr>
          <w:rFonts w:ascii="Sylfaen" w:hAnsi="Sylfaen" w:cs="Times New Roman"/>
          <w:b/>
        </w:rPr>
        <w:t>A 10</w:t>
      </w:r>
      <w:r w:rsidR="0060768A" w:rsidRPr="00034A4A">
        <w:rPr>
          <w:rFonts w:ascii="Sylfaen" w:hAnsi="Sylfaen" w:cs="Times New Roman"/>
          <w:b/>
        </w:rPr>
        <w:t xml:space="preserve"> percent</w:t>
      </w:r>
      <w:r w:rsidRPr="00034A4A">
        <w:rPr>
          <w:rFonts w:ascii="Sylfaen" w:hAnsi="Sylfaen" w:cs="Times New Roman"/>
          <w:b/>
        </w:rPr>
        <w:t xml:space="preserve"> increase in primary production may generate revenue for farmers and farm workers equivalent to 126,000 jobs, in addition to jobs in services and manufacturing.</w:t>
      </w:r>
      <w:r w:rsidRPr="00034A4A">
        <w:rPr>
          <w:rFonts w:ascii="Sylfaen" w:hAnsi="Sylfaen" w:cs="Times New Roman"/>
        </w:rPr>
        <w:t xml:space="preserve"> </w:t>
      </w:r>
      <w:r w:rsidR="000705F0" w:rsidRPr="00034A4A">
        <w:rPr>
          <w:rFonts w:ascii="Sylfaen" w:hAnsi="Sylfaen" w:cs="Times New Roman"/>
        </w:rPr>
        <w:t>Agriculture value added in Iraq was about $8.7bn in 2016</w:t>
      </w:r>
      <w:r w:rsidRPr="00034A4A">
        <w:rPr>
          <w:rFonts w:ascii="Sylfaen" w:hAnsi="Sylfaen" w:cs="Times New Roman"/>
        </w:rPr>
        <w:t xml:space="preserve"> (W</w:t>
      </w:r>
      <w:r w:rsidR="00FD13A8">
        <w:rPr>
          <w:rFonts w:ascii="Sylfaen" w:hAnsi="Sylfaen" w:cs="Times New Roman"/>
        </w:rPr>
        <w:t xml:space="preserve">orld Development </w:t>
      </w:r>
      <w:r w:rsidRPr="00034A4A">
        <w:rPr>
          <w:rFonts w:ascii="Sylfaen" w:hAnsi="Sylfaen" w:cs="Times New Roman"/>
        </w:rPr>
        <w:t>I</w:t>
      </w:r>
      <w:r w:rsidR="00FD13A8">
        <w:rPr>
          <w:rFonts w:ascii="Sylfaen" w:hAnsi="Sylfaen" w:cs="Times New Roman"/>
        </w:rPr>
        <w:t>ndicators</w:t>
      </w:r>
      <w:r w:rsidRPr="00034A4A">
        <w:rPr>
          <w:rFonts w:ascii="Sylfaen" w:hAnsi="Sylfaen" w:cs="Times New Roman"/>
        </w:rPr>
        <w:t>)</w:t>
      </w:r>
      <w:r w:rsidR="000705F0" w:rsidRPr="00034A4A">
        <w:rPr>
          <w:rFonts w:ascii="Sylfaen" w:hAnsi="Sylfaen" w:cs="Times New Roman"/>
        </w:rPr>
        <w:t>.</w:t>
      </w:r>
      <w:r w:rsidRPr="00034A4A">
        <w:rPr>
          <w:rFonts w:ascii="Sylfaen" w:hAnsi="Sylfaen" w:cs="Times New Roman"/>
        </w:rPr>
        <w:t xml:space="preserve"> The factor shares shown in Figure 2.F can help provide a sense of what may be the jobs implications of such a recovery. We make the conservative assumption that farmers and farm workers appropriate only the value added due to labor and land, and </w:t>
      </w:r>
      <w:r w:rsidR="00B0217B" w:rsidRPr="00034A4A">
        <w:rPr>
          <w:rFonts w:ascii="Sylfaen" w:hAnsi="Sylfaen" w:cs="Times New Roman"/>
        </w:rPr>
        <w:t xml:space="preserve">also assume </w:t>
      </w:r>
      <w:r w:rsidR="00BE6733" w:rsidRPr="00034A4A">
        <w:rPr>
          <w:rFonts w:ascii="Sylfaen" w:hAnsi="Sylfaen" w:cs="Times New Roman"/>
        </w:rPr>
        <w:t xml:space="preserve">that </w:t>
      </w:r>
      <w:r w:rsidR="00B7667B" w:rsidRPr="00034A4A">
        <w:rPr>
          <w:rFonts w:ascii="Sylfaen" w:hAnsi="Sylfaen" w:cs="Times New Roman"/>
        </w:rPr>
        <w:t>an e</w:t>
      </w:r>
      <w:r w:rsidRPr="00034A4A">
        <w:rPr>
          <w:rFonts w:ascii="Sylfaen" w:hAnsi="Sylfaen" w:cs="Times New Roman"/>
        </w:rPr>
        <w:t xml:space="preserve">xpansion of production </w:t>
      </w:r>
      <w:r w:rsidR="00B7667B" w:rsidRPr="00034A4A">
        <w:rPr>
          <w:rFonts w:ascii="Sylfaen" w:hAnsi="Sylfaen" w:cs="Times New Roman"/>
        </w:rPr>
        <w:t xml:space="preserve">at the margin </w:t>
      </w:r>
      <w:r w:rsidRPr="00034A4A">
        <w:rPr>
          <w:rFonts w:ascii="Sylfaen" w:hAnsi="Sylfaen" w:cs="Times New Roman"/>
        </w:rPr>
        <w:t>would utilize the same factor input mix observed at the mean. With these assumptions, a 10</w:t>
      </w:r>
      <w:r w:rsidR="00BE6733" w:rsidRPr="00034A4A">
        <w:rPr>
          <w:rFonts w:ascii="Sylfaen" w:hAnsi="Sylfaen" w:cs="Times New Roman"/>
        </w:rPr>
        <w:t xml:space="preserve"> percent</w:t>
      </w:r>
      <w:r w:rsidRPr="00034A4A">
        <w:rPr>
          <w:rFonts w:ascii="Sylfaen" w:hAnsi="Sylfaen" w:cs="Times New Roman"/>
        </w:rPr>
        <w:t xml:space="preserve"> recovery in agriculture would translate into nearly $400m </w:t>
      </w:r>
      <w:r w:rsidR="00B7667B" w:rsidRPr="00034A4A">
        <w:rPr>
          <w:rFonts w:ascii="Sylfaen" w:hAnsi="Sylfaen" w:cs="Times New Roman"/>
        </w:rPr>
        <w:t xml:space="preserve">in </w:t>
      </w:r>
      <w:r w:rsidRPr="00034A4A">
        <w:rPr>
          <w:rFonts w:ascii="Sylfaen" w:hAnsi="Sylfaen" w:cs="Times New Roman"/>
        </w:rPr>
        <w:t>additional revenue. Some of this revenue will be additional income for those already active in agriculture</w:t>
      </w:r>
      <w:r w:rsidR="00FD13A8">
        <w:rPr>
          <w:rFonts w:ascii="Sylfaen" w:hAnsi="Sylfaen" w:cs="Times New Roman"/>
        </w:rPr>
        <w:t>, that is,</w:t>
      </w:r>
      <w:r w:rsidRPr="00034A4A">
        <w:rPr>
          <w:rFonts w:ascii="Sylfaen" w:hAnsi="Sylfaen" w:cs="Times New Roman"/>
        </w:rPr>
        <w:t xml:space="preserve"> better jobs. Some of it</w:t>
      </w:r>
      <w:r w:rsidR="00FD13A8">
        <w:rPr>
          <w:rFonts w:ascii="Sylfaen" w:hAnsi="Sylfaen" w:cs="Times New Roman"/>
        </w:rPr>
        <w:t xml:space="preserve"> will go to new hires</w:t>
      </w:r>
      <w:r w:rsidR="00FD13A8">
        <w:rPr>
          <w:rFonts w:ascii="Sylfaen" w:hAnsi="Sylfaen" w:cs="Times New Roman"/>
        </w:rPr>
        <w:t>, that is,</w:t>
      </w:r>
      <w:r w:rsidR="00FD13A8" w:rsidRPr="00034A4A">
        <w:rPr>
          <w:rFonts w:ascii="Sylfaen" w:hAnsi="Sylfaen" w:cs="Times New Roman"/>
        </w:rPr>
        <w:t xml:space="preserve"> </w:t>
      </w:r>
      <w:r w:rsidRPr="00034A4A">
        <w:rPr>
          <w:rFonts w:ascii="Sylfaen" w:hAnsi="Sylfaen" w:cs="Times New Roman"/>
        </w:rPr>
        <w:t xml:space="preserve">additional jobs. To provide a sense of </w:t>
      </w:r>
      <w:r w:rsidR="00B7667B" w:rsidRPr="00034A4A">
        <w:rPr>
          <w:rFonts w:ascii="Sylfaen" w:hAnsi="Sylfaen" w:cs="Times New Roman"/>
        </w:rPr>
        <w:t xml:space="preserve">the scale of the potential jobs impact, </w:t>
      </w:r>
      <w:r w:rsidRPr="00034A4A">
        <w:rPr>
          <w:rFonts w:ascii="Sylfaen" w:hAnsi="Sylfaen" w:cs="Times New Roman"/>
        </w:rPr>
        <w:t xml:space="preserve">one can </w:t>
      </w:r>
      <w:r w:rsidR="00B7667B" w:rsidRPr="00034A4A">
        <w:rPr>
          <w:rFonts w:ascii="Sylfaen" w:hAnsi="Sylfaen" w:cs="Times New Roman"/>
        </w:rPr>
        <w:t xml:space="preserve">note </w:t>
      </w:r>
      <w:r w:rsidRPr="00034A4A">
        <w:rPr>
          <w:rFonts w:ascii="Sylfaen" w:hAnsi="Sylfaen" w:cs="Times New Roman"/>
        </w:rPr>
        <w:t xml:space="preserve">that </w:t>
      </w:r>
      <w:r w:rsidR="00B7667B" w:rsidRPr="00034A4A">
        <w:rPr>
          <w:rFonts w:ascii="Sylfaen" w:hAnsi="Sylfaen" w:cs="Times New Roman"/>
        </w:rPr>
        <w:t xml:space="preserve">the revenue increase </w:t>
      </w:r>
      <w:r w:rsidRPr="00034A4A">
        <w:rPr>
          <w:rFonts w:ascii="Sylfaen" w:hAnsi="Sylfaen" w:cs="Times New Roman"/>
        </w:rPr>
        <w:t xml:space="preserve">is equivalent </w:t>
      </w:r>
      <w:r w:rsidR="00B7667B" w:rsidRPr="00034A4A">
        <w:rPr>
          <w:rFonts w:ascii="Sylfaen" w:hAnsi="Sylfaen" w:cs="Times New Roman"/>
        </w:rPr>
        <w:t xml:space="preserve">to </w:t>
      </w:r>
      <w:r w:rsidRPr="00034A4A">
        <w:rPr>
          <w:rFonts w:ascii="Sylfaen" w:hAnsi="Sylfaen" w:cs="Times New Roman"/>
        </w:rPr>
        <w:t>about 126,000 times the average wage of workers in agriculture, or about 174,000 times the average consump</w:t>
      </w:r>
      <w:r w:rsidR="00B0217B" w:rsidRPr="00034A4A">
        <w:rPr>
          <w:rFonts w:ascii="Sylfaen" w:hAnsi="Sylfaen" w:cs="Times New Roman"/>
        </w:rPr>
        <w:t>tion of a household of four</w:t>
      </w:r>
      <w:r w:rsidR="00B7667B" w:rsidRPr="00034A4A">
        <w:rPr>
          <w:rFonts w:ascii="Sylfaen" w:hAnsi="Sylfaen" w:cs="Times New Roman"/>
        </w:rPr>
        <w:t xml:space="preserve"> (IHSES 2012)</w:t>
      </w:r>
      <w:r w:rsidR="00B0217B" w:rsidRPr="00034A4A">
        <w:rPr>
          <w:rFonts w:ascii="Sylfaen" w:hAnsi="Sylfaen" w:cs="Times New Roman"/>
        </w:rPr>
        <w:t>.</w:t>
      </w:r>
      <w:r w:rsidR="00BE6733" w:rsidRPr="00034A4A">
        <w:rPr>
          <w:rFonts w:ascii="Sylfaen" w:hAnsi="Sylfaen" w:cs="Times New Roman"/>
        </w:rPr>
        <w:t xml:space="preserve"> These estimates only </w:t>
      </w:r>
      <w:r w:rsidR="00FD13A8">
        <w:rPr>
          <w:rFonts w:ascii="Sylfaen" w:hAnsi="Sylfaen" w:cs="Times New Roman"/>
        </w:rPr>
        <w:t xml:space="preserve">consider </w:t>
      </w:r>
      <w:r w:rsidR="00BE6733" w:rsidRPr="00034A4A">
        <w:rPr>
          <w:rFonts w:ascii="Sylfaen" w:hAnsi="Sylfaen" w:cs="Times New Roman"/>
        </w:rPr>
        <w:t>the benefits of recovery to those who are directly working in agriculture; in addition, other jobs would be created or improved throughout the economy in linked businesses.</w:t>
      </w:r>
      <w:bookmarkStart w:id="2" w:name="_GoBack"/>
      <w:bookmarkEnd w:id="2"/>
      <w:r w:rsidR="00841BCC" w:rsidRPr="00034A4A">
        <w:rPr>
          <w:rFonts w:ascii="Sylfaen" w:hAnsi="Sylfaen" w:cs="Times New Roman"/>
          <w:b/>
        </w:rPr>
        <w:br w:type="page"/>
      </w:r>
    </w:p>
    <w:p w14:paraId="0B451263" w14:textId="28A901F3" w:rsidR="00E537D1" w:rsidRPr="00034A4A" w:rsidRDefault="00E537D1" w:rsidP="008769F4">
      <w:pPr>
        <w:spacing w:after="120"/>
        <w:jc w:val="both"/>
        <w:rPr>
          <w:rFonts w:ascii="Sylfaen" w:hAnsi="Sylfaen" w:cs="Times New Roman"/>
          <w:b/>
        </w:rPr>
      </w:pPr>
      <w:r w:rsidRPr="00034A4A">
        <w:rPr>
          <w:rFonts w:ascii="Sylfaen" w:hAnsi="Sylfaen" w:cs="Times New Roman"/>
          <w:b/>
        </w:rPr>
        <w:t xml:space="preserve">Figure 2: </w:t>
      </w:r>
      <w:r w:rsidR="00F964EB" w:rsidRPr="00034A4A">
        <w:rPr>
          <w:rFonts w:ascii="Sylfaen" w:hAnsi="Sylfaen" w:cs="Times New Roman"/>
          <w:b/>
        </w:rPr>
        <w:t>A</w:t>
      </w:r>
      <w:r w:rsidRPr="00034A4A">
        <w:rPr>
          <w:rFonts w:ascii="Sylfaen" w:hAnsi="Sylfaen" w:cs="Times New Roman"/>
          <w:b/>
        </w:rPr>
        <w:t>griculture has potential to serve as an important source of food and job</w:t>
      </w:r>
      <w:r w:rsidR="00F964EB" w:rsidRPr="00034A4A">
        <w:rPr>
          <w:rFonts w:ascii="Sylfaen" w:hAnsi="Sylfaen" w:cs="Times New Roman"/>
          <w:b/>
        </w:rPr>
        <w:t>s</w:t>
      </w:r>
      <w:r w:rsidRPr="00034A4A">
        <w:rPr>
          <w:rFonts w:ascii="Sylfaen" w:hAnsi="Sylfaen" w:cs="Times New Roman"/>
          <w:b/>
        </w:rPr>
        <w:t xml:space="preserve"> in the short term.</w:t>
      </w:r>
    </w:p>
    <w:tbl>
      <w:tblPr>
        <w:tblStyle w:val="TableGrid"/>
        <w:tblW w:w="9829" w:type="dxa"/>
        <w:tblLook w:val="04A0" w:firstRow="1" w:lastRow="0" w:firstColumn="1" w:lastColumn="0" w:noHBand="0" w:noVBand="1"/>
      </w:tblPr>
      <w:tblGrid>
        <w:gridCol w:w="5196"/>
        <w:gridCol w:w="4663"/>
      </w:tblGrid>
      <w:tr w:rsidR="00E537D1" w:rsidRPr="00034A4A" w14:paraId="4F127FF9" w14:textId="77777777" w:rsidTr="000D2D99">
        <w:trPr>
          <w:cantSplit/>
          <w:trHeight w:hRule="exact" w:val="504"/>
        </w:trPr>
        <w:tc>
          <w:tcPr>
            <w:tcW w:w="5166" w:type="dxa"/>
          </w:tcPr>
          <w:p w14:paraId="73DF1B74" w14:textId="76BC895C" w:rsidR="00E537D1" w:rsidRPr="00034A4A" w:rsidRDefault="00E537D1" w:rsidP="008769F4">
            <w:pPr>
              <w:pStyle w:val="ListParagraph"/>
              <w:numPr>
                <w:ilvl w:val="0"/>
                <w:numId w:val="13"/>
              </w:numPr>
              <w:spacing w:after="120" w:line="259" w:lineRule="auto"/>
              <w:contextualSpacing w:val="0"/>
              <w:jc w:val="both"/>
              <w:rPr>
                <w:rFonts w:ascii="Sylfaen" w:hAnsi="Sylfaen"/>
                <w:sz w:val="18"/>
              </w:rPr>
            </w:pPr>
            <w:r w:rsidRPr="00034A4A">
              <w:rPr>
                <w:rFonts w:ascii="Sylfaen" w:hAnsi="Sylfaen"/>
                <w:sz w:val="18"/>
              </w:rPr>
              <w:t>Food products account</w:t>
            </w:r>
            <w:r w:rsidR="00F964EB" w:rsidRPr="00034A4A">
              <w:rPr>
                <w:rFonts w:ascii="Sylfaen" w:hAnsi="Sylfaen"/>
                <w:sz w:val="18"/>
              </w:rPr>
              <w:t>ed</w:t>
            </w:r>
            <w:r w:rsidRPr="00034A4A">
              <w:rPr>
                <w:rFonts w:ascii="Sylfaen" w:hAnsi="Sylfaen"/>
                <w:sz w:val="18"/>
              </w:rPr>
              <w:t xml:space="preserve"> for </w:t>
            </w:r>
            <w:r w:rsidR="00F964EB" w:rsidRPr="00034A4A">
              <w:rPr>
                <w:rFonts w:ascii="Sylfaen" w:hAnsi="Sylfaen"/>
                <w:sz w:val="18"/>
              </w:rPr>
              <w:t>about 20</w:t>
            </w:r>
            <w:r w:rsidRPr="00034A4A">
              <w:rPr>
                <w:rFonts w:ascii="Sylfaen" w:hAnsi="Sylfaen"/>
                <w:sz w:val="18"/>
              </w:rPr>
              <w:t>% of Iraqi imports</w:t>
            </w:r>
            <w:r w:rsidR="00F964EB" w:rsidRPr="00034A4A">
              <w:rPr>
                <w:rFonts w:ascii="Sylfaen" w:hAnsi="Sylfaen"/>
                <w:sz w:val="18"/>
              </w:rPr>
              <w:t xml:space="preserve"> in 2016</w:t>
            </w:r>
            <w:r w:rsidRPr="00034A4A">
              <w:rPr>
                <w:rFonts w:ascii="Sylfaen" w:hAnsi="Sylfaen"/>
                <w:sz w:val="18"/>
              </w:rPr>
              <w:t>.</w:t>
            </w:r>
          </w:p>
        </w:tc>
        <w:tc>
          <w:tcPr>
            <w:tcW w:w="4663" w:type="dxa"/>
            <w:tcBorders>
              <w:bottom w:val="single" w:sz="4" w:space="0" w:color="auto"/>
            </w:tcBorders>
          </w:tcPr>
          <w:p w14:paraId="512D39E2" w14:textId="3102A41C" w:rsidR="00E537D1" w:rsidRPr="00034A4A" w:rsidRDefault="00E537D1" w:rsidP="008769F4">
            <w:pPr>
              <w:pStyle w:val="ListParagraph"/>
              <w:numPr>
                <w:ilvl w:val="0"/>
                <w:numId w:val="13"/>
              </w:numPr>
              <w:spacing w:after="120" w:line="259" w:lineRule="auto"/>
              <w:contextualSpacing w:val="0"/>
              <w:jc w:val="both"/>
              <w:rPr>
                <w:rFonts w:ascii="Sylfaen" w:hAnsi="Sylfaen"/>
                <w:sz w:val="18"/>
              </w:rPr>
            </w:pPr>
            <w:r w:rsidRPr="00034A4A">
              <w:rPr>
                <w:rFonts w:ascii="Sylfaen" w:hAnsi="Sylfaen"/>
                <w:sz w:val="18"/>
              </w:rPr>
              <w:t>Iraq import</w:t>
            </w:r>
            <w:r w:rsidR="00F964EB" w:rsidRPr="00034A4A">
              <w:rPr>
                <w:rFonts w:ascii="Sylfaen" w:hAnsi="Sylfaen"/>
                <w:sz w:val="18"/>
              </w:rPr>
              <w:t>s</w:t>
            </w:r>
            <w:r w:rsidRPr="00034A4A">
              <w:rPr>
                <w:rFonts w:ascii="Sylfaen" w:hAnsi="Sylfaen"/>
                <w:sz w:val="18"/>
              </w:rPr>
              <w:t xml:space="preserve"> and produce</w:t>
            </w:r>
            <w:r w:rsidR="00F964EB" w:rsidRPr="00034A4A">
              <w:rPr>
                <w:rFonts w:ascii="Sylfaen" w:hAnsi="Sylfaen"/>
                <w:sz w:val="18"/>
              </w:rPr>
              <w:t>s</w:t>
            </w:r>
            <w:r w:rsidRPr="00034A4A">
              <w:rPr>
                <w:rFonts w:ascii="Sylfaen" w:hAnsi="Sylfaen"/>
                <w:sz w:val="18"/>
              </w:rPr>
              <w:t xml:space="preserve"> the same quantity of cereals.</w:t>
            </w:r>
          </w:p>
        </w:tc>
      </w:tr>
      <w:tr w:rsidR="00E537D1" w:rsidRPr="00034A4A" w14:paraId="7AA7EA02" w14:textId="77777777" w:rsidTr="00FB12CD">
        <w:trPr>
          <w:cantSplit/>
          <w:trHeight w:hRule="exact" w:val="3160"/>
        </w:trPr>
        <w:tc>
          <w:tcPr>
            <w:tcW w:w="5166" w:type="dxa"/>
            <w:tcBorders>
              <w:right w:val="single" w:sz="4" w:space="0" w:color="auto"/>
            </w:tcBorders>
          </w:tcPr>
          <w:p w14:paraId="13C44A60" w14:textId="4B35019A" w:rsidR="00E537D1" w:rsidRPr="00034A4A" w:rsidRDefault="00F964EB" w:rsidP="008769F4">
            <w:pPr>
              <w:spacing w:after="120" w:line="259" w:lineRule="auto"/>
              <w:jc w:val="both"/>
              <w:rPr>
                <w:rFonts w:ascii="Sylfaen" w:hAnsi="Sylfaen"/>
                <w:b/>
              </w:rPr>
            </w:pPr>
            <w:r w:rsidRPr="00034A4A">
              <w:rPr>
                <w:rFonts w:ascii="Sylfaen" w:hAnsi="Sylfaen"/>
                <w:b/>
                <w:noProof/>
              </w:rPr>
              <w:drawing>
                <wp:inline distT="0" distB="0" distL="0" distR="0" wp14:anchorId="1A944F31" wp14:editId="4B7CE9C6">
                  <wp:extent cx="3162300" cy="1933575"/>
                  <wp:effectExtent l="0" t="0" r="0" b="9525"/>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What did Iraq import in 2016.png"/>
                          <pic:cNvPicPr/>
                        </pic:nvPicPr>
                        <pic:blipFill rotWithShape="1">
                          <a:blip r:embed="rId12" cstate="print">
                            <a:extLst>
                              <a:ext uri="{28A0092B-C50C-407E-A947-70E740481C1C}">
                                <a14:useLocalDpi xmlns:a14="http://schemas.microsoft.com/office/drawing/2010/main" val="0"/>
                              </a:ext>
                            </a:extLst>
                          </a:blip>
                          <a:srcRect l="10096" t="5249" r="6890" b="11062"/>
                          <a:stretch/>
                        </pic:blipFill>
                        <pic:spPr bwMode="auto">
                          <a:xfrm>
                            <a:off x="0" y="0"/>
                            <a:ext cx="3163189" cy="1934119"/>
                          </a:xfrm>
                          <a:prstGeom prst="rect">
                            <a:avLst/>
                          </a:prstGeom>
                          <a:ln>
                            <a:noFill/>
                          </a:ln>
                          <a:extLst>
                            <a:ext uri="{53640926-AAD7-44D8-BBD7-CCE9431645EC}">
                              <a14:shadowObscured xmlns:a14="http://schemas.microsoft.com/office/drawing/2010/main"/>
                            </a:ext>
                          </a:extLst>
                        </pic:spPr>
                      </pic:pic>
                    </a:graphicData>
                  </a:graphic>
                </wp:inline>
              </w:drawing>
            </w:r>
          </w:p>
        </w:tc>
        <w:tc>
          <w:tcPr>
            <w:tcW w:w="4663" w:type="dxa"/>
            <w:tcBorders>
              <w:top w:val="single" w:sz="4" w:space="0" w:color="auto"/>
              <w:left w:val="single" w:sz="4" w:space="0" w:color="auto"/>
              <w:bottom w:val="single" w:sz="4" w:space="0" w:color="auto"/>
              <w:right w:val="single" w:sz="4" w:space="0" w:color="auto"/>
            </w:tcBorders>
          </w:tcPr>
          <w:p w14:paraId="6C661353" w14:textId="77777777" w:rsidR="00E537D1" w:rsidRPr="00034A4A" w:rsidRDefault="00E537D1" w:rsidP="008769F4">
            <w:pPr>
              <w:spacing w:after="120" w:line="259" w:lineRule="auto"/>
              <w:jc w:val="both"/>
              <w:rPr>
                <w:rFonts w:ascii="Sylfaen" w:hAnsi="Sylfaen"/>
                <w:b/>
              </w:rPr>
            </w:pPr>
            <w:r w:rsidRPr="00034A4A">
              <w:rPr>
                <w:rFonts w:ascii="Sylfaen" w:hAnsi="Sylfaen"/>
                <w:b/>
                <w:noProof/>
              </w:rPr>
              <w:drawing>
                <wp:inline distT="0" distB="0" distL="0" distR="0" wp14:anchorId="2F52358D" wp14:editId="0F146695">
                  <wp:extent cx="2639060" cy="1990725"/>
                  <wp:effectExtent l="0" t="0" r="889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30037D0" w14:textId="77777777" w:rsidR="00E537D1" w:rsidRPr="00034A4A" w:rsidRDefault="00E537D1" w:rsidP="008769F4">
            <w:pPr>
              <w:spacing w:after="120" w:line="259" w:lineRule="auto"/>
              <w:jc w:val="both"/>
              <w:rPr>
                <w:rFonts w:ascii="Sylfaen" w:hAnsi="Sylfaen"/>
              </w:rPr>
            </w:pPr>
          </w:p>
          <w:p w14:paraId="5A69E653" w14:textId="77777777" w:rsidR="00E537D1" w:rsidRPr="00034A4A" w:rsidRDefault="00E537D1" w:rsidP="008769F4">
            <w:pPr>
              <w:spacing w:after="120" w:line="259" w:lineRule="auto"/>
              <w:jc w:val="both"/>
              <w:rPr>
                <w:rFonts w:ascii="Sylfaen" w:hAnsi="Sylfaen"/>
              </w:rPr>
            </w:pPr>
          </w:p>
          <w:p w14:paraId="2BB5EE19" w14:textId="77777777" w:rsidR="00E537D1" w:rsidRPr="00034A4A" w:rsidRDefault="00E537D1" w:rsidP="008769F4">
            <w:pPr>
              <w:spacing w:after="120" w:line="259" w:lineRule="auto"/>
              <w:jc w:val="both"/>
              <w:rPr>
                <w:rFonts w:ascii="Sylfaen" w:hAnsi="Sylfaen"/>
              </w:rPr>
            </w:pPr>
          </w:p>
          <w:p w14:paraId="7D7BF6CA" w14:textId="77777777" w:rsidR="00E537D1" w:rsidRPr="00034A4A" w:rsidRDefault="00E537D1" w:rsidP="008769F4">
            <w:pPr>
              <w:spacing w:after="120" w:line="259" w:lineRule="auto"/>
              <w:jc w:val="both"/>
              <w:rPr>
                <w:rFonts w:ascii="Sylfaen" w:hAnsi="Sylfaen"/>
              </w:rPr>
            </w:pPr>
          </w:p>
          <w:p w14:paraId="17B7AF0D" w14:textId="77777777" w:rsidR="00E537D1" w:rsidRPr="00034A4A" w:rsidRDefault="00E537D1" w:rsidP="008769F4">
            <w:pPr>
              <w:spacing w:after="120" w:line="259" w:lineRule="auto"/>
              <w:jc w:val="both"/>
              <w:rPr>
                <w:rFonts w:ascii="Sylfaen" w:hAnsi="Sylfaen"/>
              </w:rPr>
            </w:pPr>
          </w:p>
          <w:p w14:paraId="7CC34F60" w14:textId="77777777" w:rsidR="00E537D1" w:rsidRPr="00034A4A" w:rsidRDefault="00E537D1" w:rsidP="008769F4">
            <w:pPr>
              <w:spacing w:after="120" w:line="259" w:lineRule="auto"/>
              <w:jc w:val="both"/>
              <w:rPr>
                <w:rFonts w:ascii="Sylfaen" w:hAnsi="Sylfaen"/>
              </w:rPr>
            </w:pPr>
          </w:p>
          <w:p w14:paraId="6BC904EB" w14:textId="77777777" w:rsidR="00E537D1" w:rsidRPr="00034A4A" w:rsidRDefault="00E537D1" w:rsidP="008769F4">
            <w:pPr>
              <w:spacing w:after="120" w:line="259" w:lineRule="auto"/>
              <w:jc w:val="both"/>
              <w:rPr>
                <w:rFonts w:ascii="Sylfaen" w:hAnsi="Sylfaen"/>
              </w:rPr>
            </w:pPr>
          </w:p>
          <w:p w14:paraId="19CE8CB5" w14:textId="77777777" w:rsidR="00E537D1" w:rsidRPr="00034A4A" w:rsidRDefault="00E537D1" w:rsidP="008769F4">
            <w:pPr>
              <w:spacing w:after="120" w:line="259" w:lineRule="auto"/>
              <w:jc w:val="both"/>
              <w:rPr>
                <w:rFonts w:ascii="Sylfaen" w:hAnsi="Sylfaen"/>
              </w:rPr>
            </w:pPr>
          </w:p>
          <w:p w14:paraId="23F8AD6F" w14:textId="77777777" w:rsidR="00E537D1" w:rsidRPr="00034A4A" w:rsidRDefault="00E537D1" w:rsidP="008769F4">
            <w:pPr>
              <w:spacing w:after="120" w:line="259" w:lineRule="auto"/>
              <w:jc w:val="both"/>
              <w:rPr>
                <w:rFonts w:ascii="Sylfaen" w:hAnsi="Sylfaen"/>
              </w:rPr>
            </w:pPr>
          </w:p>
          <w:p w14:paraId="16223F36" w14:textId="77777777" w:rsidR="00E537D1" w:rsidRPr="00034A4A" w:rsidRDefault="00E537D1" w:rsidP="008769F4">
            <w:pPr>
              <w:spacing w:after="120" w:line="259" w:lineRule="auto"/>
              <w:jc w:val="both"/>
              <w:rPr>
                <w:rFonts w:ascii="Sylfaen" w:hAnsi="Sylfaen"/>
              </w:rPr>
            </w:pPr>
          </w:p>
          <w:p w14:paraId="3ADFC3D3" w14:textId="77777777" w:rsidR="00E537D1" w:rsidRPr="00034A4A" w:rsidRDefault="00E537D1" w:rsidP="008769F4">
            <w:pPr>
              <w:spacing w:after="120" w:line="259" w:lineRule="auto"/>
              <w:jc w:val="both"/>
              <w:rPr>
                <w:rFonts w:ascii="Sylfaen" w:hAnsi="Sylfaen"/>
              </w:rPr>
            </w:pPr>
          </w:p>
          <w:p w14:paraId="35683AE3" w14:textId="77777777" w:rsidR="00E537D1" w:rsidRPr="00034A4A" w:rsidRDefault="00E537D1" w:rsidP="008769F4">
            <w:pPr>
              <w:tabs>
                <w:tab w:val="left" w:pos="1620"/>
              </w:tabs>
              <w:spacing w:after="120" w:line="259" w:lineRule="auto"/>
              <w:jc w:val="both"/>
              <w:rPr>
                <w:rFonts w:ascii="Sylfaen" w:hAnsi="Sylfaen"/>
              </w:rPr>
            </w:pPr>
            <w:r w:rsidRPr="00034A4A">
              <w:rPr>
                <w:rFonts w:ascii="Sylfaen" w:hAnsi="Sylfaen"/>
              </w:rPr>
              <w:tab/>
            </w:r>
          </w:p>
        </w:tc>
      </w:tr>
      <w:tr w:rsidR="00E537D1" w:rsidRPr="00034A4A" w14:paraId="12774BD6" w14:textId="77777777" w:rsidTr="000D2D99">
        <w:trPr>
          <w:cantSplit/>
          <w:trHeight w:hRule="exact" w:val="504"/>
        </w:trPr>
        <w:tc>
          <w:tcPr>
            <w:tcW w:w="5166" w:type="dxa"/>
          </w:tcPr>
          <w:p w14:paraId="16C93CE0" w14:textId="41FA4C42" w:rsidR="00E537D1" w:rsidRPr="00034A4A" w:rsidRDefault="00E537D1" w:rsidP="008769F4">
            <w:pPr>
              <w:pStyle w:val="ListParagraph"/>
              <w:numPr>
                <w:ilvl w:val="0"/>
                <w:numId w:val="13"/>
              </w:numPr>
              <w:spacing w:after="120" w:line="259" w:lineRule="auto"/>
              <w:contextualSpacing w:val="0"/>
              <w:jc w:val="both"/>
              <w:rPr>
                <w:rFonts w:ascii="Sylfaen" w:hAnsi="Sylfaen"/>
                <w:b/>
                <w:sz w:val="18"/>
              </w:rPr>
            </w:pPr>
            <w:r w:rsidRPr="00034A4A">
              <w:rPr>
                <w:rFonts w:ascii="Sylfaen" w:hAnsi="Sylfaen"/>
                <w:sz w:val="18"/>
              </w:rPr>
              <w:t xml:space="preserve">Agricultural growth dropped below MENA average during conflict but </w:t>
            </w:r>
            <w:r w:rsidR="003A1B7C" w:rsidRPr="00034A4A">
              <w:rPr>
                <w:rFonts w:ascii="Sylfaen" w:hAnsi="Sylfaen"/>
                <w:sz w:val="18"/>
              </w:rPr>
              <w:t>catch-up has begun.</w:t>
            </w:r>
          </w:p>
        </w:tc>
        <w:tc>
          <w:tcPr>
            <w:tcW w:w="4663" w:type="dxa"/>
            <w:tcBorders>
              <w:top w:val="single" w:sz="4" w:space="0" w:color="auto"/>
            </w:tcBorders>
          </w:tcPr>
          <w:p w14:paraId="41311173" w14:textId="13CFBA2C" w:rsidR="00E537D1" w:rsidRPr="00034A4A" w:rsidRDefault="00E537D1" w:rsidP="008769F4">
            <w:pPr>
              <w:pStyle w:val="ListParagraph"/>
              <w:numPr>
                <w:ilvl w:val="0"/>
                <w:numId w:val="13"/>
              </w:numPr>
              <w:spacing w:after="120" w:line="259" w:lineRule="auto"/>
              <w:contextualSpacing w:val="0"/>
              <w:jc w:val="both"/>
              <w:rPr>
                <w:rFonts w:ascii="Sylfaen" w:hAnsi="Sylfaen"/>
                <w:sz w:val="18"/>
              </w:rPr>
            </w:pPr>
            <w:r w:rsidRPr="00034A4A">
              <w:rPr>
                <w:rFonts w:ascii="Sylfaen" w:hAnsi="Sylfaen"/>
                <w:sz w:val="18"/>
              </w:rPr>
              <w:t>Potential for agricultural expansion – Iraq has a sizeable share of regional cropland</w:t>
            </w:r>
            <w:r w:rsidR="003A1B7C" w:rsidRPr="00034A4A">
              <w:rPr>
                <w:rFonts w:ascii="Sylfaen" w:hAnsi="Sylfaen"/>
                <w:sz w:val="18"/>
              </w:rPr>
              <w:t>.</w:t>
            </w:r>
          </w:p>
        </w:tc>
      </w:tr>
      <w:tr w:rsidR="00E537D1" w:rsidRPr="00034A4A" w14:paraId="447181A0" w14:textId="77777777" w:rsidTr="000D2D99">
        <w:trPr>
          <w:cantSplit/>
          <w:trHeight w:hRule="exact" w:val="3312"/>
        </w:trPr>
        <w:tc>
          <w:tcPr>
            <w:tcW w:w="5166" w:type="dxa"/>
          </w:tcPr>
          <w:p w14:paraId="05A5092B" w14:textId="77777777" w:rsidR="00E537D1" w:rsidRPr="00034A4A" w:rsidRDefault="00E537D1" w:rsidP="008769F4">
            <w:pPr>
              <w:spacing w:after="120" w:line="259" w:lineRule="auto"/>
              <w:jc w:val="both"/>
              <w:rPr>
                <w:rFonts w:ascii="Sylfaen" w:hAnsi="Sylfaen"/>
                <w:b/>
              </w:rPr>
            </w:pPr>
            <w:r w:rsidRPr="00034A4A">
              <w:rPr>
                <w:rFonts w:ascii="Sylfaen" w:hAnsi="Sylfaen"/>
                <w:b/>
                <w:noProof/>
              </w:rPr>
              <w:drawing>
                <wp:inline distT="0" distB="0" distL="0" distR="0" wp14:anchorId="32E15C0B" wp14:editId="0A94DC67">
                  <wp:extent cx="2970179" cy="2090420"/>
                  <wp:effectExtent l="38100" t="38100" r="40005" b="43180"/>
                  <wp:docPr id="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70179" cy="2090420"/>
                          </a:xfrm>
                          <a:prstGeom prst="rect">
                            <a:avLst/>
                          </a:prstGeom>
                          <a:noFill/>
                          <a:ln w="28575">
                            <a:solidFill>
                              <a:schemeClr val="bg1">
                                <a:lumMod val="75000"/>
                              </a:schemeClr>
                            </a:solidFill>
                          </a:ln>
                          <a:extLst/>
                        </pic:spPr>
                      </pic:pic>
                    </a:graphicData>
                  </a:graphic>
                </wp:inline>
              </w:drawing>
            </w:r>
          </w:p>
        </w:tc>
        <w:tc>
          <w:tcPr>
            <w:tcW w:w="4663" w:type="dxa"/>
          </w:tcPr>
          <w:p w14:paraId="275D617B" w14:textId="77777777" w:rsidR="00E537D1" w:rsidRPr="00034A4A" w:rsidRDefault="00E537D1" w:rsidP="008769F4">
            <w:pPr>
              <w:spacing w:after="120" w:line="259" w:lineRule="auto"/>
              <w:jc w:val="both"/>
              <w:rPr>
                <w:rFonts w:ascii="Sylfaen" w:hAnsi="Sylfaen"/>
                <w:b/>
              </w:rPr>
            </w:pPr>
            <w:r w:rsidRPr="00034A4A">
              <w:rPr>
                <w:rFonts w:ascii="Sylfaen" w:hAnsi="Sylfaen"/>
                <w:b/>
                <w:noProof/>
              </w:rPr>
              <w:drawing>
                <wp:inline distT="0" distB="0" distL="0" distR="0" wp14:anchorId="0BD81D0F" wp14:editId="7CDF806B">
                  <wp:extent cx="2824264" cy="2074550"/>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35847" cy="2083058"/>
                          </a:xfrm>
                          <a:prstGeom prst="rect">
                            <a:avLst/>
                          </a:prstGeom>
                          <a:noFill/>
                          <a:ln>
                            <a:noFill/>
                          </a:ln>
                        </pic:spPr>
                      </pic:pic>
                    </a:graphicData>
                  </a:graphic>
                </wp:inline>
              </w:drawing>
            </w:r>
          </w:p>
        </w:tc>
      </w:tr>
      <w:tr w:rsidR="00E537D1" w:rsidRPr="00034A4A" w14:paraId="06A73CAD" w14:textId="77777777" w:rsidTr="000D2D99">
        <w:trPr>
          <w:cantSplit/>
          <w:trHeight w:hRule="exact" w:val="504"/>
        </w:trPr>
        <w:tc>
          <w:tcPr>
            <w:tcW w:w="5166" w:type="dxa"/>
          </w:tcPr>
          <w:p w14:paraId="5186BE13" w14:textId="4FF54F80" w:rsidR="00E537D1" w:rsidRPr="00034A4A" w:rsidRDefault="00E537D1" w:rsidP="008769F4">
            <w:pPr>
              <w:pStyle w:val="ListParagraph"/>
              <w:numPr>
                <w:ilvl w:val="0"/>
                <w:numId w:val="13"/>
              </w:numPr>
              <w:spacing w:after="120" w:line="259" w:lineRule="auto"/>
              <w:contextualSpacing w:val="0"/>
              <w:jc w:val="both"/>
              <w:rPr>
                <w:rFonts w:ascii="Sylfaen" w:hAnsi="Sylfaen"/>
                <w:sz w:val="18"/>
              </w:rPr>
            </w:pPr>
            <w:r w:rsidRPr="00034A4A">
              <w:rPr>
                <w:rFonts w:ascii="Sylfaen" w:hAnsi="Sylfaen"/>
                <w:sz w:val="18"/>
              </w:rPr>
              <w:t xml:space="preserve">Potential for agricultural expansion </w:t>
            </w:r>
            <w:r w:rsidR="003A1B7C" w:rsidRPr="00034A4A">
              <w:rPr>
                <w:rFonts w:ascii="Sylfaen" w:hAnsi="Sylfaen"/>
                <w:sz w:val="18"/>
              </w:rPr>
              <w:t xml:space="preserve">– </w:t>
            </w:r>
            <w:r w:rsidRPr="00034A4A">
              <w:rPr>
                <w:rFonts w:ascii="Sylfaen" w:hAnsi="Sylfaen"/>
                <w:sz w:val="18"/>
              </w:rPr>
              <w:t>Iraq has more agricultural land equipped for irrigation than MENA</w:t>
            </w:r>
            <w:r w:rsidR="003A1B7C" w:rsidRPr="00034A4A">
              <w:rPr>
                <w:rFonts w:ascii="Sylfaen" w:hAnsi="Sylfaen"/>
                <w:sz w:val="18"/>
              </w:rPr>
              <w:t>.</w:t>
            </w:r>
          </w:p>
        </w:tc>
        <w:tc>
          <w:tcPr>
            <w:tcW w:w="4663" w:type="dxa"/>
          </w:tcPr>
          <w:p w14:paraId="3936CEC5" w14:textId="0EA84731" w:rsidR="00E537D1" w:rsidRPr="00034A4A" w:rsidRDefault="003A1B7C" w:rsidP="008769F4">
            <w:pPr>
              <w:pStyle w:val="ListParagraph"/>
              <w:numPr>
                <w:ilvl w:val="0"/>
                <w:numId w:val="13"/>
              </w:numPr>
              <w:spacing w:after="120" w:line="259" w:lineRule="auto"/>
              <w:contextualSpacing w:val="0"/>
              <w:jc w:val="both"/>
              <w:rPr>
                <w:rFonts w:ascii="Sylfaen" w:hAnsi="Sylfaen"/>
                <w:sz w:val="18"/>
              </w:rPr>
            </w:pPr>
            <w:r w:rsidRPr="00034A4A">
              <w:rPr>
                <w:rFonts w:ascii="Sylfaen" w:hAnsi="Sylfaen"/>
                <w:sz w:val="18"/>
              </w:rPr>
              <w:t>The c</w:t>
            </w:r>
            <w:r w:rsidR="00E537D1" w:rsidRPr="00034A4A">
              <w:rPr>
                <w:rFonts w:ascii="Sylfaen" w:hAnsi="Sylfaen"/>
                <w:sz w:val="18"/>
              </w:rPr>
              <w:t>omparatively high share of labor indicates potential for job creation in agriculture</w:t>
            </w:r>
          </w:p>
        </w:tc>
      </w:tr>
      <w:tr w:rsidR="00E537D1" w:rsidRPr="00034A4A" w14:paraId="3DCCEA4D" w14:textId="77777777" w:rsidTr="00FB12CD">
        <w:trPr>
          <w:cantSplit/>
          <w:trHeight w:hRule="exact" w:val="3430"/>
        </w:trPr>
        <w:tc>
          <w:tcPr>
            <w:tcW w:w="5166" w:type="dxa"/>
          </w:tcPr>
          <w:p w14:paraId="58CF7BE8" w14:textId="77777777" w:rsidR="00E537D1" w:rsidRPr="00034A4A" w:rsidRDefault="00E537D1" w:rsidP="008769F4">
            <w:pPr>
              <w:spacing w:after="120" w:line="259" w:lineRule="auto"/>
              <w:jc w:val="both"/>
              <w:rPr>
                <w:rFonts w:ascii="Sylfaen" w:hAnsi="Sylfaen"/>
                <w:b/>
              </w:rPr>
            </w:pPr>
            <w:r w:rsidRPr="00034A4A">
              <w:rPr>
                <w:rFonts w:ascii="Sylfaen" w:hAnsi="Sylfaen"/>
                <w:b/>
                <w:noProof/>
              </w:rPr>
              <w:drawing>
                <wp:inline distT="0" distB="0" distL="0" distR="0" wp14:anchorId="254E7D03" wp14:editId="4F1EA48B">
                  <wp:extent cx="3112477" cy="2055495"/>
                  <wp:effectExtent l="19050" t="19050" r="12065" b="20955"/>
                  <wp:docPr id="13"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25123" cy="2063847"/>
                          </a:xfrm>
                          <a:prstGeom prst="rect">
                            <a:avLst/>
                          </a:prstGeom>
                          <a:noFill/>
                          <a:ln w="9525">
                            <a:solidFill>
                              <a:schemeClr val="bg1">
                                <a:lumMod val="85000"/>
                              </a:schemeClr>
                            </a:solidFill>
                          </a:ln>
                          <a:extLst/>
                        </pic:spPr>
                      </pic:pic>
                    </a:graphicData>
                  </a:graphic>
                </wp:inline>
              </w:drawing>
            </w:r>
          </w:p>
        </w:tc>
        <w:tc>
          <w:tcPr>
            <w:tcW w:w="4663" w:type="dxa"/>
          </w:tcPr>
          <w:p w14:paraId="2AD162ED" w14:textId="77777777" w:rsidR="00E537D1" w:rsidRPr="00034A4A" w:rsidRDefault="00E537D1" w:rsidP="008769F4">
            <w:pPr>
              <w:spacing w:after="120" w:line="259" w:lineRule="auto"/>
              <w:jc w:val="both"/>
              <w:rPr>
                <w:rFonts w:ascii="Sylfaen" w:hAnsi="Sylfaen"/>
                <w:b/>
              </w:rPr>
            </w:pPr>
            <w:r w:rsidRPr="00034A4A">
              <w:rPr>
                <w:rFonts w:ascii="Sylfaen" w:hAnsi="Sylfaen"/>
                <w:b/>
                <w:noProof/>
              </w:rPr>
              <w:drawing>
                <wp:inline distT="0" distB="0" distL="0" distR="0" wp14:anchorId="659B5B22" wp14:editId="1404241C">
                  <wp:extent cx="2756392" cy="2068195"/>
                  <wp:effectExtent l="19050" t="19050" r="25400" b="27305"/>
                  <wp:docPr id="6"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77990" cy="2084400"/>
                          </a:xfrm>
                          <a:prstGeom prst="rect">
                            <a:avLst/>
                          </a:prstGeom>
                          <a:noFill/>
                          <a:ln w="19050">
                            <a:solidFill>
                              <a:schemeClr val="bg1">
                                <a:lumMod val="75000"/>
                              </a:schemeClr>
                            </a:solidFill>
                          </a:ln>
                          <a:extLst/>
                        </pic:spPr>
                      </pic:pic>
                    </a:graphicData>
                  </a:graphic>
                </wp:inline>
              </w:drawing>
            </w:r>
          </w:p>
        </w:tc>
      </w:tr>
      <w:tr w:rsidR="003241C0" w:rsidRPr="00034A4A" w14:paraId="3C84E9D3" w14:textId="77777777" w:rsidTr="00F045C1">
        <w:trPr>
          <w:cantSplit/>
          <w:trHeight w:hRule="exact" w:val="460"/>
        </w:trPr>
        <w:tc>
          <w:tcPr>
            <w:tcW w:w="9829" w:type="dxa"/>
            <w:gridSpan w:val="2"/>
            <w:shd w:val="clear" w:color="auto" w:fill="auto"/>
          </w:tcPr>
          <w:p w14:paraId="7B065201" w14:textId="7830C5EA" w:rsidR="003241C0" w:rsidRPr="00034A4A" w:rsidRDefault="00513372" w:rsidP="008769F4">
            <w:pPr>
              <w:spacing w:after="120" w:line="259" w:lineRule="auto"/>
              <w:jc w:val="both"/>
              <w:rPr>
                <w:rFonts w:ascii="Sylfaen" w:hAnsi="Sylfaen"/>
                <w:noProof/>
                <w:sz w:val="20"/>
                <w:szCs w:val="20"/>
              </w:rPr>
            </w:pPr>
            <w:r w:rsidRPr="00034A4A">
              <w:rPr>
                <w:rFonts w:ascii="Sylfaen" w:hAnsi="Sylfaen"/>
                <w:noProof/>
                <w:sz w:val="20"/>
                <w:szCs w:val="20"/>
              </w:rPr>
              <w:t xml:space="preserve">Source: </w:t>
            </w:r>
            <w:r w:rsidR="00F964EB" w:rsidRPr="00034A4A">
              <w:rPr>
                <w:rFonts w:ascii="Sylfaen" w:hAnsi="Sylfaen"/>
                <w:noProof/>
                <w:sz w:val="20"/>
                <w:szCs w:val="20"/>
              </w:rPr>
              <w:t xml:space="preserve">A – Harvard Atlas of Complexity; </w:t>
            </w:r>
            <w:r w:rsidRPr="00034A4A">
              <w:rPr>
                <w:rFonts w:ascii="Sylfaen" w:hAnsi="Sylfaen"/>
                <w:noProof/>
                <w:sz w:val="20"/>
                <w:szCs w:val="20"/>
              </w:rPr>
              <w:t>B – FAO; C-F – USDA International Agricultural Productivity database.</w:t>
            </w:r>
          </w:p>
        </w:tc>
      </w:tr>
    </w:tbl>
    <w:p w14:paraId="03121B94" w14:textId="77777777" w:rsidR="00E537D1" w:rsidRPr="00034A4A" w:rsidRDefault="00E537D1" w:rsidP="008769F4">
      <w:pPr>
        <w:spacing w:after="120"/>
        <w:jc w:val="both"/>
        <w:rPr>
          <w:rFonts w:ascii="Sylfaen" w:hAnsi="Sylfaen" w:cs="Univers-Light"/>
          <w:i/>
          <w:color w:val="0070C0"/>
          <w:sz w:val="24"/>
        </w:rPr>
      </w:pPr>
    </w:p>
    <w:p w14:paraId="022171B0" w14:textId="45CDCBD9" w:rsidR="003D630B" w:rsidRPr="00034A4A" w:rsidRDefault="003D630B" w:rsidP="008769F4">
      <w:pPr>
        <w:spacing w:after="120"/>
        <w:jc w:val="both"/>
        <w:rPr>
          <w:rFonts w:ascii="Sylfaen" w:hAnsi="Sylfaen" w:cs="Times New Roman"/>
          <w:color w:val="0070C0"/>
        </w:rPr>
      </w:pPr>
      <w:r w:rsidRPr="00034A4A">
        <w:rPr>
          <w:rFonts w:ascii="Sylfaen" w:hAnsi="Sylfaen" w:cs="Times New Roman"/>
          <w:color w:val="0070C0"/>
        </w:rPr>
        <w:t>There is potential for a recovery in agriculture</w:t>
      </w:r>
    </w:p>
    <w:p w14:paraId="71D2088A" w14:textId="4DA88D9A" w:rsidR="003D630B" w:rsidRPr="00034A4A" w:rsidRDefault="003D630B" w:rsidP="008769F4">
      <w:pPr>
        <w:spacing w:after="120"/>
        <w:jc w:val="both"/>
        <w:rPr>
          <w:rFonts w:ascii="Sylfaen" w:hAnsi="Sylfaen" w:cs="Times New Roman"/>
        </w:rPr>
      </w:pPr>
      <w:r w:rsidRPr="00034A4A">
        <w:rPr>
          <w:rFonts w:ascii="Sylfaen" w:hAnsi="Sylfaen" w:cs="Times New Roman"/>
          <w:b/>
        </w:rPr>
        <w:t>By regional comparison, Iraq has an abundance of land potentially available for production.</w:t>
      </w:r>
      <w:r w:rsidR="00FD13A8">
        <w:rPr>
          <w:rFonts w:ascii="Sylfaen" w:hAnsi="Sylfaen" w:cs="Times New Roman"/>
        </w:rPr>
        <w:t xml:space="preserve"> Only about 22 percent, or</w:t>
      </w:r>
      <w:r w:rsidRPr="00034A4A">
        <w:rPr>
          <w:rFonts w:ascii="Sylfaen" w:hAnsi="Sylfaen" w:cs="Times New Roman"/>
        </w:rPr>
        <w:t xml:space="preserve"> 9.5 million hectares</w:t>
      </w:r>
      <w:r w:rsidR="00FD13A8">
        <w:rPr>
          <w:rFonts w:ascii="Sylfaen" w:hAnsi="Sylfaen" w:cs="Times New Roman"/>
        </w:rPr>
        <w:t>,</w:t>
      </w:r>
      <w:r w:rsidRPr="00034A4A">
        <w:rPr>
          <w:rFonts w:ascii="Sylfaen" w:hAnsi="Sylfaen" w:cs="Times New Roman"/>
        </w:rPr>
        <w:t xml:space="preserve"> of Iraq’s land area is arable land suitable for agriculture. However, relative to other </w:t>
      </w:r>
      <w:r w:rsidR="00FD13A8">
        <w:rPr>
          <w:rFonts w:ascii="Sylfaen" w:hAnsi="Sylfaen" w:cs="Times New Roman"/>
        </w:rPr>
        <w:t xml:space="preserve">Middle Eastern and North African </w:t>
      </w:r>
      <w:r w:rsidRPr="00034A4A">
        <w:rPr>
          <w:rFonts w:ascii="Sylfaen" w:hAnsi="Sylfaen" w:cs="Times New Roman"/>
        </w:rPr>
        <w:t xml:space="preserve">countries, this represents a sizeable </w:t>
      </w:r>
      <w:r w:rsidR="00F37534" w:rsidRPr="00034A4A">
        <w:rPr>
          <w:rFonts w:ascii="Sylfaen" w:hAnsi="Sylfaen" w:cs="Times New Roman"/>
        </w:rPr>
        <w:t xml:space="preserve">acreage </w:t>
      </w:r>
      <w:r w:rsidRPr="00034A4A">
        <w:rPr>
          <w:rFonts w:ascii="Sylfaen" w:hAnsi="Sylfaen" w:cs="Times New Roman"/>
        </w:rPr>
        <w:t xml:space="preserve">– and with only five million hectares currently cultivated (mostly on small farming units), there is a large potential in principle </w:t>
      </w:r>
      <w:r w:rsidR="00FD13A8">
        <w:rPr>
          <w:rFonts w:ascii="Sylfaen" w:hAnsi="Sylfaen" w:cs="Times New Roman"/>
        </w:rPr>
        <w:t xml:space="preserve">to expand </w:t>
      </w:r>
      <w:r w:rsidRPr="00034A4A">
        <w:rPr>
          <w:rFonts w:ascii="Sylfaen" w:hAnsi="Sylfaen" w:cs="Times New Roman"/>
        </w:rPr>
        <w:t>tillage (Figure 2D</w:t>
      </w:r>
      <w:r w:rsidR="00F37534" w:rsidRPr="00034A4A">
        <w:rPr>
          <w:rFonts w:ascii="Sylfaen" w:hAnsi="Sylfaen" w:cs="Times New Roman"/>
        </w:rPr>
        <w:t>; see also</w:t>
      </w:r>
      <w:r w:rsidRPr="00034A4A">
        <w:rPr>
          <w:rFonts w:ascii="Sylfaen" w:hAnsi="Sylfaen" w:cs="Times New Roman"/>
        </w:rPr>
        <w:t xml:space="preserve"> </w:t>
      </w:r>
      <w:r w:rsidR="00D832DE" w:rsidRPr="00034A4A">
        <w:rPr>
          <w:rFonts w:ascii="Sylfaen" w:hAnsi="Sylfaen" w:cs="Times New Roman"/>
          <w:i/>
        </w:rPr>
        <w:t xml:space="preserve">Vision </w:t>
      </w:r>
      <w:r w:rsidRPr="00034A4A">
        <w:rPr>
          <w:rFonts w:ascii="Sylfaen" w:hAnsi="Sylfaen" w:cs="Times New Roman"/>
        </w:rPr>
        <w:t xml:space="preserve">Agriculture Note). Similarly, in Iraq, 60 percent of tilled land is irrigated, relative to an average of about 30 percent in </w:t>
      </w:r>
      <w:r w:rsidR="00FD13A8">
        <w:rPr>
          <w:rFonts w:ascii="Sylfaen" w:hAnsi="Sylfaen" w:cs="Times New Roman"/>
        </w:rPr>
        <w:t xml:space="preserve">the </w:t>
      </w:r>
      <w:r w:rsidR="00FD13A8">
        <w:rPr>
          <w:rFonts w:ascii="Sylfaen" w:hAnsi="Sylfaen" w:cs="Times New Roman"/>
        </w:rPr>
        <w:t>Middle East and North Africa</w:t>
      </w:r>
      <w:r w:rsidR="00F37534" w:rsidRPr="00034A4A">
        <w:rPr>
          <w:rFonts w:ascii="Sylfaen" w:hAnsi="Sylfaen" w:cs="Times New Roman"/>
        </w:rPr>
        <w:t>,</w:t>
      </w:r>
      <w:r w:rsidRPr="00034A4A">
        <w:rPr>
          <w:rFonts w:ascii="Sylfaen" w:hAnsi="Sylfaen" w:cs="Times New Roman"/>
        </w:rPr>
        <w:t xml:space="preserve"> although the scarcity of water and salinity have emerged as important constraints to agricultural expansion in the short-term (Figures 2 D and E).</w:t>
      </w:r>
    </w:p>
    <w:p w14:paraId="219E9344" w14:textId="30DC811B" w:rsidR="003D630B" w:rsidRPr="00034A4A" w:rsidRDefault="006C616C" w:rsidP="008769F4">
      <w:pPr>
        <w:autoSpaceDE w:val="0"/>
        <w:autoSpaceDN w:val="0"/>
        <w:adjustRightInd w:val="0"/>
        <w:spacing w:after="120"/>
        <w:jc w:val="both"/>
        <w:rPr>
          <w:rFonts w:ascii="Sylfaen" w:hAnsi="Sylfaen" w:cs="Times New Roman"/>
        </w:rPr>
      </w:pPr>
      <w:r w:rsidRPr="00034A4A">
        <w:rPr>
          <w:rFonts w:ascii="Sylfaen" w:hAnsi="Sylfaen" w:cs="Times New Roman"/>
          <w:b/>
        </w:rPr>
        <w:t>There is potential for diversified production.</w:t>
      </w:r>
      <w:r w:rsidRPr="00034A4A">
        <w:rPr>
          <w:rFonts w:ascii="Sylfaen" w:hAnsi="Sylfaen" w:cs="Times New Roman"/>
        </w:rPr>
        <w:t xml:space="preserve"> </w:t>
      </w:r>
      <w:r w:rsidR="003D630B" w:rsidRPr="00034A4A">
        <w:rPr>
          <w:rFonts w:ascii="Sylfaen" w:hAnsi="Sylfaen" w:cs="Times New Roman"/>
        </w:rPr>
        <w:t>Unlike other sectors of the Iraqi economy, agricultur</w:t>
      </w:r>
      <w:r w:rsidR="00F37534" w:rsidRPr="00034A4A">
        <w:rPr>
          <w:rFonts w:ascii="Sylfaen" w:hAnsi="Sylfaen" w:cs="Times New Roman"/>
        </w:rPr>
        <w:t>e remains somewhat diversified,</w:t>
      </w:r>
      <w:r w:rsidR="003D630B" w:rsidRPr="00034A4A">
        <w:rPr>
          <w:rFonts w:ascii="Sylfaen" w:hAnsi="Sylfaen" w:cs="Times New Roman"/>
        </w:rPr>
        <w:t xml:space="preserve"> and was more diversified in the past. About half of the cereals consumed are produced domestically</w:t>
      </w:r>
      <w:r w:rsidR="00D832DE" w:rsidRPr="00034A4A">
        <w:rPr>
          <w:rFonts w:ascii="Sylfaen" w:hAnsi="Sylfaen" w:cs="Times New Roman"/>
        </w:rPr>
        <w:t xml:space="preserve"> (Figure 2B)</w:t>
      </w:r>
      <w:r w:rsidR="0024557D">
        <w:rPr>
          <w:rFonts w:ascii="Sylfaen" w:hAnsi="Sylfaen" w:cs="Times New Roman"/>
        </w:rPr>
        <w:t>.</w:t>
      </w:r>
      <w:r w:rsidR="00F37534" w:rsidRPr="00034A4A">
        <w:rPr>
          <w:rFonts w:ascii="Sylfaen" w:hAnsi="Sylfaen" w:cs="Times New Roman"/>
        </w:rPr>
        <w:t xml:space="preserve"> </w:t>
      </w:r>
      <w:r w:rsidR="0024557D">
        <w:rPr>
          <w:rFonts w:ascii="Sylfaen" w:hAnsi="Sylfaen" w:cs="Times New Roman"/>
        </w:rPr>
        <w:t xml:space="preserve">The country </w:t>
      </w:r>
      <w:r w:rsidR="00F37534" w:rsidRPr="00034A4A">
        <w:rPr>
          <w:rFonts w:ascii="Sylfaen" w:hAnsi="Sylfaen" w:cs="Times New Roman"/>
        </w:rPr>
        <w:t xml:space="preserve">also </w:t>
      </w:r>
      <w:r w:rsidR="003D630B" w:rsidRPr="00034A4A">
        <w:rPr>
          <w:rFonts w:ascii="Sylfaen" w:hAnsi="Sylfaen" w:cs="Times New Roman"/>
        </w:rPr>
        <w:t xml:space="preserve">produces </w:t>
      </w:r>
      <w:r w:rsidR="003A1B7C" w:rsidRPr="00034A4A">
        <w:rPr>
          <w:rFonts w:ascii="Sylfaen" w:hAnsi="Sylfaen" w:cs="Times New Roman"/>
        </w:rPr>
        <w:t xml:space="preserve">vegetables, </w:t>
      </w:r>
      <w:r w:rsidR="003D630B" w:rsidRPr="00034A4A">
        <w:rPr>
          <w:rFonts w:ascii="Sylfaen" w:hAnsi="Sylfaen" w:cs="Times New Roman"/>
        </w:rPr>
        <w:t xml:space="preserve">dates, figs, </w:t>
      </w:r>
      <w:r w:rsidR="003A1B7C" w:rsidRPr="00034A4A">
        <w:rPr>
          <w:rFonts w:ascii="Sylfaen" w:hAnsi="Sylfaen" w:cs="Times New Roman"/>
        </w:rPr>
        <w:t xml:space="preserve">as well as grapes, </w:t>
      </w:r>
      <w:r w:rsidR="003D630B" w:rsidRPr="00034A4A">
        <w:rPr>
          <w:rFonts w:ascii="Sylfaen" w:hAnsi="Sylfaen" w:cs="Times New Roman"/>
        </w:rPr>
        <w:t>raisins</w:t>
      </w:r>
      <w:r w:rsidR="003A1B7C" w:rsidRPr="00034A4A">
        <w:rPr>
          <w:rFonts w:ascii="Sylfaen" w:hAnsi="Sylfaen" w:cs="Times New Roman"/>
        </w:rPr>
        <w:t>, and other dried fruit</w:t>
      </w:r>
      <w:r w:rsidR="003D630B" w:rsidRPr="00034A4A">
        <w:rPr>
          <w:rFonts w:ascii="Sylfaen" w:hAnsi="Sylfaen" w:cs="Times New Roman"/>
        </w:rPr>
        <w:t>. Indeed, dates are the one export item that registers</w:t>
      </w:r>
      <w:r w:rsidR="00F626FA" w:rsidRPr="00034A4A">
        <w:rPr>
          <w:rFonts w:ascii="Sylfaen" w:hAnsi="Sylfaen" w:cs="Times New Roman"/>
        </w:rPr>
        <w:t xml:space="preserve"> next to oil and precious metals</w:t>
      </w:r>
      <w:r w:rsidR="003D630B" w:rsidRPr="00034A4A">
        <w:rPr>
          <w:rFonts w:ascii="Sylfaen" w:hAnsi="Sylfaen" w:cs="Times New Roman"/>
        </w:rPr>
        <w:t xml:space="preserve">. </w:t>
      </w:r>
      <w:r w:rsidR="00F626FA" w:rsidRPr="00034A4A">
        <w:rPr>
          <w:rFonts w:ascii="Sylfaen" w:hAnsi="Sylfaen" w:cs="Times New Roman"/>
        </w:rPr>
        <w:t xml:space="preserve">Date </w:t>
      </w:r>
      <w:r w:rsidR="003D630B" w:rsidRPr="00034A4A">
        <w:rPr>
          <w:rFonts w:ascii="Sylfaen" w:hAnsi="Sylfaen" w:cs="Times New Roman"/>
        </w:rPr>
        <w:t xml:space="preserve">cultivation and processing is labor-intensive. </w:t>
      </w:r>
      <w:r w:rsidR="003A1B7C" w:rsidRPr="00034A4A">
        <w:rPr>
          <w:rFonts w:ascii="Sylfaen" w:hAnsi="Sylfaen" w:cs="Times New Roman"/>
        </w:rPr>
        <w:t>In addition, f</w:t>
      </w:r>
      <w:r w:rsidR="003D630B" w:rsidRPr="00034A4A">
        <w:rPr>
          <w:rFonts w:ascii="Sylfaen" w:hAnsi="Sylfaen" w:cs="Times New Roman"/>
        </w:rPr>
        <w:t xml:space="preserve">isheries </w:t>
      </w:r>
      <w:r w:rsidR="00F626FA" w:rsidRPr="00034A4A">
        <w:rPr>
          <w:rFonts w:ascii="Sylfaen" w:hAnsi="Sylfaen" w:cs="Times New Roman"/>
        </w:rPr>
        <w:t xml:space="preserve">are </w:t>
      </w:r>
      <w:r w:rsidR="003D630B" w:rsidRPr="00034A4A">
        <w:rPr>
          <w:rFonts w:ascii="Sylfaen" w:hAnsi="Sylfaen" w:cs="Times New Roman"/>
        </w:rPr>
        <w:t>an important source of income for the rural population</w:t>
      </w:r>
      <w:r w:rsidR="0024557D">
        <w:rPr>
          <w:rFonts w:ascii="Sylfaen" w:hAnsi="Sylfaen" w:cs="Times New Roman"/>
        </w:rPr>
        <w:t>.</w:t>
      </w:r>
      <w:r w:rsidR="003D630B" w:rsidRPr="00034A4A">
        <w:rPr>
          <w:rFonts w:ascii="Sylfaen" w:hAnsi="Sylfaen" w:cs="Times New Roman"/>
        </w:rPr>
        <w:t xml:space="preserve"> Iraq </w:t>
      </w:r>
      <w:r w:rsidR="0024557D">
        <w:rPr>
          <w:rFonts w:ascii="Sylfaen" w:hAnsi="Sylfaen" w:cs="Times New Roman"/>
        </w:rPr>
        <w:t xml:space="preserve">also </w:t>
      </w:r>
      <w:r w:rsidR="003D630B" w:rsidRPr="00034A4A">
        <w:rPr>
          <w:rFonts w:ascii="Sylfaen" w:hAnsi="Sylfaen" w:cs="Times New Roman"/>
        </w:rPr>
        <w:t xml:space="preserve">raises a significant number of livestock including sheep and goats, cattle, camels, and buffaloes. </w:t>
      </w:r>
      <w:r w:rsidR="003A1B7C" w:rsidRPr="00034A4A">
        <w:rPr>
          <w:rFonts w:ascii="Sylfaen" w:hAnsi="Sylfaen" w:cs="Times New Roman"/>
        </w:rPr>
        <w:t>Indeed, w</w:t>
      </w:r>
      <w:r w:rsidR="003D630B" w:rsidRPr="00034A4A">
        <w:rPr>
          <w:rFonts w:ascii="Sylfaen" w:hAnsi="Sylfaen" w:cs="Times New Roman"/>
        </w:rPr>
        <w:t>hen Iraq was conflict-free, livestock production represented 30-40 percent of the total value of agricultural production and contributed significantly to household nutrition.</w:t>
      </w:r>
      <w:r w:rsidR="002804F0" w:rsidRPr="00034A4A">
        <w:rPr>
          <w:rFonts w:ascii="Sylfaen" w:hAnsi="Sylfaen" w:cs="Times New Roman"/>
        </w:rPr>
        <w:t xml:space="preserve"> It remains to be seen in which of these sectors Iraq may hold a comparative advantage in the medium term. Yet, in the short run, there clearly is a range of activities that can </w:t>
      </w:r>
      <w:r w:rsidR="00C817CA" w:rsidRPr="00034A4A">
        <w:rPr>
          <w:rFonts w:ascii="Sylfaen" w:hAnsi="Sylfaen" w:cs="Times New Roman"/>
        </w:rPr>
        <w:t xml:space="preserve">resume and </w:t>
      </w:r>
      <w:r w:rsidR="002804F0" w:rsidRPr="00034A4A">
        <w:rPr>
          <w:rFonts w:ascii="Sylfaen" w:hAnsi="Sylfaen" w:cs="Times New Roman"/>
        </w:rPr>
        <w:t>provide urgently needed jobs.</w:t>
      </w:r>
    </w:p>
    <w:p w14:paraId="7F3EDE9E" w14:textId="2DF4A0F0" w:rsidR="003D630B" w:rsidRPr="00034A4A" w:rsidRDefault="00F73E3B" w:rsidP="008769F4">
      <w:pPr>
        <w:spacing w:after="120"/>
        <w:jc w:val="both"/>
      </w:pPr>
      <w:r w:rsidRPr="00034A4A">
        <w:rPr>
          <w:rFonts w:ascii="Sylfaen" w:hAnsi="Sylfaen" w:cs="Times New Roman"/>
          <w:b/>
        </w:rPr>
        <w:t xml:space="preserve">With the right </w:t>
      </w:r>
      <w:r w:rsidR="000F29F9" w:rsidRPr="00034A4A">
        <w:rPr>
          <w:rFonts w:ascii="Sylfaen" w:hAnsi="Sylfaen" w:cs="Times New Roman"/>
          <w:b/>
        </w:rPr>
        <w:t>investments</w:t>
      </w:r>
      <w:r w:rsidRPr="00034A4A">
        <w:rPr>
          <w:rFonts w:ascii="Sylfaen" w:hAnsi="Sylfaen" w:cs="Times New Roman"/>
          <w:b/>
        </w:rPr>
        <w:t xml:space="preserve">, </w:t>
      </w:r>
      <w:r w:rsidR="00CE25C9" w:rsidRPr="00034A4A">
        <w:rPr>
          <w:rFonts w:ascii="Sylfaen" w:hAnsi="Sylfaen" w:cs="Times New Roman"/>
          <w:b/>
        </w:rPr>
        <w:t>vigorous domestic demand</w:t>
      </w:r>
      <w:r w:rsidRPr="00034A4A">
        <w:rPr>
          <w:rFonts w:ascii="Sylfaen" w:hAnsi="Sylfaen" w:cs="Times New Roman"/>
          <w:b/>
        </w:rPr>
        <w:t xml:space="preserve"> could fuel a successful recovery</w:t>
      </w:r>
      <w:r w:rsidR="00CE25C9" w:rsidRPr="00034A4A">
        <w:rPr>
          <w:rFonts w:ascii="Sylfaen" w:hAnsi="Sylfaen" w:cs="Times New Roman"/>
          <w:b/>
        </w:rPr>
        <w:t>.</w:t>
      </w:r>
      <w:r w:rsidR="00CE25C9" w:rsidRPr="00034A4A">
        <w:rPr>
          <w:rFonts w:ascii="Sylfaen" w:hAnsi="Sylfaen" w:cs="Times New Roman"/>
        </w:rPr>
        <w:t xml:space="preserve"> Despite poor access to markets, i</w:t>
      </w:r>
      <w:r w:rsidR="003D630B" w:rsidRPr="00034A4A">
        <w:rPr>
          <w:rFonts w:ascii="Sylfaen" w:hAnsi="Sylfaen" w:cs="Times New Roman"/>
        </w:rPr>
        <w:t>n areas of Iraq that have been relatively stable, agricultural growth has picked up</w:t>
      </w:r>
      <w:r w:rsidR="00CF3B8B" w:rsidRPr="00034A4A">
        <w:rPr>
          <w:rFonts w:ascii="Sylfaen" w:hAnsi="Sylfaen" w:cs="Times New Roman"/>
        </w:rPr>
        <w:t>,</w:t>
      </w:r>
      <w:r w:rsidR="003D630B" w:rsidRPr="00034A4A">
        <w:rPr>
          <w:rFonts w:ascii="Sylfaen" w:hAnsi="Sylfaen" w:cs="Times New Roman"/>
        </w:rPr>
        <w:t xml:space="preserve"> and catch-up growth rates have exceeded growth in </w:t>
      </w:r>
      <w:r w:rsidR="00260BF3">
        <w:rPr>
          <w:rFonts w:ascii="Sylfaen" w:hAnsi="Sylfaen" w:cs="Times New Roman"/>
        </w:rPr>
        <w:t xml:space="preserve">the </w:t>
      </w:r>
      <w:r w:rsidR="00260BF3">
        <w:rPr>
          <w:rFonts w:ascii="Sylfaen" w:hAnsi="Sylfaen" w:cs="Times New Roman"/>
        </w:rPr>
        <w:t>Middle East and North Afric</w:t>
      </w:r>
      <w:r w:rsidR="00260BF3">
        <w:rPr>
          <w:rFonts w:ascii="Sylfaen" w:hAnsi="Sylfaen" w:cs="Times New Roman"/>
        </w:rPr>
        <w:t>a</w:t>
      </w:r>
      <w:r w:rsidR="003D630B" w:rsidRPr="00034A4A">
        <w:rPr>
          <w:rFonts w:ascii="Sylfaen" w:hAnsi="Sylfaen" w:cs="Times New Roman"/>
        </w:rPr>
        <w:t xml:space="preserve"> (Figure 2C). </w:t>
      </w:r>
      <w:r w:rsidR="003D630B" w:rsidRPr="00034A4A">
        <w:rPr>
          <w:rFonts w:ascii="Sylfaen" w:hAnsi="Sylfaen"/>
        </w:rPr>
        <w:t>The area planted to wheat more than doubled over the years 2008-</w:t>
      </w:r>
      <w:r w:rsidR="007231BE">
        <w:rPr>
          <w:rFonts w:ascii="Sylfaen" w:hAnsi="Sylfaen"/>
        </w:rPr>
        <w:t>20</w:t>
      </w:r>
      <w:r w:rsidR="003D630B" w:rsidRPr="00034A4A">
        <w:rPr>
          <w:rFonts w:ascii="Sylfaen" w:hAnsi="Sylfaen"/>
        </w:rPr>
        <w:t xml:space="preserve">14, with a concurrent rise in seed use. </w:t>
      </w:r>
      <w:r w:rsidR="003D630B" w:rsidRPr="00034A4A">
        <w:rPr>
          <w:rFonts w:ascii="Sylfaen" w:hAnsi="Sylfaen" w:cs="Times New Roman"/>
        </w:rPr>
        <w:t xml:space="preserve">This reversal could continue. Firstly, public works can rebuild rural infrastructure that has fallen into disrepair or has been destroyed. Such reconstruction projects could include rural roads to connect farms to markets and irrigation channels that will enable farm owners to resume production. </w:t>
      </w:r>
      <w:r w:rsidRPr="00034A4A">
        <w:rPr>
          <w:rFonts w:ascii="Sylfaen" w:hAnsi="Sylfaen" w:cs="Times New Roman"/>
        </w:rPr>
        <w:t>Secondly, in post-conflict areas, recovery can make important first gains by replacing lost livestock, machinery, and other capital inputs. Thirdly</w:t>
      </w:r>
      <w:r w:rsidR="003D630B" w:rsidRPr="00034A4A">
        <w:rPr>
          <w:rFonts w:ascii="Sylfaen" w:hAnsi="Sylfaen" w:cs="Times New Roman"/>
        </w:rPr>
        <w:t xml:space="preserve">, international experience has shown that adoption of </w:t>
      </w:r>
      <w:r w:rsidR="00741809" w:rsidRPr="00034A4A">
        <w:rPr>
          <w:rFonts w:ascii="Sylfaen" w:hAnsi="Sylfaen" w:cs="Times New Roman"/>
        </w:rPr>
        <w:t xml:space="preserve">relatively basic </w:t>
      </w:r>
      <w:r w:rsidR="003D630B" w:rsidRPr="00034A4A">
        <w:rPr>
          <w:rFonts w:ascii="Sylfaen" w:hAnsi="Sylfaen" w:cs="Times New Roman"/>
        </w:rPr>
        <w:t xml:space="preserve">technologies can boost agricultural productivity in the short term. </w:t>
      </w:r>
      <w:r w:rsidRPr="00034A4A">
        <w:rPr>
          <w:rFonts w:ascii="Sylfaen" w:hAnsi="Sylfaen" w:cs="Times New Roman"/>
        </w:rPr>
        <w:t xml:space="preserve">Finally, </w:t>
      </w:r>
      <w:r w:rsidR="003D630B" w:rsidRPr="00034A4A">
        <w:rPr>
          <w:rFonts w:ascii="Sylfaen" w:hAnsi="Sylfaen" w:cs="Times New Roman"/>
        </w:rPr>
        <w:t xml:space="preserve">there is high demand potential: food shortages satisfied presently by imports have created a substantial demand for farm fresh and processed food. Thanks to private ownership, growth of these components </w:t>
      </w:r>
      <w:r w:rsidRPr="00034A4A">
        <w:rPr>
          <w:rFonts w:ascii="Sylfaen" w:hAnsi="Sylfaen" w:cs="Times New Roman"/>
        </w:rPr>
        <w:t xml:space="preserve">is </w:t>
      </w:r>
      <w:r w:rsidR="003D630B" w:rsidRPr="00034A4A">
        <w:rPr>
          <w:rFonts w:ascii="Sylfaen" w:hAnsi="Sylfaen" w:cs="Times New Roman"/>
        </w:rPr>
        <w:t xml:space="preserve">not contingent on public sector reforms. On the public side, however, there is also the potential to shift cereal sourcing in the </w:t>
      </w:r>
      <w:r w:rsidR="003D630B" w:rsidRPr="00034A4A">
        <w:rPr>
          <w:rFonts w:ascii="Sylfaen" w:hAnsi="Sylfaen"/>
        </w:rPr>
        <w:t>Public Distribution System from the current parity between imported and domestically produced cereals.</w:t>
      </w:r>
      <w:r w:rsidRPr="00034A4A">
        <w:rPr>
          <w:rStyle w:val="FootnoteReference"/>
          <w:rFonts w:ascii="Sylfaen" w:hAnsi="Sylfaen"/>
        </w:rPr>
        <w:footnoteReference w:id="16"/>
      </w:r>
    </w:p>
    <w:p w14:paraId="5533D475" w14:textId="51958075" w:rsidR="00C817CA" w:rsidRPr="00034A4A" w:rsidRDefault="00C817CA" w:rsidP="008769F4">
      <w:pPr>
        <w:tabs>
          <w:tab w:val="left" w:pos="270"/>
        </w:tabs>
        <w:spacing w:after="120"/>
        <w:jc w:val="both"/>
        <w:rPr>
          <w:rFonts w:ascii="Sylfaen" w:hAnsi="Sylfaen" w:cs="Times New Roman"/>
        </w:rPr>
      </w:pPr>
      <w:r w:rsidRPr="00034A4A">
        <w:rPr>
          <w:rFonts w:ascii="Sylfaen" w:hAnsi="Sylfaen" w:cs="Times New Roman"/>
          <w:b/>
        </w:rPr>
        <w:t xml:space="preserve">Some important constraints to agriculture are immediately actionable. </w:t>
      </w:r>
      <w:r w:rsidRPr="00034A4A">
        <w:rPr>
          <w:rFonts w:ascii="Sylfaen" w:hAnsi="Sylfaen" w:cs="Times New Roman"/>
        </w:rPr>
        <w:t xml:space="preserve">In the 1980s, growth in Iraq’s agriculture sector was often higher than in the </w:t>
      </w:r>
      <w:r w:rsidR="007231BE">
        <w:rPr>
          <w:rFonts w:ascii="Sylfaen" w:hAnsi="Sylfaen" w:cs="Times New Roman"/>
        </w:rPr>
        <w:t>Middle East and North Africa</w:t>
      </w:r>
      <w:r w:rsidRPr="00034A4A">
        <w:rPr>
          <w:rFonts w:ascii="Sylfaen" w:hAnsi="Sylfaen" w:cs="Times New Roman"/>
        </w:rPr>
        <w:t xml:space="preserve"> region (Figure 2C), but conflict and lack of reforms have disrupted access to key inputs and links to markets, fueling import dependence. On the input side, FAO (2017) finds that contributors include: (i) damaged machineries and tools, (ii) reduced access to irrigation equipment (currently 20 percent of farmers have access to irrigation compared to 65</w:t>
      </w:r>
      <w:r w:rsidR="007231BE">
        <w:rPr>
          <w:rFonts w:ascii="Sylfaen" w:hAnsi="Sylfaen" w:cs="Times New Roman"/>
        </w:rPr>
        <w:t xml:space="preserve"> percent</w:t>
      </w:r>
      <w:r w:rsidRPr="00034A4A">
        <w:rPr>
          <w:rFonts w:ascii="Sylfaen" w:hAnsi="Sylfaen" w:cs="Times New Roman"/>
        </w:rPr>
        <w:t xml:space="preserve"> before the conflict), (iii) lack of fertilizers, pesticides, and seeds have increased due to the suspension of government input provisions, import and transport regulations that prevent the use of fertilizers, and damage to transport and infrastructure, and (iv) lack of finance for repairing or replacing equipment and tools. The resulting damage to crop and livestock production has been significant: some areas have lost up to 95 percent of livestock. These constraints can in principle be addressed through policies and programs that are well understood. In the area of finance, the domestic banking is unlikely to offer a short-term solution. Since lessons from experience show that improved access to finance for both farmers and input dealers is critical for success, </w:t>
      </w:r>
      <w:r w:rsidR="007231BE">
        <w:rPr>
          <w:rFonts w:ascii="Sylfaen" w:hAnsi="Sylfaen" w:cs="Times New Roman"/>
        </w:rPr>
        <w:t xml:space="preserve">the </w:t>
      </w:r>
      <w:r w:rsidRPr="00034A4A">
        <w:rPr>
          <w:rFonts w:ascii="Sylfaen" w:hAnsi="Sylfaen" w:cs="Times New Roman"/>
        </w:rPr>
        <w:t>GOI should consider alternative paths to alleviating the finance constraint, perhaps through a revival of its subsidized agricultural credit program.</w:t>
      </w:r>
    </w:p>
    <w:p w14:paraId="2B10B694" w14:textId="6AB5CD8B" w:rsidR="003366EF" w:rsidRPr="00034A4A" w:rsidRDefault="00CE25C9" w:rsidP="008769F4">
      <w:pPr>
        <w:pStyle w:val="CommentText"/>
        <w:spacing w:after="120" w:line="259" w:lineRule="auto"/>
        <w:jc w:val="both"/>
        <w:rPr>
          <w:rFonts w:ascii="Sylfaen" w:hAnsi="Sylfaen" w:cs="Times New Roman"/>
          <w:sz w:val="22"/>
          <w:szCs w:val="22"/>
        </w:rPr>
      </w:pPr>
      <w:r w:rsidRPr="00034A4A">
        <w:rPr>
          <w:rFonts w:ascii="Sylfaen" w:hAnsi="Sylfaen" w:cs="Times New Roman"/>
          <w:b/>
          <w:sz w:val="22"/>
          <w:szCs w:val="22"/>
        </w:rPr>
        <w:t xml:space="preserve">Displacement, water </w:t>
      </w:r>
      <w:r w:rsidR="00C843C8" w:rsidRPr="00034A4A">
        <w:rPr>
          <w:rFonts w:ascii="Sylfaen" w:hAnsi="Sylfaen" w:cs="Times New Roman"/>
          <w:b/>
          <w:sz w:val="22"/>
          <w:szCs w:val="22"/>
        </w:rPr>
        <w:t>scarcity</w:t>
      </w:r>
      <w:r w:rsidRPr="00034A4A">
        <w:rPr>
          <w:rFonts w:ascii="Sylfaen" w:hAnsi="Sylfaen" w:cs="Times New Roman"/>
          <w:b/>
          <w:sz w:val="22"/>
          <w:szCs w:val="22"/>
        </w:rPr>
        <w:t xml:space="preserve">, soil </w:t>
      </w:r>
      <w:r w:rsidR="00C843C8" w:rsidRPr="00034A4A">
        <w:rPr>
          <w:rFonts w:ascii="Sylfaen" w:hAnsi="Sylfaen" w:cs="Times New Roman"/>
          <w:b/>
          <w:sz w:val="22"/>
          <w:szCs w:val="22"/>
        </w:rPr>
        <w:t>degradation</w:t>
      </w:r>
      <w:r w:rsidR="00E36A8F" w:rsidRPr="00034A4A">
        <w:rPr>
          <w:rFonts w:ascii="Sylfaen" w:hAnsi="Sylfaen" w:cs="Times New Roman"/>
          <w:b/>
          <w:sz w:val="22"/>
          <w:szCs w:val="22"/>
        </w:rPr>
        <w:t>, and land markets</w:t>
      </w:r>
      <w:r w:rsidR="00C843C8" w:rsidRPr="00034A4A">
        <w:rPr>
          <w:rFonts w:ascii="Sylfaen" w:hAnsi="Sylfaen" w:cs="Times New Roman"/>
          <w:b/>
          <w:sz w:val="22"/>
          <w:szCs w:val="22"/>
        </w:rPr>
        <w:t xml:space="preserve"> </w:t>
      </w:r>
      <w:r w:rsidRPr="00034A4A">
        <w:rPr>
          <w:rFonts w:ascii="Sylfaen" w:hAnsi="Sylfaen" w:cs="Times New Roman"/>
          <w:b/>
          <w:sz w:val="22"/>
          <w:szCs w:val="22"/>
        </w:rPr>
        <w:t>pose more profound obstacles to recovery, and must be addressed.</w:t>
      </w:r>
      <w:r w:rsidRPr="00034A4A">
        <w:rPr>
          <w:rFonts w:ascii="Sylfaen" w:hAnsi="Sylfaen" w:cs="Times New Roman"/>
          <w:sz w:val="22"/>
          <w:szCs w:val="22"/>
        </w:rPr>
        <w:t xml:space="preserve"> </w:t>
      </w:r>
      <w:r w:rsidR="003D630B" w:rsidRPr="00034A4A">
        <w:rPr>
          <w:rFonts w:ascii="Sylfaen" w:hAnsi="Sylfaen" w:cs="Times New Roman"/>
          <w:sz w:val="22"/>
          <w:szCs w:val="22"/>
        </w:rPr>
        <w:t xml:space="preserve">Its potential for job creation notwithstanding, the agriculture sector faces significant constraints to recovery. The most </w:t>
      </w:r>
      <w:r w:rsidRPr="00034A4A">
        <w:rPr>
          <w:rFonts w:ascii="Sylfaen" w:hAnsi="Sylfaen" w:cs="Times New Roman"/>
          <w:sz w:val="22"/>
          <w:szCs w:val="22"/>
        </w:rPr>
        <w:t xml:space="preserve">fundamental </w:t>
      </w:r>
      <w:r w:rsidR="003D630B" w:rsidRPr="00034A4A">
        <w:rPr>
          <w:rFonts w:ascii="Sylfaen" w:hAnsi="Sylfaen" w:cs="Times New Roman"/>
          <w:sz w:val="22"/>
          <w:szCs w:val="22"/>
        </w:rPr>
        <w:t xml:space="preserve">is to ensure that land owners can return to plough their land. This means ensuring that internally displaced Iraqis </w:t>
      </w:r>
      <w:r w:rsidR="00542FD6" w:rsidRPr="00034A4A">
        <w:rPr>
          <w:rFonts w:ascii="Sylfaen" w:hAnsi="Sylfaen" w:cs="Times New Roman"/>
          <w:sz w:val="22"/>
          <w:szCs w:val="22"/>
        </w:rPr>
        <w:t xml:space="preserve">of all sects and backgrounds </w:t>
      </w:r>
      <w:r w:rsidR="003D630B" w:rsidRPr="00034A4A">
        <w:rPr>
          <w:rFonts w:ascii="Sylfaen" w:hAnsi="Sylfaen" w:cs="Times New Roman"/>
          <w:sz w:val="22"/>
          <w:szCs w:val="22"/>
        </w:rPr>
        <w:t xml:space="preserve">can come back to their home communities. It also means addressing damaged irrigation systems, </w:t>
      </w:r>
      <w:r w:rsidRPr="00034A4A">
        <w:rPr>
          <w:rFonts w:ascii="Sylfaen" w:hAnsi="Sylfaen" w:cs="Times New Roman"/>
          <w:sz w:val="22"/>
          <w:szCs w:val="22"/>
        </w:rPr>
        <w:t xml:space="preserve">an inadequate water supply, and </w:t>
      </w:r>
      <w:r w:rsidR="003D630B" w:rsidRPr="00034A4A">
        <w:rPr>
          <w:rFonts w:ascii="Sylfaen" w:hAnsi="Sylfaen" w:cs="Times New Roman"/>
          <w:sz w:val="22"/>
          <w:szCs w:val="22"/>
        </w:rPr>
        <w:t xml:space="preserve">very significant problems with soil salinity. FAO estimates that approximately 60 percent of cultivated land is negatively affected by salinity, and 20-30 percent has been abandoned because of salinity. </w:t>
      </w:r>
      <w:r w:rsidR="009D1BC9" w:rsidRPr="00034A4A">
        <w:rPr>
          <w:rFonts w:ascii="Sylfaen" w:hAnsi="Sylfaen" w:cs="Times New Roman"/>
          <w:sz w:val="22"/>
          <w:szCs w:val="22"/>
        </w:rPr>
        <w:t xml:space="preserve">It is important to note that gains in water use efficiency are likely crucial to ensuring that a recovery in agriculture does not create </w:t>
      </w:r>
      <w:r w:rsidR="00B212C9" w:rsidRPr="00034A4A">
        <w:rPr>
          <w:rFonts w:ascii="Sylfaen" w:hAnsi="Sylfaen" w:cs="Times New Roman"/>
          <w:sz w:val="22"/>
          <w:szCs w:val="22"/>
        </w:rPr>
        <w:t xml:space="preserve">the kind of </w:t>
      </w:r>
      <w:r w:rsidR="009D1BC9" w:rsidRPr="00034A4A">
        <w:rPr>
          <w:rFonts w:ascii="Sylfaen" w:hAnsi="Sylfaen" w:cs="Times New Roman"/>
          <w:sz w:val="22"/>
          <w:szCs w:val="22"/>
        </w:rPr>
        <w:t>unsustainable water stress</w:t>
      </w:r>
      <w:r w:rsidR="00B212C9" w:rsidRPr="00034A4A">
        <w:rPr>
          <w:rFonts w:ascii="Sylfaen" w:hAnsi="Sylfaen" w:cs="Times New Roman"/>
          <w:sz w:val="22"/>
          <w:szCs w:val="22"/>
        </w:rPr>
        <w:t xml:space="preserve"> observed in other countries in the region</w:t>
      </w:r>
      <w:r w:rsidR="009D1BC9" w:rsidRPr="00034A4A">
        <w:rPr>
          <w:rFonts w:ascii="Sylfaen" w:hAnsi="Sylfaen" w:cs="Times New Roman"/>
          <w:sz w:val="22"/>
          <w:szCs w:val="22"/>
        </w:rPr>
        <w:t>, and erodes gains made</w:t>
      </w:r>
      <w:r w:rsidR="00B212C9" w:rsidRPr="00034A4A">
        <w:rPr>
          <w:rFonts w:ascii="Sylfaen" w:hAnsi="Sylfaen" w:cs="Times New Roman"/>
          <w:sz w:val="22"/>
          <w:szCs w:val="22"/>
        </w:rPr>
        <w:t xml:space="preserve"> in the sector</w:t>
      </w:r>
      <w:r w:rsidR="008D4EE0" w:rsidRPr="00034A4A">
        <w:rPr>
          <w:rFonts w:ascii="Sylfaen" w:hAnsi="Sylfaen" w:cs="Times New Roman"/>
          <w:sz w:val="22"/>
          <w:szCs w:val="22"/>
        </w:rPr>
        <w:t>.</w:t>
      </w:r>
      <w:r w:rsidR="00B212C9" w:rsidRPr="00034A4A">
        <w:rPr>
          <w:rStyle w:val="FootnoteReference"/>
          <w:rFonts w:ascii="Sylfaen" w:hAnsi="Sylfaen" w:cs="Times New Roman"/>
          <w:sz w:val="22"/>
          <w:szCs w:val="22"/>
        </w:rPr>
        <w:footnoteReference w:id="17"/>
      </w:r>
      <w:r w:rsidR="00E36A8F" w:rsidRPr="00034A4A">
        <w:rPr>
          <w:rFonts w:ascii="Sylfaen" w:hAnsi="Sylfaen" w:cs="Times New Roman"/>
          <w:sz w:val="22"/>
          <w:szCs w:val="22"/>
        </w:rPr>
        <w:t xml:space="preserve"> </w:t>
      </w:r>
      <w:r w:rsidR="00D50E49" w:rsidRPr="00034A4A">
        <w:rPr>
          <w:rFonts w:ascii="Sylfaen" w:hAnsi="Sylfaen" w:cs="Times New Roman"/>
          <w:sz w:val="22"/>
          <w:szCs w:val="22"/>
        </w:rPr>
        <w:t xml:space="preserve">There is also a need to better understand how land markets and tenure impact prospects in agriculture. A recent </w:t>
      </w:r>
      <w:r w:rsidR="007231BE">
        <w:rPr>
          <w:rFonts w:ascii="Sylfaen" w:hAnsi="Sylfaen" w:cs="Times New Roman"/>
          <w:sz w:val="22"/>
          <w:szCs w:val="22"/>
        </w:rPr>
        <w:t>IFAD</w:t>
      </w:r>
      <w:r w:rsidR="00D50E49" w:rsidRPr="00034A4A">
        <w:rPr>
          <w:rFonts w:ascii="Sylfaen" w:hAnsi="Sylfaen" w:cs="Times New Roman"/>
          <w:sz w:val="22"/>
          <w:szCs w:val="22"/>
        </w:rPr>
        <w:t xml:space="preserve"> review reports that land markets are informal, and the government still owns two thirds of the land, but also judges tenure to be somewhat functional, and considers that the poor have a degree of access.</w:t>
      </w:r>
      <w:r w:rsidR="00D50E49" w:rsidRPr="00034A4A">
        <w:rPr>
          <w:rStyle w:val="FootnoteReference"/>
          <w:rFonts w:ascii="Sylfaen" w:hAnsi="Sylfaen" w:cs="Times New Roman"/>
          <w:sz w:val="22"/>
          <w:szCs w:val="22"/>
        </w:rPr>
        <w:footnoteReference w:id="18"/>
      </w:r>
    </w:p>
    <w:p w14:paraId="38D5D9B3" w14:textId="4CB0495D" w:rsidR="00B73C91" w:rsidRPr="00034A4A" w:rsidRDefault="00B73C91" w:rsidP="008769F4">
      <w:pPr>
        <w:spacing w:after="120"/>
        <w:jc w:val="both"/>
        <w:rPr>
          <w:rFonts w:ascii="Sylfaen" w:hAnsi="Sylfaen"/>
          <w:b/>
          <w:color w:val="0070C0"/>
          <w:sz w:val="24"/>
        </w:rPr>
      </w:pPr>
    </w:p>
    <w:p w14:paraId="5474669E" w14:textId="77777777" w:rsidR="00841BCC" w:rsidRPr="00034A4A" w:rsidRDefault="00841BCC" w:rsidP="008769F4">
      <w:pPr>
        <w:spacing w:after="120"/>
        <w:jc w:val="both"/>
        <w:rPr>
          <w:rFonts w:ascii="Sylfaen" w:hAnsi="Sylfaen"/>
          <w:b/>
          <w:color w:val="0070C0"/>
          <w:sz w:val="24"/>
        </w:rPr>
      </w:pPr>
      <w:r w:rsidRPr="00034A4A">
        <w:rPr>
          <w:rFonts w:ascii="Sylfaen" w:hAnsi="Sylfaen"/>
          <w:b/>
          <w:color w:val="0070C0"/>
          <w:sz w:val="24"/>
        </w:rPr>
        <w:br w:type="page"/>
      </w:r>
    </w:p>
    <w:p w14:paraId="699FDB4A" w14:textId="7C61A605" w:rsidR="00296E26" w:rsidRPr="00034A4A" w:rsidRDefault="00296E26" w:rsidP="008769F4">
      <w:pPr>
        <w:spacing w:after="120"/>
        <w:jc w:val="both"/>
        <w:rPr>
          <w:rFonts w:ascii="Sylfaen" w:hAnsi="Sylfaen"/>
          <w:b/>
          <w:color w:val="0070C0"/>
          <w:sz w:val="24"/>
        </w:rPr>
      </w:pPr>
      <w:r w:rsidRPr="00034A4A">
        <w:rPr>
          <w:rFonts w:ascii="Sylfaen" w:hAnsi="Sylfaen"/>
          <w:b/>
          <w:color w:val="0070C0"/>
          <w:sz w:val="24"/>
        </w:rPr>
        <w:t xml:space="preserve">3. </w:t>
      </w:r>
      <w:r w:rsidR="00685278" w:rsidRPr="00034A4A">
        <w:rPr>
          <w:rFonts w:ascii="Sylfaen" w:hAnsi="Sylfaen"/>
          <w:b/>
          <w:color w:val="0070C0"/>
          <w:sz w:val="24"/>
        </w:rPr>
        <w:t xml:space="preserve">Enabling recovery: support to SMEs and </w:t>
      </w:r>
      <w:r w:rsidR="00333104" w:rsidRPr="00034A4A">
        <w:rPr>
          <w:rFonts w:ascii="Sylfaen" w:hAnsi="Sylfaen"/>
          <w:b/>
          <w:color w:val="0070C0"/>
          <w:sz w:val="24"/>
        </w:rPr>
        <w:t>v</w:t>
      </w:r>
      <w:r w:rsidR="00685278" w:rsidRPr="00034A4A">
        <w:rPr>
          <w:rFonts w:ascii="Sylfaen" w:hAnsi="Sylfaen"/>
          <w:b/>
          <w:color w:val="0070C0"/>
          <w:sz w:val="24"/>
        </w:rPr>
        <w:t xml:space="preserve">ocational </w:t>
      </w:r>
      <w:r w:rsidR="00333104" w:rsidRPr="00034A4A">
        <w:rPr>
          <w:rFonts w:ascii="Sylfaen" w:hAnsi="Sylfaen"/>
          <w:b/>
          <w:color w:val="0070C0"/>
          <w:sz w:val="24"/>
        </w:rPr>
        <w:t>s</w:t>
      </w:r>
      <w:r w:rsidR="00685278" w:rsidRPr="00034A4A">
        <w:rPr>
          <w:rFonts w:ascii="Sylfaen" w:hAnsi="Sylfaen"/>
          <w:b/>
          <w:color w:val="0070C0"/>
          <w:sz w:val="24"/>
        </w:rPr>
        <w:t>kills</w:t>
      </w:r>
    </w:p>
    <w:p w14:paraId="4A530E0E" w14:textId="5319A520" w:rsidR="00FA03A6" w:rsidRPr="00034A4A" w:rsidRDefault="00FE07C1" w:rsidP="008769F4">
      <w:pPr>
        <w:spacing w:after="120"/>
        <w:jc w:val="both"/>
        <w:rPr>
          <w:rFonts w:ascii="Sylfaen" w:hAnsi="Sylfaen" w:cs="Times New Roman"/>
        </w:rPr>
      </w:pPr>
      <w:r w:rsidRPr="00034A4A">
        <w:rPr>
          <w:rFonts w:ascii="Sylfaen" w:hAnsi="Sylfaen" w:cs="Times New Roman"/>
          <w:b/>
        </w:rPr>
        <w:t>An effective jobs stra</w:t>
      </w:r>
      <w:r w:rsidR="00C817CA" w:rsidRPr="00034A4A">
        <w:rPr>
          <w:rFonts w:ascii="Sylfaen" w:hAnsi="Sylfaen" w:cs="Times New Roman"/>
          <w:b/>
        </w:rPr>
        <w:t>te</w:t>
      </w:r>
      <w:r w:rsidRPr="00034A4A">
        <w:rPr>
          <w:rFonts w:ascii="Sylfaen" w:hAnsi="Sylfaen" w:cs="Times New Roman"/>
          <w:b/>
        </w:rPr>
        <w:t>gy should support SMEs and vocational skills training in order to boost job creation from construction and the food system, seize opportunities in other sectors, and build business capacity.</w:t>
      </w:r>
      <w:r w:rsidRPr="00034A4A">
        <w:rPr>
          <w:rFonts w:ascii="Sylfaen" w:hAnsi="Sylfaen" w:cs="Times New Roman"/>
        </w:rPr>
        <w:t xml:space="preserve"> </w:t>
      </w:r>
      <w:r w:rsidR="007231BE">
        <w:rPr>
          <w:rFonts w:ascii="Sylfaen" w:hAnsi="Sylfaen" w:cs="Times New Roman"/>
        </w:rPr>
        <w:t>Previously</w:t>
      </w:r>
      <w:r w:rsidR="002B3FCE" w:rsidRPr="00034A4A">
        <w:rPr>
          <w:rFonts w:ascii="Sylfaen" w:hAnsi="Sylfaen" w:cs="Times New Roman"/>
        </w:rPr>
        <w:t xml:space="preserve">, we </w:t>
      </w:r>
      <w:r w:rsidR="00685278" w:rsidRPr="00034A4A">
        <w:rPr>
          <w:rFonts w:ascii="Sylfaen" w:hAnsi="Sylfaen" w:cs="Times New Roman"/>
        </w:rPr>
        <w:t xml:space="preserve">have identified two sectors of the economy with the potential to create large numbers of jobs in the short term. </w:t>
      </w:r>
      <w:r w:rsidR="002B3FCE" w:rsidRPr="00034A4A">
        <w:rPr>
          <w:rFonts w:ascii="Sylfaen" w:hAnsi="Sylfaen" w:cs="Times New Roman"/>
        </w:rPr>
        <w:t xml:space="preserve">In addition, </w:t>
      </w:r>
      <w:r w:rsidR="007231BE">
        <w:rPr>
          <w:rFonts w:ascii="Sylfaen" w:hAnsi="Sylfaen" w:cs="Times New Roman"/>
        </w:rPr>
        <w:t xml:space="preserve">the </w:t>
      </w:r>
      <w:r w:rsidR="002B3FCE" w:rsidRPr="00034A4A">
        <w:rPr>
          <w:rFonts w:ascii="Sylfaen" w:hAnsi="Sylfaen" w:cs="Times New Roman"/>
        </w:rPr>
        <w:t xml:space="preserve">GOI can consider </w:t>
      </w:r>
      <w:r w:rsidR="00BE757D" w:rsidRPr="00034A4A">
        <w:rPr>
          <w:rFonts w:ascii="Sylfaen" w:hAnsi="Sylfaen" w:cs="Times New Roman"/>
        </w:rPr>
        <w:t xml:space="preserve">two </w:t>
      </w:r>
      <w:r w:rsidR="00525120" w:rsidRPr="00034A4A">
        <w:rPr>
          <w:rFonts w:ascii="Sylfaen" w:hAnsi="Sylfaen" w:cs="Times New Roman"/>
        </w:rPr>
        <w:t>key</w:t>
      </w:r>
      <w:r w:rsidR="00BE757D" w:rsidRPr="00034A4A">
        <w:rPr>
          <w:rFonts w:ascii="Sylfaen" w:hAnsi="Sylfaen" w:cs="Times New Roman"/>
        </w:rPr>
        <w:t xml:space="preserve"> actions to enable recovery</w:t>
      </w:r>
      <w:r w:rsidR="008C22FC" w:rsidRPr="00034A4A">
        <w:rPr>
          <w:rFonts w:ascii="Sylfaen" w:hAnsi="Sylfaen" w:cs="Times New Roman"/>
        </w:rPr>
        <w:t xml:space="preserve"> that </w:t>
      </w:r>
      <w:r w:rsidR="00FA03A6" w:rsidRPr="00034A4A">
        <w:rPr>
          <w:rFonts w:ascii="Sylfaen" w:hAnsi="Sylfaen" w:cs="Times New Roman"/>
        </w:rPr>
        <w:t xml:space="preserve">matter for construction and agriculture, but also </w:t>
      </w:r>
      <w:r w:rsidR="008C22FC" w:rsidRPr="00034A4A">
        <w:rPr>
          <w:rFonts w:ascii="Sylfaen" w:hAnsi="Sylfaen" w:cs="Times New Roman"/>
        </w:rPr>
        <w:t>cut across sectors</w:t>
      </w:r>
      <w:r w:rsidR="00BE757D" w:rsidRPr="00034A4A">
        <w:rPr>
          <w:rFonts w:ascii="Sylfaen" w:hAnsi="Sylfaen" w:cs="Times New Roman"/>
        </w:rPr>
        <w:t xml:space="preserve">. </w:t>
      </w:r>
      <w:r w:rsidR="00FA03A6" w:rsidRPr="00034A4A">
        <w:rPr>
          <w:rFonts w:ascii="Sylfaen" w:hAnsi="Sylfaen" w:cs="Times New Roman"/>
        </w:rPr>
        <w:t>The two actions proposed are broad-based support to SMEs, and unconventional support to vocational skills. Support to both is needed to (i) maximize the job impact of investments in construction and agriculture</w:t>
      </w:r>
      <w:r w:rsidR="00CB1B8E" w:rsidRPr="00034A4A">
        <w:rPr>
          <w:rFonts w:ascii="Sylfaen" w:hAnsi="Sylfaen" w:cs="Times New Roman"/>
        </w:rPr>
        <w:t xml:space="preserve"> – in particular, in the service and manufacturing sub-sectors likely to see an increase in demand through linkages to agriculture and construction. It is also crucial in order to</w:t>
      </w:r>
      <w:r w:rsidR="00FA03A6" w:rsidRPr="00034A4A">
        <w:rPr>
          <w:rFonts w:ascii="Sylfaen" w:hAnsi="Sylfaen" w:cs="Times New Roman"/>
        </w:rPr>
        <w:t xml:space="preserve"> (ii) seize short-term opportunities in sectors beyond these two sectors</w:t>
      </w:r>
      <w:r w:rsidR="00CB1B8E" w:rsidRPr="00034A4A">
        <w:rPr>
          <w:rFonts w:ascii="Sylfaen" w:hAnsi="Sylfaen" w:cs="Times New Roman"/>
        </w:rPr>
        <w:t>,</w:t>
      </w:r>
      <w:r w:rsidR="00FA03A6" w:rsidRPr="00034A4A">
        <w:rPr>
          <w:rFonts w:ascii="Sylfaen" w:hAnsi="Sylfaen" w:cs="Times New Roman"/>
        </w:rPr>
        <w:t xml:space="preserve"> and (iii) strengthen business capacity for the longer term.</w:t>
      </w:r>
    </w:p>
    <w:p w14:paraId="03D7EE0C" w14:textId="2D84D422" w:rsidR="00F572CE" w:rsidRPr="00034A4A" w:rsidRDefault="00BB4521" w:rsidP="008769F4">
      <w:pPr>
        <w:spacing w:after="120"/>
        <w:jc w:val="both"/>
        <w:rPr>
          <w:rFonts w:ascii="Sylfaen" w:hAnsi="Sylfaen" w:cs="Times New Roman"/>
          <w:color w:val="0070C0"/>
        </w:rPr>
      </w:pPr>
      <w:r w:rsidRPr="00034A4A">
        <w:rPr>
          <w:rFonts w:ascii="Sylfaen" w:hAnsi="Sylfaen" w:cs="Times New Roman"/>
          <w:color w:val="0070C0"/>
        </w:rPr>
        <w:t>Most private sector activity is in SMEs – support across sectors is not easily achieved, but there are some starting points</w:t>
      </w:r>
    </w:p>
    <w:p w14:paraId="3E23107F" w14:textId="193BBCF3" w:rsidR="0072074C" w:rsidRPr="00034A4A" w:rsidRDefault="008F1802" w:rsidP="008769F4">
      <w:pPr>
        <w:spacing w:after="120"/>
        <w:jc w:val="both"/>
        <w:rPr>
          <w:rFonts w:ascii="Sylfaen" w:hAnsi="Sylfaen" w:cs="Times New Roman"/>
          <w:szCs w:val="24"/>
        </w:rPr>
      </w:pPr>
      <w:r w:rsidRPr="00034A4A">
        <w:rPr>
          <w:rFonts w:ascii="Sylfaen" w:hAnsi="Sylfaen" w:cs="Times New Roman"/>
          <w:b/>
        </w:rPr>
        <w:t>Sixty percent of jobs in Iraq a</w:t>
      </w:r>
      <w:r w:rsidR="001C654E" w:rsidRPr="00034A4A">
        <w:rPr>
          <w:rFonts w:ascii="Sylfaen" w:hAnsi="Sylfaen" w:cs="Times New Roman"/>
          <w:b/>
        </w:rPr>
        <w:t xml:space="preserve">re in the private sector; most of them are </w:t>
      </w:r>
      <w:r w:rsidRPr="00034A4A">
        <w:rPr>
          <w:rFonts w:ascii="Sylfaen" w:hAnsi="Sylfaen" w:cs="Times New Roman"/>
          <w:b/>
        </w:rPr>
        <w:t>in SMEs</w:t>
      </w:r>
      <w:r w:rsidR="00A12A43" w:rsidRPr="00034A4A">
        <w:rPr>
          <w:rFonts w:ascii="Sylfaen" w:hAnsi="Sylfaen" w:cs="Times New Roman"/>
          <w:b/>
        </w:rPr>
        <w:t>,</w:t>
      </w:r>
      <w:r w:rsidR="001C654E" w:rsidRPr="00034A4A">
        <w:rPr>
          <w:rFonts w:ascii="Sylfaen" w:hAnsi="Sylfaen" w:cs="Times New Roman"/>
          <w:b/>
        </w:rPr>
        <w:t xml:space="preserve"> in services</w:t>
      </w:r>
      <w:r w:rsidR="00A12A43" w:rsidRPr="00034A4A">
        <w:rPr>
          <w:rFonts w:ascii="Sylfaen" w:hAnsi="Sylfaen" w:cs="Times New Roman"/>
          <w:b/>
        </w:rPr>
        <w:t>, and in the informal sector</w:t>
      </w:r>
      <w:r w:rsidRPr="00034A4A">
        <w:rPr>
          <w:rFonts w:ascii="Sylfaen" w:hAnsi="Sylfaen" w:cs="Times New Roman"/>
          <w:b/>
        </w:rPr>
        <w:t>.</w:t>
      </w:r>
      <w:r w:rsidRPr="00034A4A">
        <w:rPr>
          <w:rFonts w:ascii="Sylfaen" w:hAnsi="Sylfaen" w:cs="Times New Roman"/>
        </w:rPr>
        <w:t xml:space="preserve"> </w:t>
      </w:r>
      <w:r w:rsidR="00BE757D" w:rsidRPr="00034A4A">
        <w:rPr>
          <w:rFonts w:ascii="Sylfaen" w:hAnsi="Sylfaen" w:cs="Times New Roman"/>
        </w:rPr>
        <w:t>Iraq’s private sector creates about 60 percent of all jobs</w:t>
      </w:r>
      <w:r w:rsidR="00C843C8" w:rsidRPr="00034A4A">
        <w:rPr>
          <w:rFonts w:ascii="Sylfaen" w:hAnsi="Sylfaen" w:cs="Times New Roman"/>
        </w:rPr>
        <w:t>;</w:t>
      </w:r>
      <w:r w:rsidR="00BE757D" w:rsidRPr="00034A4A">
        <w:rPr>
          <w:rFonts w:ascii="Sylfaen" w:hAnsi="Sylfaen" w:cs="Times New Roman"/>
        </w:rPr>
        <w:t xml:space="preserve"> about 30 percent of all jobs are in </w:t>
      </w:r>
      <w:r w:rsidR="00721A31" w:rsidRPr="00034A4A">
        <w:rPr>
          <w:rFonts w:ascii="Sylfaen" w:hAnsi="Sylfaen" w:cs="Times New Roman"/>
        </w:rPr>
        <w:t xml:space="preserve">private business in the </w:t>
      </w:r>
      <w:r w:rsidR="00BE757D" w:rsidRPr="00034A4A">
        <w:rPr>
          <w:rFonts w:ascii="Sylfaen" w:hAnsi="Sylfaen" w:cs="Times New Roman"/>
        </w:rPr>
        <w:t>services</w:t>
      </w:r>
      <w:r w:rsidR="00721A31" w:rsidRPr="00034A4A">
        <w:rPr>
          <w:rFonts w:ascii="Sylfaen" w:hAnsi="Sylfaen" w:cs="Times New Roman"/>
        </w:rPr>
        <w:t xml:space="preserve"> sector</w:t>
      </w:r>
      <w:r w:rsidR="00BE757D" w:rsidRPr="00034A4A">
        <w:rPr>
          <w:rFonts w:ascii="Sylfaen" w:hAnsi="Sylfaen" w:cs="Times New Roman"/>
        </w:rPr>
        <w:t>.</w:t>
      </w:r>
      <w:r w:rsidR="00A12A43" w:rsidRPr="00034A4A">
        <w:rPr>
          <w:rFonts w:ascii="Sylfaen" w:hAnsi="Sylfaen" w:cs="Times New Roman"/>
        </w:rPr>
        <w:t xml:space="preserve"> </w:t>
      </w:r>
      <w:r w:rsidR="00432EB4" w:rsidRPr="00034A4A">
        <w:rPr>
          <w:rFonts w:ascii="Sylfaen" w:hAnsi="Sylfaen" w:cs="Times New Roman"/>
        </w:rPr>
        <w:t>T</w:t>
      </w:r>
      <w:r w:rsidR="00BE757D" w:rsidRPr="00034A4A">
        <w:rPr>
          <w:rFonts w:ascii="Sylfaen" w:hAnsi="Sylfaen" w:cs="Times New Roman"/>
        </w:rPr>
        <w:t xml:space="preserve">he </w:t>
      </w:r>
      <w:r w:rsidR="00592ED8" w:rsidRPr="00034A4A">
        <w:rPr>
          <w:rFonts w:ascii="Sylfaen" w:hAnsi="Sylfaen" w:cs="Times New Roman"/>
        </w:rPr>
        <w:t xml:space="preserve">investment environment has stifled large private firms, </w:t>
      </w:r>
      <w:r w:rsidR="00432EB4" w:rsidRPr="00034A4A">
        <w:rPr>
          <w:rFonts w:ascii="Sylfaen" w:hAnsi="Sylfaen" w:cs="Times New Roman"/>
        </w:rPr>
        <w:t xml:space="preserve">and large employers tend to be SOEs. </w:t>
      </w:r>
      <w:r w:rsidR="002B02FF" w:rsidRPr="00034A4A">
        <w:rPr>
          <w:rFonts w:ascii="Sylfaen" w:hAnsi="Sylfaen" w:cs="Times New Roman"/>
        </w:rPr>
        <w:t xml:space="preserve">By way of contrast, </w:t>
      </w:r>
      <w:r w:rsidR="00A64511" w:rsidRPr="00034A4A">
        <w:rPr>
          <w:rFonts w:ascii="Sylfaen" w:hAnsi="Sylfaen" w:cs="Times New Roman"/>
        </w:rPr>
        <w:t xml:space="preserve">SMEs </w:t>
      </w:r>
      <w:r w:rsidR="00BE757D" w:rsidRPr="00034A4A">
        <w:rPr>
          <w:rFonts w:ascii="Sylfaen" w:hAnsi="Sylfaen" w:cs="Times New Roman"/>
        </w:rPr>
        <w:t>are active across sectors</w:t>
      </w:r>
      <w:r w:rsidR="00432EB4" w:rsidRPr="00034A4A">
        <w:rPr>
          <w:rFonts w:ascii="Sylfaen" w:hAnsi="Sylfaen" w:cs="Times New Roman"/>
        </w:rPr>
        <w:t>, and can form the basis for jobs growth in the private sector.</w:t>
      </w:r>
      <w:r w:rsidR="002B02FF" w:rsidRPr="00034A4A">
        <w:rPr>
          <w:rFonts w:ascii="Sylfaen" w:hAnsi="Sylfaen" w:cs="Times New Roman"/>
        </w:rPr>
        <w:t xml:space="preserve"> SME employment is concentrated </w:t>
      </w:r>
      <w:r w:rsidR="00BE757D" w:rsidRPr="00034A4A">
        <w:rPr>
          <w:rFonts w:ascii="Sylfaen" w:hAnsi="Sylfaen" w:cs="Times New Roman"/>
        </w:rPr>
        <w:t xml:space="preserve">in particular </w:t>
      </w:r>
      <w:r w:rsidR="00A64511" w:rsidRPr="00034A4A">
        <w:rPr>
          <w:rFonts w:ascii="Sylfaen" w:hAnsi="Sylfaen" w:cs="Times New Roman"/>
        </w:rPr>
        <w:t>in commerce (retail and wholesale trade), transport and communications, and construction.</w:t>
      </w:r>
      <w:r w:rsidR="00365873" w:rsidRPr="00034A4A">
        <w:rPr>
          <w:rStyle w:val="FootnoteReference"/>
          <w:rFonts w:ascii="Sylfaen" w:hAnsi="Sylfaen" w:cs="Times New Roman"/>
        </w:rPr>
        <w:footnoteReference w:id="19"/>
      </w:r>
      <w:r w:rsidR="00A64511" w:rsidRPr="00034A4A">
        <w:rPr>
          <w:rFonts w:ascii="Sylfaen" w:hAnsi="Sylfaen" w:cs="Times New Roman"/>
        </w:rPr>
        <w:t xml:space="preserve"> </w:t>
      </w:r>
      <w:r w:rsidR="00A12A43" w:rsidRPr="00034A4A">
        <w:rPr>
          <w:rFonts w:ascii="Sylfaen" w:hAnsi="Sylfaen" w:cs="Times New Roman"/>
        </w:rPr>
        <w:t>The sector is largely informal.</w:t>
      </w:r>
    </w:p>
    <w:p w14:paraId="0C946A5A" w14:textId="1B3D791D" w:rsidR="00F974C1" w:rsidRPr="00034A4A" w:rsidRDefault="00F974C1" w:rsidP="008769F4">
      <w:pPr>
        <w:spacing w:after="120"/>
        <w:jc w:val="both"/>
        <w:rPr>
          <w:rFonts w:ascii="Sylfaen" w:hAnsi="Sylfaen" w:cs="Times New Roman"/>
        </w:rPr>
      </w:pPr>
      <w:r w:rsidRPr="00034A4A">
        <w:rPr>
          <w:rFonts w:ascii="Sylfaen" w:hAnsi="Sylfaen" w:cs="Times New Roman"/>
          <w:b/>
        </w:rPr>
        <w:t>Business climate reforms are crucial to allow job creation in SMEs.</w:t>
      </w:r>
      <w:r w:rsidRPr="00034A4A">
        <w:rPr>
          <w:rFonts w:ascii="Sylfaen" w:hAnsi="Sylfaen" w:cs="Times New Roman"/>
        </w:rPr>
        <w:t xml:space="preserve"> </w:t>
      </w:r>
      <w:r w:rsidR="00FA4676" w:rsidRPr="00034A4A">
        <w:rPr>
          <w:rFonts w:ascii="Sylfaen" w:hAnsi="Sylfaen" w:cs="Times New Roman"/>
        </w:rPr>
        <w:t>The poor business environment</w:t>
      </w:r>
      <w:r w:rsidR="00222938" w:rsidRPr="00034A4A">
        <w:rPr>
          <w:rFonts w:ascii="Sylfaen" w:hAnsi="Sylfaen" w:cs="Times New Roman"/>
        </w:rPr>
        <w:t xml:space="preserve"> </w:t>
      </w:r>
      <w:r w:rsidR="00FA7075" w:rsidRPr="00034A4A">
        <w:rPr>
          <w:rFonts w:ascii="Sylfaen" w:hAnsi="Sylfaen" w:cs="Times New Roman"/>
        </w:rPr>
        <w:t xml:space="preserve">has </w:t>
      </w:r>
      <w:r w:rsidR="00FA4676" w:rsidRPr="00034A4A">
        <w:rPr>
          <w:rFonts w:ascii="Sylfaen" w:hAnsi="Sylfaen" w:cs="Times New Roman"/>
        </w:rPr>
        <w:t>hindered job creation through SME development</w:t>
      </w:r>
      <w:r w:rsidR="00222938" w:rsidRPr="00034A4A">
        <w:rPr>
          <w:rFonts w:ascii="Sylfaen" w:hAnsi="Sylfaen" w:cs="Times New Roman"/>
        </w:rPr>
        <w:t>.</w:t>
      </w:r>
      <w:r w:rsidRPr="00034A4A">
        <w:rPr>
          <w:rFonts w:ascii="Sylfaen" w:hAnsi="Sylfaen" w:cs="Times New Roman"/>
        </w:rPr>
        <w:t xml:space="preserve"> </w:t>
      </w:r>
      <w:r w:rsidR="00721A31" w:rsidRPr="00034A4A">
        <w:rPr>
          <w:rFonts w:ascii="Sylfaen" w:hAnsi="Sylfaen" w:cs="Times New Roman"/>
        </w:rPr>
        <w:t xml:space="preserve">Long-term </w:t>
      </w:r>
      <w:r w:rsidRPr="00034A4A">
        <w:rPr>
          <w:rFonts w:ascii="Sylfaen" w:hAnsi="Sylfaen" w:cs="Times New Roman"/>
        </w:rPr>
        <w:t>job creation through SME growth will require wide-ranging structural reforms</w:t>
      </w:r>
      <w:r w:rsidR="00FA7075" w:rsidRPr="00034A4A">
        <w:rPr>
          <w:rFonts w:ascii="Sylfaen" w:hAnsi="Sylfaen" w:cs="Times New Roman"/>
        </w:rPr>
        <w:t xml:space="preserve">, to allow for </w:t>
      </w:r>
      <w:r w:rsidR="006C705B" w:rsidRPr="00034A4A">
        <w:rPr>
          <w:rFonts w:ascii="Sylfaen" w:hAnsi="Sylfaen" w:cs="Times New Roman"/>
        </w:rPr>
        <w:t xml:space="preserve">reliable access to electricity, </w:t>
      </w:r>
      <w:r w:rsidR="00AA395C" w:rsidRPr="00034A4A">
        <w:rPr>
          <w:rFonts w:ascii="Sylfaen" w:hAnsi="Sylfaen" w:cs="Times New Roman"/>
        </w:rPr>
        <w:t xml:space="preserve">build </w:t>
      </w:r>
      <w:r w:rsidR="006C705B" w:rsidRPr="00034A4A">
        <w:rPr>
          <w:rFonts w:ascii="Sylfaen" w:hAnsi="Sylfaen" w:cs="Times New Roman"/>
        </w:rPr>
        <w:t xml:space="preserve">a banking system that provides real services to SMEs, and </w:t>
      </w:r>
      <w:r w:rsidR="00AA395C" w:rsidRPr="00034A4A">
        <w:rPr>
          <w:rFonts w:ascii="Sylfaen" w:hAnsi="Sylfaen" w:cs="Times New Roman"/>
        </w:rPr>
        <w:t xml:space="preserve">create </w:t>
      </w:r>
      <w:r w:rsidR="00860A33" w:rsidRPr="00034A4A">
        <w:rPr>
          <w:rFonts w:ascii="Sylfaen" w:hAnsi="Sylfaen" w:cs="Times New Roman"/>
        </w:rPr>
        <w:t>a more level playing field between SOEs and private businesses.</w:t>
      </w:r>
      <w:r w:rsidR="006C705B" w:rsidRPr="00034A4A">
        <w:rPr>
          <w:rFonts w:ascii="Sylfaen" w:hAnsi="Sylfaen" w:cs="Times New Roman"/>
        </w:rPr>
        <w:t xml:space="preserve"> These reforms are </w:t>
      </w:r>
      <w:r w:rsidRPr="00034A4A">
        <w:rPr>
          <w:rFonts w:ascii="Sylfaen" w:hAnsi="Sylfaen" w:cs="Times New Roman"/>
        </w:rPr>
        <w:t xml:space="preserve">a longer-term agenda, </w:t>
      </w:r>
      <w:r w:rsidR="00C817CA" w:rsidRPr="00034A4A">
        <w:rPr>
          <w:rFonts w:ascii="Sylfaen" w:hAnsi="Sylfaen" w:cs="Times New Roman"/>
        </w:rPr>
        <w:t>but</w:t>
      </w:r>
      <w:r w:rsidRPr="00034A4A">
        <w:rPr>
          <w:rFonts w:ascii="Sylfaen" w:hAnsi="Sylfaen" w:cs="Times New Roman"/>
        </w:rPr>
        <w:t xml:space="preserve"> </w:t>
      </w:r>
      <w:r w:rsidR="007231BE">
        <w:rPr>
          <w:rFonts w:ascii="Sylfaen" w:hAnsi="Sylfaen" w:cs="Times New Roman"/>
        </w:rPr>
        <w:t xml:space="preserve">the GOI should not delay further stps to </w:t>
      </w:r>
      <w:r w:rsidR="00DD175D" w:rsidRPr="00034A4A">
        <w:rPr>
          <w:rFonts w:ascii="Sylfaen" w:hAnsi="Sylfaen" w:cs="Times New Roman"/>
        </w:rPr>
        <w:t xml:space="preserve">deepen the important </w:t>
      </w:r>
      <w:r w:rsidR="007231BE">
        <w:rPr>
          <w:rFonts w:ascii="Sylfaen" w:hAnsi="Sylfaen" w:cs="Times New Roman"/>
        </w:rPr>
        <w:t xml:space="preserve">changes </w:t>
      </w:r>
      <w:r w:rsidR="00DD175D" w:rsidRPr="00034A4A">
        <w:rPr>
          <w:rFonts w:ascii="Sylfaen" w:hAnsi="Sylfaen" w:cs="Times New Roman"/>
        </w:rPr>
        <w:t>already begun</w:t>
      </w:r>
      <w:r w:rsidRPr="00034A4A">
        <w:rPr>
          <w:rFonts w:ascii="Sylfaen" w:hAnsi="Sylfaen" w:cs="Times New Roman"/>
        </w:rPr>
        <w:t>.</w:t>
      </w:r>
    </w:p>
    <w:p w14:paraId="04EA1AB3" w14:textId="2C1BA9A4" w:rsidR="00FA4676" w:rsidRPr="00034A4A" w:rsidRDefault="00F974C1" w:rsidP="008769F4">
      <w:pPr>
        <w:spacing w:after="120"/>
        <w:jc w:val="both"/>
        <w:rPr>
          <w:rFonts w:ascii="Sylfaen" w:hAnsi="Sylfaen"/>
        </w:rPr>
      </w:pPr>
      <w:r w:rsidRPr="00011269">
        <w:rPr>
          <w:rFonts w:ascii="Sylfaen" w:hAnsi="Sylfaen" w:cs="Times New Roman"/>
          <w:b/>
        </w:rPr>
        <w:t xml:space="preserve">In the </w:t>
      </w:r>
      <w:r w:rsidR="001F2824" w:rsidRPr="00011269">
        <w:rPr>
          <w:rFonts w:ascii="Sylfaen" w:hAnsi="Sylfaen" w:cs="Times New Roman"/>
          <w:b/>
        </w:rPr>
        <w:t>immediate term</w:t>
      </w:r>
      <w:r w:rsidRPr="00011269">
        <w:rPr>
          <w:rFonts w:ascii="Sylfaen" w:hAnsi="Sylfaen" w:cs="Times New Roman"/>
          <w:b/>
        </w:rPr>
        <w:t>,</w:t>
      </w:r>
      <w:r w:rsidR="001F2824" w:rsidRPr="00011269">
        <w:rPr>
          <w:rFonts w:ascii="Sylfaen" w:hAnsi="Sylfaen" w:cs="Times New Roman"/>
          <w:b/>
        </w:rPr>
        <w:t xml:space="preserve"> government procurement offer</w:t>
      </w:r>
      <w:r w:rsidR="005647EA" w:rsidRPr="00011269">
        <w:rPr>
          <w:rFonts w:ascii="Sylfaen" w:hAnsi="Sylfaen" w:cs="Times New Roman"/>
          <w:b/>
        </w:rPr>
        <w:t>s</w:t>
      </w:r>
      <w:r w:rsidR="001F2824" w:rsidRPr="00011269">
        <w:rPr>
          <w:rFonts w:ascii="Sylfaen" w:hAnsi="Sylfaen" w:cs="Times New Roman"/>
          <w:b/>
        </w:rPr>
        <w:t xml:space="preserve"> </w:t>
      </w:r>
      <w:r w:rsidR="005A78A5">
        <w:rPr>
          <w:rFonts w:ascii="Sylfaen" w:hAnsi="Sylfaen" w:cs="Times New Roman"/>
          <w:b/>
        </w:rPr>
        <w:t xml:space="preserve">a direct </w:t>
      </w:r>
      <w:r w:rsidRPr="00011269">
        <w:rPr>
          <w:rFonts w:ascii="Sylfaen" w:hAnsi="Sylfaen" w:cs="Times New Roman"/>
          <w:b/>
        </w:rPr>
        <w:t>opportunit</w:t>
      </w:r>
      <w:r w:rsidR="005647EA" w:rsidRPr="00011269">
        <w:rPr>
          <w:rFonts w:ascii="Sylfaen" w:hAnsi="Sylfaen" w:cs="Times New Roman"/>
          <w:b/>
        </w:rPr>
        <w:t>y</w:t>
      </w:r>
      <w:r w:rsidRPr="00011269">
        <w:rPr>
          <w:rFonts w:ascii="Sylfaen" w:hAnsi="Sylfaen" w:cs="Times New Roman"/>
          <w:b/>
        </w:rPr>
        <w:t xml:space="preserve"> for </w:t>
      </w:r>
      <w:r w:rsidR="00FA4676" w:rsidRPr="00011269">
        <w:rPr>
          <w:rFonts w:ascii="Sylfaen" w:hAnsi="Sylfaen" w:cs="Times New Roman"/>
          <w:b/>
        </w:rPr>
        <w:t>support to SMEs</w:t>
      </w:r>
      <w:r w:rsidR="005647EA" w:rsidRPr="00011269">
        <w:rPr>
          <w:rFonts w:ascii="Sylfaen" w:hAnsi="Sylfaen" w:cs="Times New Roman"/>
          <w:b/>
        </w:rPr>
        <w:t xml:space="preserve"> at scale, and some marquee foreign investments could offer targeted opportunities at a limited scale</w:t>
      </w:r>
      <w:r w:rsidRPr="00011269">
        <w:rPr>
          <w:rFonts w:ascii="Sylfaen" w:hAnsi="Sylfaen" w:cs="Times New Roman"/>
          <w:b/>
        </w:rPr>
        <w:t xml:space="preserve">. </w:t>
      </w:r>
      <w:r w:rsidR="00FA4676" w:rsidRPr="00011269">
        <w:rPr>
          <w:rFonts w:ascii="Sylfaen" w:hAnsi="Sylfaen" w:cs="Times New Roman"/>
        </w:rPr>
        <w:t>Taking cognizance of how its policies have thwarted a key source of job creation, the GOI can create more space for SME participation in its current economic activities</w:t>
      </w:r>
      <w:r w:rsidRPr="00011269">
        <w:rPr>
          <w:rFonts w:ascii="Sylfaen" w:hAnsi="Sylfaen" w:cs="Times New Roman"/>
        </w:rPr>
        <w:t>. A</w:t>
      </w:r>
      <w:r w:rsidR="002B02FF" w:rsidRPr="00011269">
        <w:rPr>
          <w:rFonts w:ascii="Sylfaen" w:hAnsi="Sylfaen" w:cs="Times New Roman"/>
        </w:rPr>
        <w:t xml:space="preserve"> prominent </w:t>
      </w:r>
      <w:r w:rsidRPr="00011269">
        <w:rPr>
          <w:rFonts w:ascii="Sylfaen" w:hAnsi="Sylfaen" w:cs="Times New Roman"/>
        </w:rPr>
        <w:t xml:space="preserve">opportunity is to give </w:t>
      </w:r>
      <w:r w:rsidR="002B02FF" w:rsidRPr="00011269">
        <w:rPr>
          <w:rFonts w:ascii="Sylfaen" w:hAnsi="Sylfaen" w:cs="Times New Roman"/>
        </w:rPr>
        <w:t>preference to local sourcing and hiring in procurement contracts</w:t>
      </w:r>
      <w:r w:rsidR="00FA4676" w:rsidRPr="00011269">
        <w:rPr>
          <w:rFonts w:ascii="Sylfaen" w:hAnsi="Sylfaen" w:cs="Times New Roman"/>
        </w:rPr>
        <w:t>.</w:t>
      </w:r>
      <w:r w:rsidRPr="00011269">
        <w:rPr>
          <w:rFonts w:ascii="Sylfaen" w:hAnsi="Sylfaen" w:cs="Times New Roman"/>
        </w:rPr>
        <w:t xml:space="preserve"> Some preferential treatment in the </w:t>
      </w:r>
      <w:r w:rsidR="00C817CA" w:rsidRPr="00011269">
        <w:rPr>
          <w:rFonts w:ascii="Sylfaen" w:hAnsi="Sylfaen" w:cs="Times New Roman"/>
        </w:rPr>
        <w:t xml:space="preserve">award </w:t>
      </w:r>
      <w:r w:rsidRPr="00011269">
        <w:rPr>
          <w:rFonts w:ascii="Sylfaen" w:hAnsi="Sylfaen" w:cs="Times New Roman"/>
        </w:rPr>
        <w:t xml:space="preserve">of construction contracts is one current positive example of such support. </w:t>
      </w:r>
      <w:r w:rsidR="005A78A5">
        <w:rPr>
          <w:rFonts w:ascii="Sylfaen" w:hAnsi="Sylfaen" w:cs="Times New Roman"/>
        </w:rPr>
        <w:t>F</w:t>
      </w:r>
      <w:r w:rsidR="00FA4676" w:rsidRPr="00011269">
        <w:rPr>
          <w:rFonts w:ascii="Sylfaen" w:hAnsi="Sylfaen" w:cs="Times New Roman"/>
        </w:rPr>
        <w:t xml:space="preserve">oreign </w:t>
      </w:r>
      <w:r w:rsidR="00F329F7" w:rsidRPr="00011269">
        <w:rPr>
          <w:rFonts w:ascii="Sylfaen" w:hAnsi="Sylfaen" w:cs="Times New Roman"/>
        </w:rPr>
        <w:t xml:space="preserve">investors </w:t>
      </w:r>
      <w:r w:rsidRPr="00011269">
        <w:rPr>
          <w:rFonts w:ascii="Sylfaen" w:hAnsi="Sylfaen" w:cs="Times New Roman"/>
        </w:rPr>
        <w:t xml:space="preserve">also </w:t>
      </w:r>
      <w:r w:rsidR="00FA4676" w:rsidRPr="00011269">
        <w:rPr>
          <w:rFonts w:ascii="Sylfaen" w:hAnsi="Sylfaen" w:cs="Times New Roman"/>
        </w:rPr>
        <w:t>have some potential to foster SME development</w:t>
      </w:r>
      <w:r w:rsidR="002D0025" w:rsidRPr="00011269">
        <w:rPr>
          <w:rFonts w:ascii="Sylfaen" w:hAnsi="Sylfaen" w:cs="Times New Roman"/>
        </w:rPr>
        <w:t xml:space="preserve"> –</w:t>
      </w:r>
      <w:r w:rsidR="00FA4676" w:rsidRPr="00011269">
        <w:rPr>
          <w:rFonts w:ascii="Sylfaen" w:hAnsi="Sylfaen" w:cs="Times New Roman"/>
        </w:rPr>
        <w:t xml:space="preserve"> but not without specific policies and arrangements that provide special incentives. ‘</w:t>
      </w:r>
      <w:r w:rsidR="00FA4676" w:rsidRPr="00011269">
        <w:rPr>
          <w:rFonts w:ascii="Sylfaen" w:hAnsi="Sylfaen"/>
          <w:bCs/>
        </w:rPr>
        <w:t>Indirect Offsets’ are a</w:t>
      </w:r>
      <w:r w:rsidR="005A78A5">
        <w:rPr>
          <w:rFonts w:ascii="Sylfaen" w:hAnsi="Sylfaen"/>
          <w:bCs/>
        </w:rPr>
        <w:t>n</w:t>
      </w:r>
      <w:r w:rsidR="00FA4676" w:rsidRPr="00011269">
        <w:rPr>
          <w:rFonts w:ascii="Sylfaen" w:hAnsi="Sylfaen"/>
          <w:bCs/>
        </w:rPr>
        <w:t xml:space="preserve"> example of how GOI can require foreign firms </w:t>
      </w:r>
      <w:r w:rsidR="002D0025" w:rsidRPr="00011269">
        <w:rPr>
          <w:rFonts w:ascii="Sylfaen" w:hAnsi="Sylfaen"/>
          <w:bCs/>
        </w:rPr>
        <w:t xml:space="preserve">benefiting from oil and defense contracts </w:t>
      </w:r>
      <w:r w:rsidR="00FA4676" w:rsidRPr="00011269">
        <w:rPr>
          <w:rFonts w:ascii="Sylfaen" w:hAnsi="Sylfaen"/>
          <w:bCs/>
        </w:rPr>
        <w:t>to promote SME development.</w:t>
      </w:r>
      <w:r w:rsidR="002D0025" w:rsidRPr="00011269">
        <w:rPr>
          <w:rFonts w:ascii="Sylfaen" w:hAnsi="Sylfaen"/>
          <w:bCs/>
        </w:rPr>
        <w:t xml:space="preserve"> In the longer term, similar support can be asked of firms investing in Iraq’s reconstruction in capital-intensive sectors such as energy, </w:t>
      </w:r>
      <w:r w:rsidR="002D0025" w:rsidRPr="00011269">
        <w:rPr>
          <w:rFonts w:ascii="Sylfaen" w:hAnsi="Sylfaen"/>
        </w:rPr>
        <w:t>transport and power.</w:t>
      </w:r>
    </w:p>
    <w:p w14:paraId="55C1F870" w14:textId="3D753B2B" w:rsidR="001F2824" w:rsidRPr="00034A4A" w:rsidRDefault="001F2824" w:rsidP="008769F4">
      <w:pPr>
        <w:spacing w:after="120"/>
        <w:jc w:val="both"/>
        <w:rPr>
          <w:rFonts w:ascii="Sylfaen" w:hAnsi="Sylfaen" w:cs="Times New Roman"/>
        </w:rPr>
      </w:pPr>
      <w:r w:rsidRPr="00034A4A">
        <w:rPr>
          <w:rFonts w:ascii="Sylfaen" w:hAnsi="Sylfaen" w:cs="Times New Roman"/>
          <w:b/>
        </w:rPr>
        <w:t>Investment in agriculture, construction, and religious tourism can boost demand for SMEs, in particular those active in services.</w:t>
      </w:r>
      <w:r w:rsidRPr="00034A4A">
        <w:rPr>
          <w:rFonts w:ascii="Sylfaen" w:hAnsi="Sylfaen" w:cs="Times New Roman"/>
        </w:rPr>
        <w:t xml:space="preserve"> A short-term job strategy led by agriculture and construction will provide </w:t>
      </w:r>
      <w:r w:rsidR="000F2DBD" w:rsidRPr="00034A4A">
        <w:rPr>
          <w:rFonts w:ascii="Sylfaen" w:hAnsi="Sylfaen" w:cs="Times New Roman"/>
        </w:rPr>
        <w:t xml:space="preserve">business opportunities for SMEs. </w:t>
      </w:r>
      <w:r w:rsidR="00C86CFE">
        <w:rPr>
          <w:rFonts w:ascii="Sylfaen" w:hAnsi="Sylfaen" w:cs="Times New Roman"/>
        </w:rPr>
        <w:t>W</w:t>
      </w:r>
      <w:r w:rsidR="00AA395C" w:rsidRPr="00034A4A">
        <w:rPr>
          <w:rFonts w:ascii="Sylfaen" w:hAnsi="Sylfaen" w:cs="Times New Roman"/>
        </w:rPr>
        <w:t>e have</w:t>
      </w:r>
      <w:r w:rsidRPr="00034A4A">
        <w:rPr>
          <w:rFonts w:ascii="Sylfaen" w:hAnsi="Sylfaen" w:cs="Times New Roman"/>
        </w:rPr>
        <w:t xml:space="preserve"> argued that SME job creation in construction </w:t>
      </w:r>
      <w:r w:rsidR="00AA395C" w:rsidRPr="00034A4A">
        <w:rPr>
          <w:rFonts w:ascii="Sylfaen" w:hAnsi="Sylfaen" w:cs="Times New Roman"/>
        </w:rPr>
        <w:t xml:space="preserve">will benefit it </w:t>
      </w:r>
      <w:r w:rsidRPr="00034A4A">
        <w:rPr>
          <w:rFonts w:ascii="Sylfaen" w:hAnsi="Sylfaen" w:cs="Times New Roman"/>
        </w:rPr>
        <w:t xml:space="preserve">the agencies implementing construction and public works rely as much as possible on local private businesses. </w:t>
      </w:r>
      <w:r w:rsidRPr="00034A4A">
        <w:rPr>
          <w:rFonts w:ascii="Sylfaen" w:hAnsi="Sylfaen" w:cs="Times New Roman"/>
          <w:szCs w:val="24"/>
        </w:rPr>
        <w:t>Agribusiness also has abundant employment potential in the short term, if progress can be made in agriculture recovery. The presence of SMEs in activities such as transport to farm and to market can facilitate job creation in the short to medium term, unconstrained by government regulations and delays due to overdue reforms.</w:t>
      </w:r>
      <w:r w:rsidR="00A12A43" w:rsidRPr="00034A4A">
        <w:rPr>
          <w:rFonts w:ascii="Sylfaen" w:hAnsi="Sylfaen" w:cs="Times New Roman"/>
          <w:szCs w:val="24"/>
        </w:rPr>
        <w:t xml:space="preserve"> Home-based businesses can create opportunities for women excluded from other segments of the labor market.</w:t>
      </w:r>
      <w:r w:rsidRPr="00034A4A">
        <w:rPr>
          <w:rFonts w:ascii="Sylfaen" w:hAnsi="Sylfaen" w:cs="Times New Roman"/>
          <w:szCs w:val="24"/>
        </w:rPr>
        <w:t xml:space="preserve"> </w:t>
      </w:r>
      <w:r w:rsidR="00860A33" w:rsidRPr="00034A4A">
        <w:rPr>
          <w:rFonts w:ascii="Sylfaen" w:hAnsi="Sylfaen" w:cs="Times New Roman"/>
          <w:szCs w:val="24"/>
        </w:rPr>
        <w:t xml:space="preserve">Business opportunities for IDPs and returnees who were previously active in commerce deserve particular attention. </w:t>
      </w:r>
      <w:r w:rsidRPr="00034A4A">
        <w:rPr>
          <w:rFonts w:ascii="Sylfaen" w:hAnsi="Sylfaen" w:cs="Times New Roman"/>
          <w:szCs w:val="24"/>
        </w:rPr>
        <w:t xml:space="preserve">In the longer term, budding SME involvement can foster </w:t>
      </w:r>
      <w:r w:rsidRPr="00034A4A">
        <w:rPr>
          <w:rFonts w:ascii="Sylfaen" w:hAnsi="Sylfaen" w:cs="Times New Roman"/>
        </w:rPr>
        <w:t xml:space="preserve">upstream industries for agro-processing and modern services. Beyond these two sectors, religious tourism </w:t>
      </w:r>
      <w:r w:rsidR="000F2DBD" w:rsidRPr="00034A4A">
        <w:rPr>
          <w:rFonts w:ascii="Sylfaen" w:hAnsi="Sylfaen" w:cs="Times New Roman"/>
        </w:rPr>
        <w:t xml:space="preserve">is worth highlighting as an additional source of demand. The sub-sector </w:t>
      </w:r>
      <w:r w:rsidRPr="00034A4A">
        <w:rPr>
          <w:rFonts w:ascii="Sylfaen" w:hAnsi="Sylfaen" w:cs="Times New Roman"/>
        </w:rPr>
        <w:t>has shown remarkable resilience throughout the years of conflict</w:t>
      </w:r>
      <w:r w:rsidR="000F2DBD" w:rsidRPr="00034A4A">
        <w:rPr>
          <w:rFonts w:ascii="Sylfaen" w:hAnsi="Sylfaen" w:cs="Times New Roman"/>
        </w:rPr>
        <w:t xml:space="preserve">, and it is estimated that in 2014, it supported 161,000 jobs directly, and 447,000 when linkages are taken into account, with a high elasticity of employment to </w:t>
      </w:r>
      <w:r w:rsidR="00605626" w:rsidRPr="00034A4A">
        <w:rPr>
          <w:rFonts w:ascii="Sylfaen" w:hAnsi="Sylfaen" w:cs="Times New Roman"/>
        </w:rPr>
        <w:t>income growth</w:t>
      </w:r>
      <w:r w:rsidR="000F2DBD" w:rsidRPr="00034A4A">
        <w:rPr>
          <w:rFonts w:ascii="Sylfaen" w:hAnsi="Sylfaen" w:cs="Times New Roman"/>
        </w:rPr>
        <w:t xml:space="preserve"> of 0.54 over the years 2009-2014</w:t>
      </w:r>
      <w:r w:rsidRPr="00034A4A">
        <w:rPr>
          <w:rFonts w:ascii="Sylfaen" w:hAnsi="Sylfaen" w:cs="Times New Roman"/>
        </w:rPr>
        <w:t>.</w:t>
      </w:r>
      <w:r w:rsidR="00975B20" w:rsidRPr="00034A4A">
        <w:rPr>
          <w:rStyle w:val="FootnoteReference"/>
          <w:rFonts w:ascii="Sylfaen" w:hAnsi="Sylfaen" w:cs="Times New Roman"/>
        </w:rPr>
        <w:footnoteReference w:id="20"/>
      </w:r>
      <w:r w:rsidRPr="00034A4A">
        <w:rPr>
          <w:rFonts w:ascii="Sylfaen" w:hAnsi="Sylfaen" w:cs="Times New Roman"/>
        </w:rPr>
        <w:t xml:space="preserve"> The facilities and transport religious tourists use are mostly basic, and there is much potential for services that provide greater value added.</w:t>
      </w:r>
    </w:p>
    <w:p w14:paraId="06085579" w14:textId="346D6337" w:rsidR="00841BCC" w:rsidRPr="00034A4A" w:rsidRDefault="00841BCC" w:rsidP="008769F4">
      <w:pPr>
        <w:spacing w:after="120"/>
        <w:jc w:val="both"/>
        <w:rPr>
          <w:rFonts w:ascii="Sylfaen" w:hAnsi="Sylfaen" w:cs="Times New Roman"/>
        </w:rPr>
      </w:pPr>
      <w:r w:rsidRPr="00034A4A">
        <w:rPr>
          <w:rFonts w:ascii="Sylfaen" w:hAnsi="Sylfaen" w:cs="Times New Roman"/>
        </w:rPr>
        <w:br w:type="page"/>
      </w:r>
    </w:p>
    <w:p w14:paraId="638411AA" w14:textId="26862C4C" w:rsidR="00A97C2C" w:rsidRPr="00034A4A" w:rsidRDefault="00A97C2C" w:rsidP="008769F4">
      <w:pPr>
        <w:spacing w:after="120"/>
        <w:jc w:val="both"/>
        <w:rPr>
          <w:rFonts w:ascii="Sylfaen" w:hAnsi="Sylfaen" w:cs="Times New Roman"/>
          <w:b/>
        </w:rPr>
      </w:pPr>
      <w:r w:rsidRPr="00034A4A">
        <w:rPr>
          <w:rFonts w:ascii="Sylfaen" w:hAnsi="Sylfaen" w:cs="Times New Roman"/>
          <w:b/>
        </w:rPr>
        <w:t xml:space="preserve">Figure 3: </w:t>
      </w:r>
      <w:r w:rsidR="00D02F6A" w:rsidRPr="00034A4A">
        <w:rPr>
          <w:rFonts w:ascii="Sylfaen" w:hAnsi="Sylfaen" w:cs="Times New Roman"/>
          <w:b/>
        </w:rPr>
        <w:t>private business are important employers and have a presence in construction materials and food processing</w:t>
      </w:r>
    </w:p>
    <w:tbl>
      <w:tblPr>
        <w:tblStyle w:val="TableGrid"/>
        <w:tblW w:w="7195" w:type="dxa"/>
        <w:tblLayout w:type="fixed"/>
        <w:tblLook w:val="04A0" w:firstRow="1" w:lastRow="0" w:firstColumn="1" w:lastColumn="0" w:noHBand="0" w:noVBand="1"/>
      </w:tblPr>
      <w:tblGrid>
        <w:gridCol w:w="7195"/>
      </w:tblGrid>
      <w:tr w:rsidR="002C12F6" w:rsidRPr="00034A4A" w14:paraId="1CD2CE86" w14:textId="77777777" w:rsidTr="00D60B22">
        <w:tc>
          <w:tcPr>
            <w:tcW w:w="7195" w:type="dxa"/>
          </w:tcPr>
          <w:p w14:paraId="4C38B101" w14:textId="23CC688E" w:rsidR="002C12F6" w:rsidRPr="00034A4A" w:rsidRDefault="002C12F6" w:rsidP="008769F4">
            <w:pPr>
              <w:spacing w:after="120" w:line="259" w:lineRule="auto"/>
              <w:jc w:val="both"/>
              <w:rPr>
                <w:rFonts w:ascii="Sylfaen" w:hAnsi="Sylfaen" w:cs="Times New Roman"/>
                <w:sz w:val="20"/>
                <w:szCs w:val="20"/>
              </w:rPr>
            </w:pPr>
            <w:r w:rsidRPr="00034A4A">
              <w:rPr>
                <w:rFonts w:ascii="Sylfaen" w:hAnsi="Sylfaen" w:cs="Times New Roman"/>
                <w:sz w:val="20"/>
                <w:szCs w:val="20"/>
              </w:rPr>
              <w:t>Figure 3A. In 201</w:t>
            </w:r>
            <w:r w:rsidR="00D02F6A" w:rsidRPr="00034A4A">
              <w:rPr>
                <w:rFonts w:ascii="Sylfaen" w:hAnsi="Sylfaen" w:cs="Times New Roman"/>
                <w:sz w:val="20"/>
                <w:szCs w:val="20"/>
              </w:rPr>
              <w:t>4</w:t>
            </w:r>
            <w:r w:rsidRPr="00034A4A">
              <w:rPr>
                <w:rFonts w:ascii="Sylfaen" w:hAnsi="Sylfaen" w:cs="Times New Roman"/>
                <w:sz w:val="20"/>
                <w:szCs w:val="20"/>
              </w:rPr>
              <w:t xml:space="preserve">, 60% of total employment was in the private sector - construction, commerce, and transport were the largest employers. </w:t>
            </w:r>
          </w:p>
        </w:tc>
      </w:tr>
      <w:tr w:rsidR="002C12F6" w:rsidRPr="00034A4A" w14:paraId="72BBE3EF" w14:textId="77777777" w:rsidTr="00FB12CD">
        <w:trPr>
          <w:trHeight w:val="4625"/>
        </w:trPr>
        <w:tc>
          <w:tcPr>
            <w:tcW w:w="7195" w:type="dxa"/>
          </w:tcPr>
          <w:p w14:paraId="5E49B9CD" w14:textId="73D3E4DA" w:rsidR="002C12F6" w:rsidRPr="00034A4A" w:rsidRDefault="00D02F6A" w:rsidP="008769F4">
            <w:pPr>
              <w:spacing w:after="120" w:line="259" w:lineRule="auto"/>
              <w:jc w:val="both"/>
              <w:rPr>
                <w:rFonts w:ascii="Sylfaen" w:hAnsi="Sylfaen" w:cs="Times New Roman"/>
              </w:rPr>
            </w:pPr>
            <w:r w:rsidRPr="00034A4A">
              <w:rPr>
                <w:noProof/>
              </w:rPr>
              <w:drawing>
                <wp:inline distT="0" distB="0" distL="0" distR="0" wp14:anchorId="53F86972" wp14:editId="762A93AA">
                  <wp:extent cx="4356340" cy="2898475"/>
                  <wp:effectExtent l="0" t="0" r="6350" b="16510"/>
                  <wp:docPr id="10" name="Chart 10">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2C12F6" w:rsidRPr="00034A4A" w14:paraId="000C7277" w14:textId="77777777" w:rsidTr="00D60B22">
        <w:tc>
          <w:tcPr>
            <w:tcW w:w="7195" w:type="dxa"/>
          </w:tcPr>
          <w:p w14:paraId="6F35DA81" w14:textId="72D2C896" w:rsidR="002C12F6" w:rsidRPr="00034A4A" w:rsidRDefault="002C12F6" w:rsidP="008769F4">
            <w:pPr>
              <w:spacing w:after="120" w:line="259" w:lineRule="auto"/>
              <w:jc w:val="both"/>
              <w:rPr>
                <w:rFonts w:ascii="Sylfaen" w:hAnsi="Sylfaen" w:cs="Times New Roman"/>
                <w:noProof/>
                <w:sz w:val="20"/>
                <w:szCs w:val="20"/>
              </w:rPr>
            </w:pPr>
            <w:r w:rsidRPr="00034A4A">
              <w:rPr>
                <w:rFonts w:ascii="Sylfaen" w:hAnsi="Sylfaen" w:cs="Times New Roman"/>
                <w:sz w:val="20"/>
                <w:szCs w:val="20"/>
              </w:rPr>
              <w:t xml:space="preserve">Figure 3B. </w:t>
            </w:r>
            <w:r w:rsidR="00D02F6A" w:rsidRPr="00034A4A">
              <w:rPr>
                <w:rFonts w:ascii="Sylfaen" w:hAnsi="Sylfaen" w:cs="Times New Roman"/>
                <w:sz w:val="20"/>
                <w:szCs w:val="20"/>
              </w:rPr>
              <w:t xml:space="preserve">In manufacturing, </w:t>
            </w:r>
            <w:r w:rsidRPr="00034A4A">
              <w:rPr>
                <w:rFonts w:ascii="Sylfaen" w:hAnsi="Sylfaen" w:cs="Times New Roman"/>
                <w:sz w:val="20"/>
                <w:szCs w:val="20"/>
              </w:rPr>
              <w:t xml:space="preserve">private sector activity </w:t>
            </w:r>
            <w:r w:rsidR="00D02F6A" w:rsidRPr="00034A4A">
              <w:rPr>
                <w:rFonts w:ascii="Sylfaen" w:hAnsi="Sylfaen" w:cs="Times New Roman"/>
                <w:sz w:val="20"/>
                <w:szCs w:val="20"/>
              </w:rPr>
              <w:t xml:space="preserve">is most common in </w:t>
            </w:r>
            <w:r w:rsidRPr="00034A4A">
              <w:rPr>
                <w:rFonts w:ascii="Sylfaen" w:hAnsi="Sylfaen" w:cs="Times New Roman"/>
                <w:sz w:val="20"/>
                <w:szCs w:val="20"/>
              </w:rPr>
              <w:t>construction materials</w:t>
            </w:r>
            <w:r w:rsidR="00D02F6A" w:rsidRPr="00034A4A">
              <w:rPr>
                <w:rFonts w:ascii="Sylfaen" w:hAnsi="Sylfaen" w:cs="Times New Roman"/>
                <w:sz w:val="20"/>
                <w:szCs w:val="20"/>
              </w:rPr>
              <w:t xml:space="preserve"> and food processing</w:t>
            </w:r>
            <w:r w:rsidRPr="00034A4A">
              <w:rPr>
                <w:rFonts w:ascii="Sylfaen" w:hAnsi="Sylfaen" w:cs="Times New Roman"/>
                <w:sz w:val="20"/>
                <w:szCs w:val="20"/>
              </w:rPr>
              <w:t>.</w:t>
            </w:r>
          </w:p>
        </w:tc>
      </w:tr>
      <w:tr w:rsidR="002C12F6" w:rsidRPr="00034A4A" w14:paraId="523018D0" w14:textId="77777777" w:rsidTr="00D60B22">
        <w:tc>
          <w:tcPr>
            <w:tcW w:w="7195" w:type="dxa"/>
          </w:tcPr>
          <w:p w14:paraId="22813738" w14:textId="14694027" w:rsidR="002C12F6" w:rsidRPr="00034A4A" w:rsidRDefault="002C12F6" w:rsidP="008769F4">
            <w:pPr>
              <w:spacing w:after="120" w:line="259" w:lineRule="auto"/>
              <w:jc w:val="both"/>
              <w:rPr>
                <w:rFonts w:ascii="Sylfaen" w:hAnsi="Sylfaen" w:cs="Times New Roman"/>
                <w:noProof/>
              </w:rPr>
            </w:pPr>
            <w:r w:rsidRPr="00034A4A">
              <w:rPr>
                <w:rFonts w:ascii="Sylfaen" w:hAnsi="Sylfaen" w:cs="Times New Roman"/>
                <w:noProof/>
              </w:rPr>
              <w:drawing>
                <wp:inline distT="0" distB="0" distL="0" distR="0" wp14:anchorId="24CED5E9" wp14:editId="260B45CC">
                  <wp:extent cx="4305935" cy="3190875"/>
                  <wp:effectExtent l="0" t="0" r="0" b="9525"/>
                  <wp:docPr id="23" name="Content Placeholder 1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2" name="Content Placeholder 11"/>
                          <pic:cNvPicPr>
                            <a:picLocks noGrp="1" noChangeAspect="1"/>
                          </pic:cNvPicPr>
                        </pic:nvPicPr>
                        <pic:blipFill>
                          <a:blip r:embed="rId19"/>
                          <a:stretch>
                            <a:fillRect/>
                          </a:stretch>
                        </pic:blipFill>
                        <pic:spPr>
                          <a:xfrm>
                            <a:off x="0" y="0"/>
                            <a:ext cx="4317463" cy="3199418"/>
                          </a:xfrm>
                          <a:prstGeom prst="rect">
                            <a:avLst/>
                          </a:prstGeom>
                        </pic:spPr>
                      </pic:pic>
                    </a:graphicData>
                  </a:graphic>
                </wp:inline>
              </w:drawing>
            </w:r>
          </w:p>
        </w:tc>
      </w:tr>
      <w:tr w:rsidR="002C12F6" w:rsidRPr="00034A4A" w14:paraId="7D057C08" w14:textId="77777777" w:rsidTr="00D60B22">
        <w:tc>
          <w:tcPr>
            <w:tcW w:w="7195" w:type="dxa"/>
          </w:tcPr>
          <w:p w14:paraId="7AE9F914" w14:textId="1B6609AC" w:rsidR="002C12F6" w:rsidRPr="00034A4A" w:rsidRDefault="002C12F6" w:rsidP="008769F4">
            <w:pPr>
              <w:spacing w:after="120" w:line="259" w:lineRule="auto"/>
              <w:jc w:val="both"/>
              <w:rPr>
                <w:rFonts w:ascii="Sylfaen" w:hAnsi="Sylfaen" w:cs="Times New Roman"/>
                <w:noProof/>
                <w:sz w:val="20"/>
                <w:szCs w:val="20"/>
              </w:rPr>
            </w:pPr>
            <w:r w:rsidRPr="00034A4A">
              <w:rPr>
                <w:rFonts w:ascii="Sylfaen" w:hAnsi="Sylfaen" w:cs="Times New Roman"/>
                <w:noProof/>
                <w:sz w:val="20"/>
                <w:szCs w:val="20"/>
              </w:rPr>
              <w:t>Source: 201</w:t>
            </w:r>
            <w:r w:rsidR="00D02F6A" w:rsidRPr="00034A4A">
              <w:rPr>
                <w:rFonts w:ascii="Sylfaen" w:hAnsi="Sylfaen" w:cs="Times New Roman"/>
                <w:noProof/>
                <w:sz w:val="20"/>
                <w:szCs w:val="20"/>
              </w:rPr>
              <w:t>4</w:t>
            </w:r>
            <w:r w:rsidRPr="00034A4A">
              <w:rPr>
                <w:rFonts w:ascii="Sylfaen" w:hAnsi="Sylfaen" w:cs="Times New Roman"/>
                <w:noProof/>
                <w:sz w:val="20"/>
                <w:szCs w:val="20"/>
              </w:rPr>
              <w:t xml:space="preserve"> IHSES, 2011 Enterprise Survey</w:t>
            </w:r>
            <w:r w:rsidR="00D02F6A" w:rsidRPr="00034A4A">
              <w:rPr>
                <w:rFonts w:ascii="Sylfaen" w:hAnsi="Sylfaen" w:cs="Times New Roman"/>
                <w:noProof/>
                <w:sz w:val="20"/>
                <w:szCs w:val="20"/>
              </w:rPr>
              <w:t>.</w:t>
            </w:r>
          </w:p>
        </w:tc>
      </w:tr>
    </w:tbl>
    <w:p w14:paraId="41D42CC4" w14:textId="77777777" w:rsidR="00A12A43" w:rsidRPr="00034A4A" w:rsidRDefault="00A12A43" w:rsidP="008769F4">
      <w:pPr>
        <w:spacing w:after="120"/>
        <w:jc w:val="both"/>
        <w:rPr>
          <w:rFonts w:ascii="Sylfaen" w:hAnsi="Sylfaen" w:cs="Times New Roman"/>
          <w:b/>
        </w:rPr>
      </w:pPr>
    </w:p>
    <w:p w14:paraId="148B8357" w14:textId="63780C39" w:rsidR="00CE2C16" w:rsidRPr="00034A4A" w:rsidRDefault="00965EF0" w:rsidP="008769F4">
      <w:pPr>
        <w:spacing w:after="120"/>
        <w:jc w:val="both"/>
        <w:rPr>
          <w:rFonts w:ascii="Sylfaen" w:hAnsi="Sylfaen"/>
        </w:rPr>
      </w:pPr>
      <w:r w:rsidRPr="00011269">
        <w:rPr>
          <w:rFonts w:ascii="Sylfaen" w:hAnsi="Sylfaen" w:cs="Times New Roman"/>
          <w:b/>
        </w:rPr>
        <w:t>SME support at project scale can help sow the seeds for a better business environment at large.</w:t>
      </w:r>
      <w:r w:rsidRPr="00011269">
        <w:rPr>
          <w:rFonts w:ascii="Sylfaen" w:hAnsi="Sylfaen" w:cs="Times New Roman"/>
        </w:rPr>
        <w:t xml:space="preserve"> Across the </w:t>
      </w:r>
      <w:r w:rsidR="00C86CFE">
        <w:rPr>
          <w:rFonts w:ascii="Sylfaen" w:hAnsi="Sylfaen" w:cs="Times New Roman"/>
        </w:rPr>
        <w:t>Middle East and North Afric</w:t>
      </w:r>
      <w:r w:rsidR="00C86CFE">
        <w:rPr>
          <w:rFonts w:ascii="Sylfaen" w:hAnsi="Sylfaen" w:cs="Times New Roman"/>
        </w:rPr>
        <w:t>a</w:t>
      </w:r>
      <w:r w:rsidRPr="00011269">
        <w:rPr>
          <w:rFonts w:ascii="Sylfaen" w:hAnsi="Sylfaen" w:cs="Times New Roman"/>
        </w:rPr>
        <w:t xml:space="preserve"> region, the </w:t>
      </w:r>
      <w:r w:rsidR="00C86CFE">
        <w:rPr>
          <w:rFonts w:ascii="Sylfaen" w:hAnsi="Sylfaen" w:cs="Times New Roman"/>
        </w:rPr>
        <w:t xml:space="preserve">World Bank Group (WBG) </w:t>
      </w:r>
      <w:r w:rsidRPr="00011269">
        <w:rPr>
          <w:rFonts w:ascii="Sylfaen" w:hAnsi="Sylfaen" w:cs="Times New Roman"/>
        </w:rPr>
        <w:t>has supported SMEs</w:t>
      </w:r>
      <w:r w:rsidR="00605626" w:rsidRPr="00011269">
        <w:rPr>
          <w:rFonts w:ascii="Sylfaen" w:hAnsi="Sylfaen" w:cs="Times New Roman"/>
        </w:rPr>
        <w:t>, and the relevant instruments are well-understood.</w:t>
      </w:r>
      <w:r w:rsidRPr="00011269">
        <w:rPr>
          <w:rFonts w:ascii="Sylfaen" w:hAnsi="Sylfaen" w:cs="Times New Roman"/>
        </w:rPr>
        <w:t xml:space="preserve"> In Iraq, the difficult business environment </w:t>
      </w:r>
      <w:r w:rsidR="00605626" w:rsidRPr="00011269">
        <w:rPr>
          <w:rFonts w:ascii="Sylfaen" w:hAnsi="Sylfaen" w:cs="Times New Roman"/>
        </w:rPr>
        <w:t xml:space="preserve">closes some </w:t>
      </w:r>
      <w:r w:rsidRPr="00011269">
        <w:rPr>
          <w:rFonts w:ascii="Sylfaen" w:hAnsi="Sylfaen" w:cs="Times New Roman"/>
        </w:rPr>
        <w:t>entry points</w:t>
      </w:r>
      <w:r w:rsidR="00605626" w:rsidRPr="00011269">
        <w:rPr>
          <w:rFonts w:ascii="Sylfaen" w:hAnsi="Sylfaen" w:cs="Times New Roman"/>
        </w:rPr>
        <w:t xml:space="preserve"> in the immediate term</w:t>
      </w:r>
      <w:r w:rsidRPr="00011269">
        <w:rPr>
          <w:rFonts w:ascii="Sylfaen" w:hAnsi="Sylfaen" w:cs="Times New Roman"/>
        </w:rPr>
        <w:t xml:space="preserve">. However, </w:t>
      </w:r>
      <w:r w:rsidR="00605626" w:rsidRPr="00011269">
        <w:rPr>
          <w:rFonts w:ascii="Sylfaen" w:hAnsi="Sylfaen" w:cs="Times New Roman"/>
        </w:rPr>
        <w:t>there are possible starting points. These include projects that finance community investments and deliver them through the private firms wherever possible. T</w:t>
      </w:r>
      <w:r w:rsidRPr="00011269">
        <w:rPr>
          <w:rFonts w:ascii="Sylfaen" w:hAnsi="Sylfaen" w:cs="Times New Roman"/>
          <w:bCs/>
        </w:rPr>
        <w:t xml:space="preserve">he </w:t>
      </w:r>
      <w:r w:rsidR="00AA2828" w:rsidRPr="00011269">
        <w:rPr>
          <w:rFonts w:ascii="Sylfaen" w:hAnsi="Sylfaen" w:cs="Times New Roman"/>
          <w:bCs/>
        </w:rPr>
        <w:t xml:space="preserve">World Bank’s </w:t>
      </w:r>
      <w:r w:rsidRPr="00011269">
        <w:rPr>
          <w:rFonts w:ascii="Sylfaen" w:hAnsi="Sylfaen" w:cs="Times New Roman"/>
          <w:bCs/>
          <w:i/>
        </w:rPr>
        <w:t xml:space="preserve">Emergency </w:t>
      </w:r>
      <w:r w:rsidR="00AA2828" w:rsidRPr="00011269">
        <w:rPr>
          <w:rFonts w:ascii="Sylfaen" w:hAnsi="Sylfaen" w:cs="Times New Roman"/>
          <w:bCs/>
          <w:i/>
        </w:rPr>
        <w:t xml:space="preserve">Operation for </w:t>
      </w:r>
      <w:r w:rsidRPr="00011269">
        <w:rPr>
          <w:rFonts w:ascii="Sylfaen" w:hAnsi="Sylfaen" w:cs="Times New Roman"/>
          <w:bCs/>
          <w:i/>
        </w:rPr>
        <w:t>Development</w:t>
      </w:r>
      <w:r w:rsidRPr="00011269">
        <w:rPr>
          <w:rFonts w:ascii="Sylfaen" w:hAnsi="Sylfaen" w:cs="Times New Roman"/>
          <w:bCs/>
        </w:rPr>
        <w:t xml:space="preserve"> </w:t>
      </w:r>
      <w:r w:rsidR="005647EA" w:rsidRPr="00011269">
        <w:rPr>
          <w:rFonts w:ascii="Sylfaen" w:hAnsi="Sylfaen" w:cs="Times New Roman"/>
          <w:bCs/>
        </w:rPr>
        <w:t xml:space="preserve">has made a </w:t>
      </w:r>
      <w:r w:rsidR="00C86CFE">
        <w:rPr>
          <w:rFonts w:ascii="Sylfaen" w:hAnsi="Sylfaen" w:cs="Times New Roman"/>
          <w:bCs/>
        </w:rPr>
        <w:t>concerted effort to streamline bidding processes and make them as accessible as possible to SMEs</w:t>
      </w:r>
      <w:r w:rsidR="00AA395C" w:rsidRPr="00011269">
        <w:rPr>
          <w:rFonts w:ascii="Sylfaen" w:hAnsi="Sylfaen" w:cs="Times New Roman"/>
        </w:rPr>
        <w:t>, and</w:t>
      </w:r>
      <w:r w:rsidRPr="00011269">
        <w:rPr>
          <w:rFonts w:ascii="Sylfaen" w:hAnsi="Sylfaen" w:cs="Times New Roman"/>
        </w:rPr>
        <w:t xml:space="preserve"> </w:t>
      </w:r>
      <w:r w:rsidR="00605626" w:rsidRPr="00011269">
        <w:rPr>
          <w:rFonts w:ascii="Sylfaen" w:hAnsi="Sylfaen" w:cs="Times New Roman"/>
        </w:rPr>
        <w:t>t</w:t>
      </w:r>
      <w:r w:rsidRPr="00011269">
        <w:rPr>
          <w:rFonts w:ascii="Sylfaen" w:hAnsi="Sylfaen" w:cs="Times New Roman"/>
        </w:rPr>
        <w:t>he</w:t>
      </w:r>
      <w:r w:rsidR="00AA2828" w:rsidRPr="00011269">
        <w:rPr>
          <w:rFonts w:ascii="Sylfaen" w:hAnsi="Sylfaen" w:cs="Times New Roman"/>
        </w:rPr>
        <w:t xml:space="preserve"> </w:t>
      </w:r>
      <w:r w:rsidRPr="00011269">
        <w:rPr>
          <w:rFonts w:ascii="Sylfaen" w:hAnsi="Sylfaen" w:cs="Times New Roman"/>
          <w:i/>
        </w:rPr>
        <w:t>Social Fund</w:t>
      </w:r>
      <w:r w:rsidR="00AA2828" w:rsidRPr="00011269">
        <w:rPr>
          <w:rFonts w:ascii="Sylfaen" w:hAnsi="Sylfaen" w:cs="Times New Roman"/>
          <w:i/>
        </w:rPr>
        <w:t xml:space="preserve"> for Development</w:t>
      </w:r>
      <w:r w:rsidRPr="00011269">
        <w:rPr>
          <w:rFonts w:ascii="Sylfaen" w:hAnsi="Sylfaen" w:cs="Times New Roman"/>
        </w:rPr>
        <w:t xml:space="preserve"> envisages a</w:t>
      </w:r>
      <w:r w:rsidR="00AA395C" w:rsidRPr="00011269">
        <w:rPr>
          <w:rFonts w:ascii="Sylfaen" w:hAnsi="Sylfaen" w:cs="Times New Roman"/>
        </w:rPr>
        <w:t>n</w:t>
      </w:r>
      <w:r w:rsidRPr="00011269">
        <w:rPr>
          <w:rFonts w:ascii="Sylfaen" w:hAnsi="Sylfaen" w:cs="Times New Roman"/>
        </w:rPr>
        <w:t xml:space="preserve"> SME window. </w:t>
      </w:r>
      <w:r w:rsidR="001F2824" w:rsidRPr="00011269">
        <w:rPr>
          <w:rFonts w:ascii="Sylfaen" w:hAnsi="Sylfaen" w:cs="Times New Roman"/>
        </w:rPr>
        <w:t>The MENA experience suggests that the potential scale of job creation at the project level can be significant</w:t>
      </w:r>
      <w:r w:rsidRPr="00011269">
        <w:rPr>
          <w:rFonts w:ascii="Sylfaen" w:hAnsi="Sylfaen" w:cs="Times New Roman"/>
        </w:rPr>
        <w:t>,</w:t>
      </w:r>
      <w:r w:rsidR="001F2824" w:rsidRPr="00011269">
        <w:rPr>
          <w:rFonts w:ascii="Sylfaen" w:hAnsi="Sylfaen" w:cs="Times New Roman"/>
        </w:rPr>
        <w:t xml:space="preserve"> though far from adequate </w:t>
      </w:r>
      <w:r w:rsidR="00D05EFC" w:rsidRPr="00011269">
        <w:rPr>
          <w:rFonts w:ascii="Sylfaen" w:hAnsi="Sylfaen" w:cs="Times New Roman"/>
        </w:rPr>
        <w:t xml:space="preserve">in itself </w:t>
      </w:r>
      <w:r w:rsidR="001F2824" w:rsidRPr="00011269">
        <w:rPr>
          <w:rFonts w:ascii="Sylfaen" w:hAnsi="Sylfaen" w:cs="Times New Roman"/>
        </w:rPr>
        <w:t xml:space="preserve">compared to the needs </w:t>
      </w:r>
      <w:r w:rsidR="00CE2C16" w:rsidRPr="00011269">
        <w:rPr>
          <w:rFonts w:ascii="Sylfaen" w:hAnsi="Sylfaen" w:cs="Times New Roman"/>
        </w:rPr>
        <w:t>in Iraq</w:t>
      </w:r>
      <w:r w:rsidR="001F2824" w:rsidRPr="00011269">
        <w:rPr>
          <w:rFonts w:ascii="Sylfaen" w:hAnsi="Sylfaen" w:cs="Times New Roman"/>
        </w:rPr>
        <w:t>.</w:t>
      </w:r>
    </w:p>
    <w:p w14:paraId="1CF6DA6F" w14:textId="3120ACBE" w:rsidR="00296E26" w:rsidRPr="00034A4A" w:rsidRDefault="00BB6B53" w:rsidP="008769F4">
      <w:pPr>
        <w:spacing w:after="120"/>
        <w:jc w:val="both"/>
        <w:rPr>
          <w:rFonts w:ascii="Sylfaen" w:hAnsi="Sylfaen" w:cs="Times New Roman"/>
          <w:color w:val="0070C0"/>
        </w:rPr>
      </w:pPr>
      <w:r w:rsidRPr="00034A4A">
        <w:rPr>
          <w:rFonts w:ascii="Sylfaen" w:hAnsi="Sylfaen" w:cs="Times New Roman"/>
          <w:color w:val="0070C0"/>
        </w:rPr>
        <w:t>To help the lowest-skilled Iraqis access jobs</w:t>
      </w:r>
      <w:r w:rsidR="007F615F" w:rsidRPr="00034A4A">
        <w:rPr>
          <w:rFonts w:ascii="Sylfaen" w:hAnsi="Sylfaen" w:cs="Times New Roman"/>
          <w:color w:val="0070C0"/>
        </w:rPr>
        <w:t xml:space="preserve">, </w:t>
      </w:r>
      <w:r w:rsidRPr="00034A4A">
        <w:rPr>
          <w:rFonts w:ascii="Sylfaen" w:hAnsi="Sylfaen" w:cs="Times New Roman"/>
          <w:color w:val="0070C0"/>
        </w:rPr>
        <w:t xml:space="preserve">Iraq should support vocational skills training, </w:t>
      </w:r>
      <w:r w:rsidR="007F615F" w:rsidRPr="00034A4A">
        <w:rPr>
          <w:rFonts w:ascii="Sylfaen" w:hAnsi="Sylfaen" w:cs="Times New Roman"/>
          <w:color w:val="0070C0"/>
        </w:rPr>
        <w:t>including through unconventional means</w:t>
      </w:r>
    </w:p>
    <w:p w14:paraId="3E9C3EEF" w14:textId="5F7268DF" w:rsidR="007F615F" w:rsidRPr="00034A4A" w:rsidRDefault="007F615F" w:rsidP="008769F4">
      <w:pPr>
        <w:tabs>
          <w:tab w:val="left" w:pos="567"/>
        </w:tabs>
        <w:spacing w:after="120"/>
        <w:jc w:val="both"/>
        <w:rPr>
          <w:rFonts w:ascii="Sylfaen" w:hAnsi="Sylfaen" w:cs="Times New Roman"/>
        </w:rPr>
      </w:pPr>
      <w:r w:rsidRPr="00034A4A">
        <w:rPr>
          <w:rFonts w:ascii="Sylfaen" w:hAnsi="Sylfaen" w:cs="Times New Roman"/>
          <w:b/>
        </w:rPr>
        <w:t>V</w:t>
      </w:r>
      <w:r w:rsidR="002E0D76" w:rsidRPr="00034A4A">
        <w:rPr>
          <w:rFonts w:ascii="Sylfaen" w:hAnsi="Sylfaen" w:cs="Times New Roman"/>
          <w:b/>
        </w:rPr>
        <w:t xml:space="preserve">ocational skills </w:t>
      </w:r>
      <w:r w:rsidR="00296E26" w:rsidRPr="00034A4A">
        <w:rPr>
          <w:rFonts w:ascii="Sylfaen" w:hAnsi="Sylfaen" w:cs="Times New Roman"/>
          <w:b/>
        </w:rPr>
        <w:t xml:space="preserve">are indispensable </w:t>
      </w:r>
      <w:r w:rsidR="00BB6B53" w:rsidRPr="00034A4A">
        <w:rPr>
          <w:rFonts w:ascii="Sylfaen" w:hAnsi="Sylfaen" w:cs="Times New Roman"/>
          <w:b/>
        </w:rPr>
        <w:t xml:space="preserve">to allow the lowest-skilled Iraqis access to jobs, and can support </w:t>
      </w:r>
      <w:r w:rsidR="00296E26" w:rsidRPr="00034A4A">
        <w:rPr>
          <w:rFonts w:ascii="Sylfaen" w:hAnsi="Sylfaen" w:cs="Times New Roman"/>
          <w:b/>
        </w:rPr>
        <w:t>reconstruction and recovery</w:t>
      </w:r>
      <w:r w:rsidR="005E1B73" w:rsidRPr="00034A4A">
        <w:rPr>
          <w:rFonts w:ascii="Sylfaen" w:hAnsi="Sylfaen" w:cs="Times New Roman"/>
          <w:b/>
        </w:rPr>
        <w:t>.</w:t>
      </w:r>
      <w:r w:rsidR="00296E26" w:rsidRPr="00034A4A">
        <w:rPr>
          <w:rFonts w:ascii="Sylfaen" w:hAnsi="Sylfaen" w:cs="Times New Roman"/>
        </w:rPr>
        <w:t xml:space="preserve"> </w:t>
      </w:r>
      <w:r w:rsidR="00C1000E" w:rsidRPr="00034A4A">
        <w:rPr>
          <w:rFonts w:ascii="Sylfaen" w:hAnsi="Sylfaen" w:cs="Times New Roman"/>
        </w:rPr>
        <w:t xml:space="preserve">About 35 percent of Iraqis aged 15-24 do not have complete primary education. It is essential for stability as well as poverty reduction to facilitate their access to jobs and reasonable prospects for advancement. </w:t>
      </w:r>
      <w:r w:rsidRPr="00034A4A">
        <w:rPr>
          <w:rFonts w:ascii="Sylfaen" w:hAnsi="Sylfaen" w:cs="Times New Roman"/>
        </w:rPr>
        <w:t xml:space="preserve">The opportunities </w:t>
      </w:r>
      <w:r w:rsidR="00AA395C" w:rsidRPr="00034A4A">
        <w:rPr>
          <w:rFonts w:ascii="Sylfaen" w:hAnsi="Sylfaen" w:cs="Times New Roman"/>
        </w:rPr>
        <w:t xml:space="preserve">this note </w:t>
      </w:r>
      <w:r w:rsidRPr="00034A4A">
        <w:rPr>
          <w:rFonts w:ascii="Sylfaen" w:hAnsi="Sylfaen" w:cs="Times New Roman"/>
        </w:rPr>
        <w:t xml:space="preserve">identifies will create demand for basic activities that do not require technical training. Examples include brick layers and manual laborers; janitors, hotel and restaurant workers, sales workers, farm and non-farm jobs in rural areas. These jobs require basic literacy; other training is usually done on the job. </w:t>
      </w:r>
      <w:r w:rsidR="0052236A" w:rsidRPr="00034A4A">
        <w:rPr>
          <w:rFonts w:ascii="Sylfaen" w:hAnsi="Sylfaen" w:cs="Times New Roman"/>
        </w:rPr>
        <w:t xml:space="preserve">They are in principle accessible to the lowest-skilled Iraqis. </w:t>
      </w:r>
      <w:r w:rsidRPr="00034A4A">
        <w:rPr>
          <w:rFonts w:ascii="Sylfaen" w:hAnsi="Sylfaen" w:cs="Times New Roman"/>
        </w:rPr>
        <w:t>In addition, recover</w:t>
      </w:r>
      <w:r w:rsidR="00C1000E" w:rsidRPr="00034A4A">
        <w:rPr>
          <w:rFonts w:ascii="Sylfaen" w:hAnsi="Sylfaen" w:cs="Times New Roman"/>
        </w:rPr>
        <w:t>y</w:t>
      </w:r>
      <w:r w:rsidRPr="00034A4A">
        <w:rPr>
          <w:rFonts w:ascii="Sylfaen" w:hAnsi="Sylfaen" w:cs="Times New Roman"/>
        </w:rPr>
        <w:t xml:space="preserve"> will yield demand for somewhat more complex jobs that have some technical content. Examples of the latter include foremen and contractors, plumbers, electricians in construction and housing, drivers and mechanics in trucking and transportation, managers and supervisors for manufacturing and service industries, office support workers, and agricultural extension workers. </w:t>
      </w:r>
      <w:r w:rsidR="00C1000E" w:rsidRPr="00034A4A">
        <w:rPr>
          <w:rFonts w:ascii="Sylfaen" w:hAnsi="Sylfaen" w:cs="Times New Roman"/>
        </w:rPr>
        <w:t xml:space="preserve">Vocational skills (VS) training can help low-skilled Iraqis access these opportunities. It is also worth noting that, </w:t>
      </w:r>
      <w:r w:rsidR="00C817CA" w:rsidRPr="00034A4A">
        <w:rPr>
          <w:rFonts w:ascii="Sylfaen" w:hAnsi="Sylfaen" w:cs="Times New Roman"/>
        </w:rPr>
        <w:t xml:space="preserve">while </w:t>
      </w:r>
      <w:r w:rsidR="00C1000E" w:rsidRPr="00034A4A">
        <w:rPr>
          <w:rFonts w:ascii="Sylfaen" w:hAnsi="Sylfaen" w:cs="Times New Roman"/>
        </w:rPr>
        <w:t>it is not clear whether VS are likely to become a constraint on recovery</w:t>
      </w:r>
      <w:r w:rsidR="00A12A43" w:rsidRPr="00034A4A">
        <w:rPr>
          <w:rFonts w:ascii="Sylfaen" w:hAnsi="Sylfaen" w:cs="Times New Roman"/>
        </w:rPr>
        <w:t xml:space="preserve"> (or indeed, whether soft skills or a lack of intermediation is likely to limit recovery)</w:t>
      </w:r>
      <w:r w:rsidR="00C1000E" w:rsidRPr="00034A4A">
        <w:rPr>
          <w:rFonts w:ascii="Sylfaen" w:hAnsi="Sylfaen" w:cs="Times New Roman"/>
        </w:rPr>
        <w:t xml:space="preserve">, </w:t>
      </w:r>
      <w:r w:rsidR="00C817CA" w:rsidRPr="00034A4A">
        <w:rPr>
          <w:rFonts w:ascii="Sylfaen" w:hAnsi="Sylfaen" w:cs="Times New Roman"/>
        </w:rPr>
        <w:t>investment in VS to increase access to jobs would have the co-benefit of ensuring</w:t>
      </w:r>
      <w:r w:rsidR="00C1000E" w:rsidRPr="00034A4A">
        <w:rPr>
          <w:rFonts w:ascii="Sylfaen" w:hAnsi="Sylfaen" w:cs="Times New Roman"/>
        </w:rPr>
        <w:t xml:space="preserve"> that there is a sufficient reservoir of skilled workers.</w:t>
      </w:r>
    </w:p>
    <w:p w14:paraId="5C8711EE" w14:textId="6B1D08B9" w:rsidR="00701E55" w:rsidRPr="00034A4A" w:rsidRDefault="001B4CAC" w:rsidP="008769F4">
      <w:pPr>
        <w:spacing w:after="120"/>
        <w:jc w:val="both"/>
        <w:rPr>
          <w:rFonts w:ascii="Sylfaen" w:hAnsi="Sylfaen" w:cs="Times New Roman"/>
        </w:rPr>
      </w:pPr>
      <w:r w:rsidRPr="00034A4A">
        <w:rPr>
          <w:rFonts w:ascii="Sylfaen" w:hAnsi="Sylfaen" w:cs="Times New Roman"/>
          <w:b/>
        </w:rPr>
        <w:t>Crash courses can provide vocational training in the short run.</w:t>
      </w:r>
      <w:r w:rsidRPr="00034A4A">
        <w:rPr>
          <w:rFonts w:ascii="Sylfaen" w:hAnsi="Sylfaen" w:cs="Times New Roman"/>
        </w:rPr>
        <w:t xml:space="preserve"> </w:t>
      </w:r>
      <w:r w:rsidR="00365873" w:rsidRPr="00034A4A">
        <w:rPr>
          <w:rFonts w:ascii="Sylfaen" w:hAnsi="Sylfaen" w:cs="Times New Roman"/>
        </w:rPr>
        <w:t xml:space="preserve">Most </w:t>
      </w:r>
      <w:r w:rsidR="00F14CAE" w:rsidRPr="00034A4A">
        <w:rPr>
          <w:rFonts w:ascii="Sylfaen" w:hAnsi="Sylfaen" w:cs="Times New Roman"/>
        </w:rPr>
        <w:t xml:space="preserve">Iraqis who need VS training </w:t>
      </w:r>
      <w:r w:rsidR="007F615F" w:rsidRPr="00034A4A">
        <w:rPr>
          <w:rFonts w:ascii="Sylfaen" w:hAnsi="Sylfaen" w:cs="Times New Roman"/>
        </w:rPr>
        <w:t xml:space="preserve">will </w:t>
      </w:r>
      <w:r w:rsidR="00F14CAE" w:rsidRPr="00034A4A">
        <w:rPr>
          <w:rFonts w:ascii="Sylfaen" w:hAnsi="Sylfaen" w:cs="Times New Roman"/>
        </w:rPr>
        <w:t xml:space="preserve">not have the necessary academic qualifications to enroll in secondary or tertiary education programs which </w:t>
      </w:r>
      <w:r w:rsidR="00602655">
        <w:rPr>
          <w:rFonts w:ascii="Sylfaen" w:hAnsi="Sylfaen" w:cs="Times New Roman"/>
        </w:rPr>
        <w:t>provide</w:t>
      </w:r>
      <w:r w:rsidR="00F14CAE" w:rsidRPr="00034A4A">
        <w:rPr>
          <w:rFonts w:ascii="Sylfaen" w:hAnsi="Sylfaen" w:cs="Times New Roman"/>
        </w:rPr>
        <w:t xml:space="preserve"> VS. </w:t>
      </w:r>
      <w:r w:rsidR="00701E55" w:rsidRPr="00034A4A">
        <w:rPr>
          <w:rFonts w:ascii="Sylfaen" w:hAnsi="Sylfaen" w:cs="Times New Roman"/>
        </w:rPr>
        <w:t xml:space="preserve">Nor does </w:t>
      </w:r>
      <w:r w:rsidR="00BB3D23" w:rsidRPr="00034A4A">
        <w:rPr>
          <w:rFonts w:ascii="Sylfaen" w:hAnsi="Sylfaen" w:cs="Times New Roman"/>
        </w:rPr>
        <w:t xml:space="preserve">Iraq currently have a system that can deliver </w:t>
      </w:r>
      <w:r w:rsidR="00701E55" w:rsidRPr="00034A4A">
        <w:rPr>
          <w:rFonts w:ascii="Sylfaen" w:hAnsi="Sylfaen" w:cs="Times New Roman"/>
        </w:rPr>
        <w:t xml:space="preserve">on a broad base and </w:t>
      </w:r>
      <w:r w:rsidR="00BB3D23" w:rsidRPr="00034A4A">
        <w:rPr>
          <w:rFonts w:ascii="Sylfaen" w:hAnsi="Sylfaen" w:cs="Times New Roman"/>
        </w:rPr>
        <w:t>in the short-term</w:t>
      </w:r>
      <w:r w:rsidR="006F1991" w:rsidRPr="00034A4A">
        <w:rPr>
          <w:rFonts w:ascii="Sylfaen" w:hAnsi="Sylfaen" w:cs="Times New Roman"/>
        </w:rPr>
        <w:t xml:space="preserve">. </w:t>
      </w:r>
      <w:r w:rsidR="00701E55" w:rsidRPr="00034A4A">
        <w:rPr>
          <w:rFonts w:ascii="Sylfaen" w:hAnsi="Sylfaen" w:cs="Times New Roman"/>
        </w:rPr>
        <w:t xml:space="preserve">However, most VS can be produced through short-term crash courses, for example, through </w:t>
      </w:r>
      <w:r w:rsidR="00846E64" w:rsidRPr="00034A4A">
        <w:rPr>
          <w:rFonts w:ascii="Sylfaen" w:hAnsi="Sylfaen" w:cs="Times New Roman"/>
        </w:rPr>
        <w:t xml:space="preserve">three </w:t>
      </w:r>
      <w:r w:rsidR="00701E55" w:rsidRPr="00034A4A">
        <w:rPr>
          <w:rFonts w:ascii="Sylfaen" w:hAnsi="Sylfaen" w:cs="Times New Roman"/>
        </w:rPr>
        <w:t>to 24-month evening or day courses</w:t>
      </w:r>
      <w:r w:rsidR="00846E64" w:rsidRPr="00034A4A">
        <w:rPr>
          <w:rFonts w:ascii="Sylfaen" w:hAnsi="Sylfaen" w:cs="Times New Roman"/>
        </w:rPr>
        <w:t>.</w:t>
      </w:r>
      <w:r w:rsidR="00701E55" w:rsidRPr="00034A4A">
        <w:rPr>
          <w:rFonts w:ascii="Sylfaen" w:hAnsi="Sylfaen" w:cs="Times New Roman"/>
        </w:rPr>
        <w:t xml:space="preserve"> </w:t>
      </w:r>
      <w:r w:rsidR="00846E64" w:rsidRPr="00034A4A">
        <w:rPr>
          <w:rFonts w:ascii="Sylfaen" w:hAnsi="Sylfaen" w:cs="Times New Roman"/>
        </w:rPr>
        <w:t>G</w:t>
      </w:r>
      <w:r w:rsidR="00701E55" w:rsidRPr="00034A4A">
        <w:rPr>
          <w:rFonts w:ascii="Sylfaen" w:hAnsi="Sylfaen" w:cs="Times New Roman"/>
        </w:rPr>
        <w:t>lobal experience shows that with efficient policies, Iraq can indeed achieve the objective of providing effective training for the first steps toward better job opportunities</w:t>
      </w:r>
      <w:r w:rsidR="00C817CA" w:rsidRPr="00034A4A">
        <w:rPr>
          <w:rFonts w:ascii="Sylfaen" w:hAnsi="Sylfaen" w:cs="Times New Roman"/>
        </w:rPr>
        <w:t>.</w:t>
      </w:r>
      <w:r w:rsidR="00C1000E" w:rsidRPr="00034A4A">
        <w:rPr>
          <w:rStyle w:val="FootnoteReference"/>
          <w:rFonts w:ascii="Sylfaen" w:hAnsi="Sylfaen" w:cs="Times New Roman"/>
        </w:rPr>
        <w:footnoteReference w:id="21"/>
      </w:r>
      <w:r w:rsidR="00846E64" w:rsidRPr="00034A4A">
        <w:rPr>
          <w:rFonts w:ascii="Sylfaen" w:hAnsi="Sylfaen" w:cs="Times New Roman"/>
        </w:rPr>
        <w:t xml:space="preserve"> Toward this goal, t</w:t>
      </w:r>
      <w:r w:rsidR="00701E55" w:rsidRPr="00034A4A">
        <w:rPr>
          <w:rFonts w:ascii="Sylfaen" w:hAnsi="Sylfaen" w:cs="Times New Roman"/>
        </w:rPr>
        <w:t xml:space="preserve">wo questions need </w:t>
      </w:r>
      <w:r w:rsidR="00602655">
        <w:rPr>
          <w:rFonts w:ascii="Sylfaen" w:hAnsi="Sylfaen" w:cs="Times New Roman"/>
        </w:rPr>
        <w:t>to be answered</w:t>
      </w:r>
      <w:r w:rsidR="00701E55" w:rsidRPr="00034A4A">
        <w:rPr>
          <w:rFonts w:ascii="Sylfaen" w:hAnsi="Sylfaen" w:cs="Times New Roman"/>
        </w:rPr>
        <w:t xml:space="preserve">: </w:t>
      </w:r>
      <w:r w:rsidR="009F5E4E" w:rsidRPr="00034A4A">
        <w:rPr>
          <w:rFonts w:ascii="Sylfaen" w:hAnsi="Sylfaen" w:cs="Times New Roman"/>
        </w:rPr>
        <w:t xml:space="preserve">(i) </w:t>
      </w:r>
      <w:r w:rsidR="00701E55" w:rsidRPr="00034A4A">
        <w:rPr>
          <w:rFonts w:ascii="Sylfaen" w:hAnsi="Sylfaen" w:cs="Times New Roman"/>
        </w:rPr>
        <w:t>who can provide training</w:t>
      </w:r>
      <w:r w:rsidR="0085236F" w:rsidRPr="00034A4A">
        <w:rPr>
          <w:rFonts w:ascii="Sylfaen" w:hAnsi="Sylfaen" w:cs="Times New Roman"/>
        </w:rPr>
        <w:t xml:space="preserve"> that effectively aligns with market demand</w:t>
      </w:r>
      <w:r w:rsidR="00701E55" w:rsidRPr="00034A4A">
        <w:rPr>
          <w:rFonts w:ascii="Sylfaen" w:hAnsi="Sylfaen" w:cs="Times New Roman"/>
        </w:rPr>
        <w:t xml:space="preserve">, and </w:t>
      </w:r>
      <w:r w:rsidR="009F5E4E" w:rsidRPr="00034A4A">
        <w:rPr>
          <w:rFonts w:ascii="Sylfaen" w:hAnsi="Sylfaen" w:cs="Times New Roman"/>
        </w:rPr>
        <w:t xml:space="preserve">(ii) </w:t>
      </w:r>
      <w:r w:rsidR="00701E55" w:rsidRPr="00034A4A">
        <w:rPr>
          <w:rFonts w:ascii="Sylfaen" w:hAnsi="Sylfaen" w:cs="Times New Roman"/>
        </w:rPr>
        <w:t>how can one incentivize job seekers to consider training.</w:t>
      </w:r>
    </w:p>
    <w:p w14:paraId="36D9D4D0" w14:textId="650E0997" w:rsidR="0085236F" w:rsidRPr="00011269" w:rsidRDefault="00A50004" w:rsidP="008769F4">
      <w:pPr>
        <w:spacing w:after="120"/>
        <w:jc w:val="both"/>
        <w:rPr>
          <w:rFonts w:ascii="Sylfaen" w:hAnsi="Sylfaen" w:cs="Times New Roman"/>
        </w:rPr>
      </w:pPr>
      <w:r w:rsidRPr="00011269">
        <w:rPr>
          <w:rFonts w:ascii="Sylfaen" w:hAnsi="Sylfaen" w:cs="Times New Roman"/>
          <w:b/>
        </w:rPr>
        <w:t>P</w:t>
      </w:r>
      <w:r w:rsidR="0085236F" w:rsidRPr="00011269">
        <w:rPr>
          <w:rFonts w:ascii="Sylfaen" w:hAnsi="Sylfaen" w:cs="Times New Roman"/>
          <w:b/>
        </w:rPr>
        <w:t xml:space="preserve">roviders must seek to </w:t>
      </w:r>
      <w:r w:rsidR="00E70384" w:rsidRPr="00011269">
        <w:rPr>
          <w:rFonts w:ascii="Sylfaen" w:hAnsi="Sylfaen" w:cs="Times New Roman"/>
          <w:b/>
        </w:rPr>
        <w:t>target skills for which there is market demand</w:t>
      </w:r>
      <w:r w:rsidR="0085236F" w:rsidRPr="00011269">
        <w:rPr>
          <w:rFonts w:ascii="Sylfaen" w:hAnsi="Sylfaen" w:cs="Times New Roman"/>
          <w:b/>
        </w:rPr>
        <w:t xml:space="preserve">, and </w:t>
      </w:r>
      <w:r w:rsidRPr="00011269">
        <w:rPr>
          <w:rFonts w:ascii="Sylfaen" w:hAnsi="Sylfaen" w:cs="Times New Roman"/>
          <w:b/>
        </w:rPr>
        <w:t xml:space="preserve">it is worth looking for ways to </w:t>
      </w:r>
      <w:r w:rsidR="0085236F" w:rsidRPr="00011269">
        <w:rPr>
          <w:rFonts w:ascii="Sylfaen" w:hAnsi="Sylfaen" w:cs="Times New Roman"/>
          <w:b/>
        </w:rPr>
        <w:t xml:space="preserve">set </w:t>
      </w:r>
      <w:r w:rsidRPr="00011269">
        <w:rPr>
          <w:rFonts w:ascii="Sylfaen" w:hAnsi="Sylfaen" w:cs="Times New Roman"/>
          <w:b/>
        </w:rPr>
        <w:t xml:space="preserve">explicit </w:t>
      </w:r>
      <w:r w:rsidR="0085236F" w:rsidRPr="00011269">
        <w:rPr>
          <w:rFonts w:ascii="Sylfaen" w:hAnsi="Sylfaen" w:cs="Times New Roman"/>
          <w:b/>
        </w:rPr>
        <w:t xml:space="preserve">incentives </w:t>
      </w:r>
      <w:r w:rsidRPr="00011269">
        <w:rPr>
          <w:rFonts w:ascii="Sylfaen" w:hAnsi="Sylfaen" w:cs="Times New Roman"/>
          <w:b/>
        </w:rPr>
        <w:t>for such a focus</w:t>
      </w:r>
      <w:r w:rsidR="00583331" w:rsidRPr="00011269">
        <w:rPr>
          <w:rFonts w:ascii="Sylfaen" w:hAnsi="Sylfaen" w:cs="Times New Roman"/>
          <w:b/>
        </w:rPr>
        <w:t>.</w:t>
      </w:r>
      <w:r w:rsidR="0085236F" w:rsidRPr="00011269">
        <w:rPr>
          <w:rFonts w:ascii="Sylfaen" w:hAnsi="Sylfaen" w:cs="Times New Roman"/>
          <w:b/>
        </w:rPr>
        <w:t xml:space="preserve"> </w:t>
      </w:r>
      <w:r w:rsidR="0085236F" w:rsidRPr="00011269">
        <w:rPr>
          <w:rFonts w:ascii="Sylfaen" w:hAnsi="Sylfaen" w:cs="Times New Roman"/>
        </w:rPr>
        <w:t xml:space="preserve">Skills training can only make a difference in helping trainees access jobs if there is demand for the skills </w:t>
      </w:r>
      <w:r w:rsidRPr="00011269">
        <w:rPr>
          <w:rFonts w:ascii="Sylfaen" w:hAnsi="Sylfaen" w:cs="Times New Roman"/>
        </w:rPr>
        <w:t>they acquire</w:t>
      </w:r>
      <w:r w:rsidR="0085236F" w:rsidRPr="00011269">
        <w:rPr>
          <w:rFonts w:ascii="Sylfaen" w:hAnsi="Sylfaen" w:cs="Times New Roman"/>
        </w:rPr>
        <w:t>. International experience shows that it is not an easy feat to align training provision with market needs. At a minimum, providers should keep close tabs on which skills are in demand, and be prepared to adapt their programs.</w:t>
      </w:r>
      <w:r w:rsidRPr="00011269">
        <w:rPr>
          <w:rFonts w:ascii="Sylfaen" w:hAnsi="Sylfaen" w:cs="Times New Roman"/>
        </w:rPr>
        <w:t xml:space="preserve"> In addition, there is currently much interest in working with training contracts that tie some share of the providers’ payments to success in placing trainees in work. Where possible, this model should be considered, although it is worth acknowledging that in Iraq’s tight labor market, such a results-based payment approach may be quite risky for providers. As noted, the traditional schooling system is ill-equipped to churn out large-scale VS in the short-term. Instead, domestic NGOs and businesses can contribute to their delivery, in addition to international NGOs (who are currently deeply engaged in providing education for the displaced)</w:t>
      </w:r>
      <w:r w:rsidRPr="00034A4A">
        <w:rPr>
          <w:rFonts w:ascii="Sylfaen" w:hAnsi="Sylfaen" w:cs="Times New Roman"/>
        </w:rPr>
        <w:t>. Working with a multitude of providers poses challenges, but does offer the opportunity to try out different approaches in pursuing market alignment.</w:t>
      </w:r>
    </w:p>
    <w:p w14:paraId="66A103D1" w14:textId="24766901" w:rsidR="00D14D8C" w:rsidRPr="00034A4A" w:rsidRDefault="00113065" w:rsidP="008769F4">
      <w:pPr>
        <w:spacing w:after="120"/>
        <w:jc w:val="both"/>
        <w:rPr>
          <w:rFonts w:ascii="Sylfaen" w:hAnsi="Sylfaen"/>
        </w:rPr>
      </w:pPr>
      <w:r w:rsidRPr="00034A4A">
        <w:rPr>
          <w:rFonts w:ascii="Sylfaen" w:hAnsi="Sylfaen" w:cs="Times New Roman"/>
          <w:b/>
        </w:rPr>
        <w:t>A ‘train for cash’ program could provide the necessary incentives for participation</w:t>
      </w:r>
      <w:r w:rsidR="003B1550" w:rsidRPr="00034A4A">
        <w:rPr>
          <w:rFonts w:ascii="Sylfaen" w:hAnsi="Sylfaen" w:cs="Times New Roman"/>
        </w:rPr>
        <w:t>. I</w:t>
      </w:r>
      <w:r w:rsidRPr="00034A4A">
        <w:rPr>
          <w:rFonts w:ascii="Sylfaen" w:hAnsi="Sylfaen" w:cs="Times New Roman"/>
        </w:rPr>
        <w:t>n</w:t>
      </w:r>
      <w:r w:rsidR="00245C8F" w:rsidRPr="00034A4A">
        <w:rPr>
          <w:rFonts w:ascii="Sylfaen" w:hAnsi="Sylfaen" w:cs="Times New Roman"/>
        </w:rPr>
        <w:t>ternational experience suggests that it will not be easy to motivate unemployed Iraqis to enroll for VS training</w:t>
      </w:r>
      <w:r w:rsidR="007328C0" w:rsidRPr="00034A4A">
        <w:rPr>
          <w:rFonts w:ascii="Sylfaen" w:hAnsi="Sylfaen" w:cs="Times New Roman"/>
        </w:rPr>
        <w:t xml:space="preserve">, as long as training does not generate </w:t>
      </w:r>
      <w:r w:rsidR="00245C8F" w:rsidRPr="00034A4A">
        <w:rPr>
          <w:rFonts w:ascii="Sylfaen" w:hAnsi="Sylfaen" w:cs="Times New Roman"/>
        </w:rPr>
        <w:t xml:space="preserve">an income. </w:t>
      </w:r>
      <w:r w:rsidRPr="00034A4A">
        <w:rPr>
          <w:rFonts w:ascii="Sylfaen" w:hAnsi="Sylfaen" w:cs="Times New Roman"/>
        </w:rPr>
        <w:t xml:space="preserve">Given living expenses, tuition waivers are rarely enough. </w:t>
      </w:r>
      <w:r w:rsidR="007328C0" w:rsidRPr="00034A4A">
        <w:rPr>
          <w:rFonts w:ascii="Sylfaen" w:hAnsi="Sylfaen" w:cs="Times New Roman"/>
        </w:rPr>
        <w:t xml:space="preserve">A </w:t>
      </w:r>
      <w:r w:rsidR="00245C8F" w:rsidRPr="00034A4A">
        <w:rPr>
          <w:rFonts w:ascii="Sylfaen" w:hAnsi="Sylfaen" w:cs="Times New Roman"/>
        </w:rPr>
        <w:t>‘</w:t>
      </w:r>
      <w:r w:rsidR="00245C8F" w:rsidRPr="00034A4A">
        <w:rPr>
          <w:rFonts w:ascii="Sylfaen" w:hAnsi="Sylfaen" w:cs="Times New Roman"/>
          <w:bCs/>
        </w:rPr>
        <w:t xml:space="preserve">train for cash’ program </w:t>
      </w:r>
      <w:r w:rsidR="007328C0" w:rsidRPr="00034A4A">
        <w:rPr>
          <w:rFonts w:ascii="Sylfaen" w:hAnsi="Sylfaen" w:cs="Times New Roman"/>
          <w:bCs/>
        </w:rPr>
        <w:t xml:space="preserve">could overcome this motivational hurdle and </w:t>
      </w:r>
      <w:r w:rsidR="00245C8F" w:rsidRPr="00034A4A">
        <w:rPr>
          <w:rFonts w:ascii="Sylfaen" w:hAnsi="Sylfaen" w:cs="Times New Roman"/>
          <w:bCs/>
        </w:rPr>
        <w:t>offer youth an opportunity to earn for a fixed period a small income</w:t>
      </w:r>
      <w:r w:rsidRPr="00034A4A">
        <w:rPr>
          <w:rFonts w:ascii="Sylfaen" w:hAnsi="Sylfaen" w:cs="Times New Roman"/>
          <w:bCs/>
        </w:rPr>
        <w:t xml:space="preserve"> in the form of a </w:t>
      </w:r>
      <w:r w:rsidR="00245C8F" w:rsidRPr="00034A4A">
        <w:rPr>
          <w:rFonts w:ascii="Sylfaen" w:hAnsi="Sylfaen" w:cs="Times New Roman"/>
          <w:bCs/>
        </w:rPr>
        <w:t>stipend</w:t>
      </w:r>
      <w:r w:rsidRPr="00034A4A">
        <w:rPr>
          <w:rFonts w:ascii="Sylfaen" w:hAnsi="Sylfaen" w:cs="Times New Roman"/>
          <w:bCs/>
        </w:rPr>
        <w:t>,</w:t>
      </w:r>
      <w:r w:rsidR="00245C8F" w:rsidRPr="00034A4A">
        <w:rPr>
          <w:rFonts w:ascii="Sylfaen" w:hAnsi="Sylfaen" w:cs="Times New Roman"/>
          <w:bCs/>
        </w:rPr>
        <w:t xml:space="preserve"> while they complete a market-relevant skills training program.</w:t>
      </w:r>
      <w:r w:rsidR="001A2BDA" w:rsidRPr="00034A4A">
        <w:rPr>
          <w:rFonts w:ascii="Sylfaen" w:hAnsi="Sylfaen" w:cs="Times New Roman"/>
          <w:bCs/>
        </w:rPr>
        <w:t xml:space="preserve"> </w:t>
      </w:r>
      <w:r w:rsidR="00EF796D" w:rsidRPr="00034A4A">
        <w:rPr>
          <w:rFonts w:ascii="Sylfaen" w:hAnsi="Sylfaen" w:cs="Times New Roman"/>
          <w:bCs/>
        </w:rPr>
        <w:t>Development partners have gathered useful experience with such approaches, for instance in UN</w:t>
      </w:r>
      <w:r w:rsidR="00602655">
        <w:rPr>
          <w:rFonts w:ascii="Sylfaen" w:hAnsi="Sylfaen" w:cs="Times New Roman"/>
          <w:bCs/>
        </w:rPr>
        <w:t xml:space="preserve"> </w:t>
      </w:r>
      <w:r w:rsidR="00EF796D" w:rsidRPr="00034A4A">
        <w:rPr>
          <w:rFonts w:ascii="Sylfaen" w:hAnsi="Sylfaen" w:cs="Times New Roman"/>
          <w:bCs/>
        </w:rPr>
        <w:t>Habitat programs providing paid skills training for IDPs.</w:t>
      </w:r>
      <w:r w:rsidR="00245C8F" w:rsidRPr="00034A4A">
        <w:rPr>
          <w:rFonts w:ascii="Sylfaen" w:hAnsi="Sylfaen" w:cs="Times New Roman"/>
          <w:bCs/>
        </w:rPr>
        <w:t xml:space="preserve"> </w:t>
      </w:r>
      <w:r w:rsidR="007328C0" w:rsidRPr="00034A4A">
        <w:rPr>
          <w:rFonts w:ascii="Sylfaen" w:hAnsi="Sylfaen" w:cs="Times New Roman"/>
        </w:rPr>
        <w:t>In addition to advancing VS, a</w:t>
      </w:r>
      <w:r w:rsidR="006C1A4C" w:rsidRPr="00034A4A">
        <w:rPr>
          <w:rFonts w:ascii="Sylfaen" w:hAnsi="Sylfaen" w:cs="Times New Roman"/>
        </w:rPr>
        <w:t xml:space="preserve"> ‘train for cash’ </w:t>
      </w:r>
      <w:r w:rsidR="007328C0" w:rsidRPr="00034A4A">
        <w:rPr>
          <w:rFonts w:ascii="Sylfaen" w:hAnsi="Sylfaen" w:cs="Times New Roman"/>
        </w:rPr>
        <w:t xml:space="preserve">program </w:t>
      </w:r>
      <w:r w:rsidR="00EF796D" w:rsidRPr="00034A4A">
        <w:rPr>
          <w:rFonts w:ascii="Sylfaen" w:hAnsi="Sylfaen" w:cs="Times New Roman"/>
        </w:rPr>
        <w:t xml:space="preserve">could </w:t>
      </w:r>
      <w:r w:rsidR="006C1A4C" w:rsidRPr="00034A4A">
        <w:rPr>
          <w:rFonts w:ascii="Sylfaen" w:hAnsi="Sylfaen" w:cs="Times New Roman"/>
        </w:rPr>
        <w:t>be a strategic entry point for the GOI to flag its commitment to job creation for all Iraqis in the short-term</w:t>
      </w:r>
      <w:r w:rsidR="0047686E" w:rsidRPr="00034A4A">
        <w:rPr>
          <w:rFonts w:ascii="Sylfaen" w:hAnsi="Sylfaen" w:cs="Times New Roman"/>
        </w:rPr>
        <w:t xml:space="preserve">, and </w:t>
      </w:r>
      <w:r w:rsidR="007328C0" w:rsidRPr="00034A4A">
        <w:rPr>
          <w:rFonts w:ascii="Sylfaen" w:hAnsi="Sylfaen" w:cs="Times New Roman"/>
        </w:rPr>
        <w:t xml:space="preserve">to </w:t>
      </w:r>
      <w:r w:rsidR="0047686E" w:rsidRPr="00034A4A">
        <w:rPr>
          <w:rFonts w:ascii="Sylfaen" w:hAnsi="Sylfaen" w:cs="Times New Roman"/>
        </w:rPr>
        <w:t>build trust</w:t>
      </w:r>
      <w:r w:rsidR="006C1A4C" w:rsidRPr="00034A4A">
        <w:rPr>
          <w:rFonts w:ascii="Sylfaen" w:hAnsi="Sylfaen" w:cs="Times New Roman"/>
        </w:rPr>
        <w:t xml:space="preserve">. </w:t>
      </w:r>
      <w:r w:rsidR="00EF796D" w:rsidRPr="00034A4A">
        <w:rPr>
          <w:rFonts w:ascii="Sylfaen" w:hAnsi="Sylfaen" w:cs="Times New Roman"/>
        </w:rPr>
        <w:t xml:space="preserve">According to needs and the GOI’s priorities, </w:t>
      </w:r>
      <w:r w:rsidR="007328C0" w:rsidRPr="00034A4A">
        <w:rPr>
          <w:rFonts w:ascii="Sylfaen" w:hAnsi="Sylfaen" w:cs="Times New Roman"/>
        </w:rPr>
        <w:t>‘</w:t>
      </w:r>
      <w:r w:rsidR="00EF796D" w:rsidRPr="00034A4A">
        <w:rPr>
          <w:rFonts w:ascii="Sylfaen" w:hAnsi="Sylfaen" w:cs="Times New Roman"/>
          <w:bCs/>
        </w:rPr>
        <w:t>t</w:t>
      </w:r>
      <w:r w:rsidR="007328C0" w:rsidRPr="00034A4A">
        <w:rPr>
          <w:rFonts w:ascii="Sylfaen" w:hAnsi="Sylfaen" w:cs="Times New Roman"/>
          <w:bCs/>
        </w:rPr>
        <w:t xml:space="preserve">rain for cash’ programs can be tailored </w:t>
      </w:r>
      <w:r w:rsidR="00EF796D" w:rsidRPr="00034A4A">
        <w:rPr>
          <w:rFonts w:ascii="Sylfaen" w:hAnsi="Sylfaen" w:cs="Times New Roman"/>
          <w:bCs/>
        </w:rPr>
        <w:t xml:space="preserve">toward </w:t>
      </w:r>
      <w:r w:rsidR="007328C0" w:rsidRPr="00034A4A">
        <w:rPr>
          <w:rFonts w:ascii="Sylfaen" w:hAnsi="Sylfaen" w:cs="Times New Roman"/>
          <w:bCs/>
        </w:rPr>
        <w:t xml:space="preserve">excluded groups </w:t>
      </w:r>
      <w:r w:rsidRPr="00034A4A">
        <w:rPr>
          <w:rFonts w:ascii="Sylfaen" w:hAnsi="Sylfaen" w:cs="Times New Roman"/>
        </w:rPr>
        <w:t xml:space="preserve">– for instance, forcibly displaced communities – </w:t>
      </w:r>
      <w:r w:rsidR="007328C0" w:rsidRPr="00034A4A">
        <w:rPr>
          <w:rFonts w:ascii="Sylfaen" w:hAnsi="Sylfaen" w:cs="Times New Roman"/>
        </w:rPr>
        <w:t>who are also excluded from the traditional schooling system.</w:t>
      </w:r>
      <w:r w:rsidRPr="00034A4A">
        <w:rPr>
          <w:rFonts w:ascii="Sylfaen" w:hAnsi="Sylfaen" w:cs="Times New Roman"/>
        </w:rPr>
        <w:t xml:space="preserve"> </w:t>
      </w:r>
      <w:r w:rsidR="00860A33" w:rsidRPr="00034A4A">
        <w:rPr>
          <w:rFonts w:ascii="Sylfaen" w:hAnsi="Sylfaen" w:cs="Times New Roman"/>
        </w:rPr>
        <w:t xml:space="preserve">It can also complement technical training with mentorship to build the soft skills needed to help young IDPs, former militia members, and others find a firmer foothold in the labor market. </w:t>
      </w:r>
      <w:r w:rsidR="00090E8F" w:rsidRPr="00034A4A">
        <w:rPr>
          <w:rFonts w:ascii="Sylfaen" w:hAnsi="Sylfaen" w:cs="Times New Roman"/>
        </w:rPr>
        <w:t>As noted above, a companion program could also allow public employees with unproductive assignments to enroll in training activities.</w:t>
      </w:r>
    </w:p>
    <w:p w14:paraId="202D6174" w14:textId="77777777" w:rsidR="00552CC1" w:rsidRPr="00034A4A" w:rsidRDefault="00552CC1" w:rsidP="008769F4">
      <w:pPr>
        <w:spacing w:after="120"/>
        <w:jc w:val="both"/>
        <w:rPr>
          <w:rFonts w:ascii="Sylfaen" w:hAnsi="Sylfaen"/>
          <w:b/>
          <w:color w:val="0070C0"/>
          <w:sz w:val="24"/>
        </w:rPr>
      </w:pPr>
    </w:p>
    <w:p w14:paraId="3F71304F" w14:textId="4E294367" w:rsidR="00296E26" w:rsidRPr="00034A4A" w:rsidRDefault="00296E26" w:rsidP="008769F4">
      <w:pPr>
        <w:pStyle w:val="ListParagraph"/>
        <w:numPr>
          <w:ilvl w:val="0"/>
          <w:numId w:val="36"/>
        </w:numPr>
        <w:autoSpaceDE w:val="0"/>
        <w:autoSpaceDN w:val="0"/>
        <w:adjustRightInd w:val="0"/>
        <w:spacing w:after="120"/>
        <w:ind w:left="360"/>
        <w:contextualSpacing w:val="0"/>
        <w:jc w:val="both"/>
        <w:rPr>
          <w:rFonts w:ascii="Sylfaen" w:hAnsi="Sylfaen" w:cs="Times New Roman"/>
          <w:b/>
          <w:color w:val="0070C0"/>
          <w:sz w:val="28"/>
          <w:szCs w:val="28"/>
        </w:rPr>
      </w:pPr>
      <w:r w:rsidRPr="00034A4A">
        <w:rPr>
          <w:rFonts w:ascii="Sylfaen" w:hAnsi="Sylfaen" w:cs="Times New Roman"/>
          <w:b/>
          <w:color w:val="0070C0"/>
          <w:sz w:val="28"/>
          <w:szCs w:val="28"/>
        </w:rPr>
        <w:t xml:space="preserve">How </w:t>
      </w:r>
      <w:r w:rsidR="003E4775" w:rsidRPr="00034A4A">
        <w:rPr>
          <w:rFonts w:ascii="Sylfaen" w:hAnsi="Sylfaen" w:cs="Times New Roman"/>
          <w:b/>
          <w:color w:val="0070C0"/>
          <w:sz w:val="28"/>
          <w:szCs w:val="28"/>
        </w:rPr>
        <w:t xml:space="preserve">can </w:t>
      </w:r>
      <w:r w:rsidRPr="00034A4A">
        <w:rPr>
          <w:rFonts w:ascii="Sylfaen" w:hAnsi="Sylfaen" w:cs="Times New Roman"/>
          <w:b/>
          <w:color w:val="0070C0"/>
          <w:sz w:val="28"/>
          <w:szCs w:val="28"/>
        </w:rPr>
        <w:t>Iraq finance large-scale job creation in the short term</w:t>
      </w:r>
      <w:r w:rsidR="003E4775" w:rsidRPr="00034A4A">
        <w:rPr>
          <w:rFonts w:ascii="Sylfaen" w:hAnsi="Sylfaen" w:cs="Times New Roman"/>
          <w:b/>
          <w:color w:val="0070C0"/>
          <w:sz w:val="28"/>
          <w:szCs w:val="28"/>
        </w:rPr>
        <w:t>?</w:t>
      </w:r>
    </w:p>
    <w:p w14:paraId="5E656153" w14:textId="35778548" w:rsidR="00966666" w:rsidRPr="00034A4A" w:rsidRDefault="00966666" w:rsidP="008769F4">
      <w:pPr>
        <w:spacing w:after="120"/>
        <w:jc w:val="both"/>
        <w:rPr>
          <w:rFonts w:ascii="Sylfaen" w:hAnsi="Sylfaen" w:cs="Times New Roman"/>
          <w:bCs/>
        </w:rPr>
      </w:pPr>
      <w:r w:rsidRPr="00034A4A">
        <w:rPr>
          <w:rFonts w:ascii="Sylfaen" w:hAnsi="Sylfaen" w:cs="Times New Roman"/>
          <w:b/>
          <w:color w:val="000000"/>
        </w:rPr>
        <w:t>Business climate reforms must begin</w:t>
      </w:r>
      <w:r w:rsidR="00DD175D" w:rsidRPr="00034A4A">
        <w:rPr>
          <w:rFonts w:ascii="Sylfaen" w:hAnsi="Sylfaen" w:cs="Times New Roman"/>
          <w:b/>
          <w:color w:val="000000"/>
        </w:rPr>
        <w:t xml:space="preserve"> in order</w:t>
      </w:r>
      <w:r w:rsidRPr="00034A4A">
        <w:rPr>
          <w:rFonts w:ascii="Sylfaen" w:hAnsi="Sylfaen" w:cs="Times New Roman"/>
          <w:b/>
          <w:color w:val="000000"/>
        </w:rPr>
        <w:t xml:space="preserve"> to attract private investments to finance job creation in the longer term.</w:t>
      </w:r>
      <w:r w:rsidRPr="00034A4A">
        <w:rPr>
          <w:rFonts w:ascii="Sylfaen" w:hAnsi="Sylfaen" w:cs="Times New Roman"/>
          <w:color w:val="000000"/>
        </w:rPr>
        <w:t xml:space="preserve"> Iraq is facing a very significant jobs challenge, and can ultimately only hope to tackle it if it changes the environment for businesses, and harnesses private investment to the task of providing jobs. Crucial areas for reform include the banking sector, access to reliable electricity, and </w:t>
      </w:r>
      <w:r w:rsidR="00AA395C" w:rsidRPr="00034A4A">
        <w:rPr>
          <w:rFonts w:ascii="Sylfaen" w:hAnsi="Sylfaen" w:cs="Times New Roman"/>
          <w:color w:val="000000"/>
        </w:rPr>
        <w:t xml:space="preserve">a reduced </w:t>
      </w:r>
      <w:r w:rsidRPr="00034A4A">
        <w:rPr>
          <w:rFonts w:ascii="Sylfaen" w:hAnsi="Sylfaen" w:cs="Times New Roman"/>
          <w:color w:val="000000"/>
        </w:rPr>
        <w:t xml:space="preserve">footprint of the SOEs. </w:t>
      </w:r>
      <w:r w:rsidR="00DD175D" w:rsidRPr="00034A4A">
        <w:rPr>
          <w:rFonts w:ascii="Sylfaen" w:hAnsi="Sylfaen" w:cs="Times New Roman"/>
          <w:color w:val="000000"/>
        </w:rPr>
        <w:t>Some important steps have been taken, but r</w:t>
      </w:r>
      <w:r w:rsidRPr="00034A4A">
        <w:rPr>
          <w:rFonts w:ascii="Sylfaen" w:hAnsi="Sylfaen" w:cs="Times New Roman"/>
          <w:color w:val="000000"/>
        </w:rPr>
        <w:t>eforms will take time to unfold, and should be tackled without delay. However, meaningful reform requires a stable social and political environment – and to promote stability, it is essential that the GOI find ways to finance job creation in the short-term.</w:t>
      </w:r>
    </w:p>
    <w:p w14:paraId="2195BD51" w14:textId="73D25196" w:rsidR="0042517F" w:rsidRPr="00034A4A" w:rsidRDefault="0042517F" w:rsidP="008769F4">
      <w:pPr>
        <w:spacing w:after="120"/>
        <w:jc w:val="both"/>
        <w:rPr>
          <w:rFonts w:ascii="Sylfaen" w:hAnsi="Sylfaen" w:cs="Times New Roman"/>
          <w:color w:val="000000"/>
        </w:rPr>
      </w:pPr>
      <w:r w:rsidRPr="00034A4A">
        <w:rPr>
          <w:rFonts w:ascii="Sylfaen" w:hAnsi="Sylfaen" w:cs="Times New Roman"/>
          <w:b/>
          <w:color w:val="000000"/>
        </w:rPr>
        <w:t xml:space="preserve">The recent oil price increase offers </w:t>
      </w:r>
      <w:r w:rsidR="00602655">
        <w:rPr>
          <w:rFonts w:ascii="Sylfaen" w:hAnsi="Sylfaen" w:cs="Times New Roman"/>
          <w:b/>
          <w:color w:val="000000"/>
        </w:rPr>
        <w:t xml:space="preserve">the </w:t>
      </w:r>
      <w:r w:rsidRPr="00034A4A">
        <w:rPr>
          <w:rFonts w:ascii="Sylfaen" w:hAnsi="Sylfaen" w:cs="Times New Roman"/>
          <w:b/>
          <w:color w:val="000000"/>
        </w:rPr>
        <w:t xml:space="preserve">GOI a uniquely timely opportunity to invest in </w:t>
      </w:r>
      <w:r w:rsidR="00966666" w:rsidRPr="00034A4A">
        <w:rPr>
          <w:rFonts w:ascii="Sylfaen" w:hAnsi="Sylfaen" w:cs="Times New Roman"/>
          <w:b/>
          <w:color w:val="000000"/>
        </w:rPr>
        <w:t xml:space="preserve">rapid </w:t>
      </w:r>
      <w:r w:rsidRPr="00034A4A">
        <w:rPr>
          <w:rFonts w:ascii="Sylfaen" w:hAnsi="Sylfaen" w:cs="Times New Roman"/>
          <w:b/>
          <w:color w:val="000000"/>
        </w:rPr>
        <w:t>job creation in a serious way.</w:t>
      </w:r>
      <w:r w:rsidRPr="00034A4A">
        <w:rPr>
          <w:rFonts w:ascii="Sylfaen" w:hAnsi="Sylfaen" w:cs="Times New Roman"/>
          <w:color w:val="000000"/>
        </w:rPr>
        <w:t xml:space="preserve"> </w:t>
      </w:r>
      <w:r w:rsidR="003E6E84" w:rsidRPr="00034A4A">
        <w:rPr>
          <w:rFonts w:ascii="Sylfaen" w:hAnsi="Sylfaen" w:cs="Times New Roman"/>
          <w:color w:val="000000"/>
        </w:rPr>
        <w:t xml:space="preserve">To deliver jobs at the scale and speed desired for the reconstruction of Iraq, an effective short-term jobs strategy requires large-scale financing. </w:t>
      </w:r>
      <w:r w:rsidRPr="00034A4A">
        <w:rPr>
          <w:rFonts w:ascii="Sylfaen" w:hAnsi="Sylfaen" w:cs="Times New Roman"/>
          <w:color w:val="000000"/>
        </w:rPr>
        <w:t>A</w:t>
      </w:r>
      <w:r w:rsidRPr="00034A4A">
        <w:rPr>
          <w:rFonts w:ascii="Sylfaen" w:hAnsi="Sylfaen" w:cs="Times New Roman"/>
        </w:rPr>
        <w:t>s reported, the cost of reconstructing Iraq’s infrastructure alone is estimated at around $16bn</w:t>
      </w:r>
      <w:r w:rsidR="00AC413E" w:rsidRPr="00034A4A">
        <w:rPr>
          <w:rFonts w:ascii="Sylfaen" w:hAnsi="Sylfaen" w:cs="Times New Roman"/>
        </w:rPr>
        <w:t>, excluding the oil and gas sector</w:t>
      </w:r>
      <w:r w:rsidRPr="00034A4A">
        <w:rPr>
          <w:rFonts w:ascii="Sylfaen" w:hAnsi="Sylfaen" w:cs="Times New Roman"/>
        </w:rPr>
        <w:t xml:space="preserve">. </w:t>
      </w:r>
      <w:r w:rsidR="003E6E84" w:rsidRPr="00034A4A">
        <w:rPr>
          <w:rFonts w:ascii="Sylfaen" w:hAnsi="Sylfaen" w:cs="Times New Roman"/>
          <w:color w:val="000000"/>
        </w:rPr>
        <w:t xml:space="preserve">Given the difficult climate for private investment, the first-best financing option is traditional public investments. </w:t>
      </w:r>
      <w:r w:rsidR="009E60C3" w:rsidRPr="00034A4A">
        <w:rPr>
          <w:rFonts w:ascii="Sylfaen" w:hAnsi="Sylfaen" w:cs="Times New Roman"/>
          <w:color w:val="000000"/>
        </w:rPr>
        <w:t>T</w:t>
      </w:r>
      <w:r w:rsidR="009B0FD5" w:rsidRPr="00034A4A">
        <w:rPr>
          <w:rFonts w:ascii="Sylfaen" w:hAnsi="Sylfaen" w:cs="Times New Roman"/>
          <w:color w:val="000000"/>
        </w:rPr>
        <w:t>he recent increase in oil prices</w:t>
      </w:r>
      <w:r w:rsidR="009E60C3" w:rsidRPr="00034A4A">
        <w:rPr>
          <w:rFonts w:ascii="Sylfaen" w:hAnsi="Sylfaen" w:cs="Times New Roman"/>
          <w:color w:val="000000"/>
        </w:rPr>
        <w:t xml:space="preserve"> </w:t>
      </w:r>
      <w:r w:rsidR="00B20E8E" w:rsidRPr="00034A4A">
        <w:rPr>
          <w:rFonts w:ascii="Sylfaen" w:hAnsi="Sylfaen" w:cs="Times New Roman"/>
          <w:color w:val="000000"/>
        </w:rPr>
        <w:t xml:space="preserve">has reversed the budgetary outlook, and </w:t>
      </w:r>
      <w:r w:rsidR="009E60C3" w:rsidRPr="00034A4A">
        <w:rPr>
          <w:rFonts w:ascii="Sylfaen" w:hAnsi="Sylfaen" w:cs="Times New Roman"/>
          <w:color w:val="000000"/>
        </w:rPr>
        <w:t>gives</w:t>
      </w:r>
      <w:r w:rsidR="009B0FD5" w:rsidRPr="00034A4A">
        <w:rPr>
          <w:rFonts w:ascii="Sylfaen" w:hAnsi="Sylfaen" w:cs="Times New Roman"/>
          <w:color w:val="000000"/>
        </w:rPr>
        <w:t xml:space="preserve"> the GOI </w:t>
      </w:r>
      <w:r w:rsidR="009E60C3" w:rsidRPr="00034A4A">
        <w:rPr>
          <w:rFonts w:ascii="Sylfaen" w:hAnsi="Sylfaen" w:cs="Times New Roman"/>
          <w:color w:val="000000"/>
        </w:rPr>
        <w:t xml:space="preserve">a </w:t>
      </w:r>
      <w:r w:rsidRPr="00034A4A">
        <w:rPr>
          <w:rFonts w:ascii="Sylfaen" w:hAnsi="Sylfaen" w:cs="Times New Roman"/>
          <w:color w:val="000000"/>
        </w:rPr>
        <w:t xml:space="preserve">uniquely timely </w:t>
      </w:r>
      <w:r w:rsidR="009B0FD5" w:rsidRPr="00034A4A">
        <w:rPr>
          <w:rFonts w:ascii="Sylfaen" w:hAnsi="Sylfaen" w:cs="Times New Roman"/>
          <w:color w:val="000000"/>
        </w:rPr>
        <w:t xml:space="preserve">opportunity to </w:t>
      </w:r>
      <w:r w:rsidR="009A23F9" w:rsidRPr="00034A4A">
        <w:rPr>
          <w:rFonts w:ascii="Sylfaen" w:hAnsi="Sylfaen" w:cs="Times New Roman"/>
          <w:color w:val="000000"/>
        </w:rPr>
        <w:t xml:space="preserve">step in and </w:t>
      </w:r>
      <w:r w:rsidR="009B0FD5" w:rsidRPr="00034A4A">
        <w:rPr>
          <w:rFonts w:ascii="Sylfaen" w:hAnsi="Sylfaen" w:cs="Times New Roman"/>
          <w:color w:val="000000"/>
        </w:rPr>
        <w:t xml:space="preserve">invest in jobs </w:t>
      </w:r>
      <w:r w:rsidRPr="00034A4A">
        <w:rPr>
          <w:rFonts w:ascii="Sylfaen" w:hAnsi="Sylfaen" w:cs="Times New Roman"/>
          <w:color w:val="000000"/>
        </w:rPr>
        <w:t>at scale</w:t>
      </w:r>
      <w:r w:rsidR="009B0FD5" w:rsidRPr="00034A4A">
        <w:rPr>
          <w:rFonts w:ascii="Sylfaen" w:hAnsi="Sylfaen" w:cs="Times New Roman"/>
          <w:color w:val="000000"/>
        </w:rPr>
        <w:t>.</w:t>
      </w:r>
    </w:p>
    <w:p w14:paraId="43BC9A95" w14:textId="3DF5A814" w:rsidR="004B0A28" w:rsidRPr="00034A4A" w:rsidRDefault="009A23F9" w:rsidP="008769F4">
      <w:pPr>
        <w:spacing w:after="120"/>
        <w:jc w:val="both"/>
        <w:rPr>
          <w:rFonts w:ascii="Sylfaen" w:hAnsi="Sylfaen" w:cs="Times New Roman"/>
          <w:color w:val="000000"/>
        </w:rPr>
      </w:pPr>
      <w:r w:rsidRPr="00034A4A">
        <w:rPr>
          <w:rFonts w:ascii="Sylfaen" w:hAnsi="Sylfaen" w:cs="Times New Roman"/>
          <w:b/>
          <w:color w:val="000000"/>
        </w:rPr>
        <w:t xml:space="preserve">Because </w:t>
      </w:r>
      <w:r w:rsidR="00AC413E" w:rsidRPr="00034A4A">
        <w:rPr>
          <w:rFonts w:ascii="Sylfaen" w:hAnsi="Sylfaen" w:cs="Times New Roman"/>
          <w:b/>
          <w:color w:val="000000"/>
        </w:rPr>
        <w:t xml:space="preserve">of </w:t>
      </w:r>
      <w:r w:rsidRPr="00034A4A">
        <w:rPr>
          <w:rFonts w:ascii="Sylfaen" w:hAnsi="Sylfaen" w:cs="Times New Roman"/>
          <w:b/>
          <w:color w:val="000000"/>
        </w:rPr>
        <w:t>the scale and difficulty of the jobs challenge, m</w:t>
      </w:r>
      <w:r w:rsidR="004B0A28" w:rsidRPr="00034A4A">
        <w:rPr>
          <w:rFonts w:ascii="Sylfaen" w:hAnsi="Sylfaen" w:cs="Times New Roman"/>
          <w:b/>
          <w:color w:val="000000"/>
        </w:rPr>
        <w:t>eaningful i</w:t>
      </w:r>
      <w:r w:rsidR="0042517F" w:rsidRPr="00034A4A">
        <w:rPr>
          <w:rFonts w:ascii="Sylfaen" w:hAnsi="Sylfaen" w:cs="Times New Roman"/>
          <w:b/>
          <w:color w:val="000000"/>
        </w:rPr>
        <w:t xml:space="preserve">nvestments in jobs require </w:t>
      </w:r>
      <w:r w:rsidRPr="00034A4A">
        <w:rPr>
          <w:rFonts w:ascii="Sylfaen" w:hAnsi="Sylfaen" w:cs="Times New Roman"/>
          <w:b/>
          <w:color w:val="000000"/>
        </w:rPr>
        <w:t xml:space="preserve">significant </w:t>
      </w:r>
      <w:r w:rsidR="0042517F" w:rsidRPr="00034A4A">
        <w:rPr>
          <w:rFonts w:ascii="Sylfaen" w:hAnsi="Sylfaen" w:cs="Times New Roman"/>
          <w:b/>
          <w:color w:val="000000"/>
        </w:rPr>
        <w:t>political</w:t>
      </w:r>
      <w:r w:rsidR="004B0A28" w:rsidRPr="00034A4A">
        <w:rPr>
          <w:rFonts w:ascii="Sylfaen" w:hAnsi="Sylfaen" w:cs="Times New Roman"/>
          <w:b/>
          <w:color w:val="000000"/>
        </w:rPr>
        <w:t xml:space="preserve"> will</w:t>
      </w:r>
      <w:r w:rsidR="0042517F" w:rsidRPr="00034A4A">
        <w:rPr>
          <w:rFonts w:ascii="Sylfaen" w:hAnsi="Sylfaen" w:cs="Times New Roman"/>
          <w:b/>
          <w:color w:val="000000"/>
        </w:rPr>
        <w:t>.</w:t>
      </w:r>
      <w:r w:rsidR="0042517F" w:rsidRPr="00034A4A">
        <w:rPr>
          <w:rFonts w:ascii="Sylfaen" w:hAnsi="Sylfaen" w:cs="Times New Roman"/>
          <w:color w:val="000000"/>
        </w:rPr>
        <w:t xml:space="preserve"> </w:t>
      </w:r>
      <w:r w:rsidRPr="00034A4A">
        <w:rPr>
          <w:rFonts w:ascii="Sylfaen" w:hAnsi="Sylfaen" w:cs="Times New Roman"/>
          <w:color w:val="000000"/>
        </w:rPr>
        <w:t xml:space="preserve">It is important to recognize that meaningful action on jobs will inherently require taking risks, because of the scale of job needs and because new delivery systems will be needed. However, a cautious approach that moves from one traditional project to another is also not a risk-free option for the GOI. </w:t>
      </w:r>
      <w:r w:rsidR="00602655">
        <w:rPr>
          <w:rFonts w:ascii="Sylfaen" w:hAnsi="Sylfaen" w:cs="Times New Roman"/>
          <w:color w:val="000000"/>
        </w:rPr>
        <w:t>On account of</w:t>
      </w:r>
      <w:r w:rsidRPr="00034A4A">
        <w:rPr>
          <w:rFonts w:ascii="Sylfaen" w:hAnsi="Sylfaen" w:cs="Times New Roman"/>
          <w:color w:val="000000"/>
        </w:rPr>
        <w:t xml:space="preserve"> the urgency to mitigate the risk of </w:t>
      </w:r>
      <w:r w:rsidR="00542FD6" w:rsidRPr="00034A4A">
        <w:rPr>
          <w:rFonts w:ascii="Sylfaen" w:hAnsi="Sylfaen" w:cs="Times New Roman"/>
          <w:color w:val="000000"/>
        </w:rPr>
        <w:t>renewed strife</w:t>
      </w:r>
      <w:r w:rsidRPr="00034A4A">
        <w:rPr>
          <w:rFonts w:ascii="Sylfaen" w:hAnsi="Sylfaen" w:cs="Times New Roman"/>
          <w:color w:val="000000"/>
        </w:rPr>
        <w:t xml:space="preserve"> </w:t>
      </w:r>
      <w:r w:rsidR="00542FD6" w:rsidRPr="00034A4A">
        <w:rPr>
          <w:rFonts w:ascii="Sylfaen" w:hAnsi="Sylfaen" w:cs="Times New Roman"/>
          <w:color w:val="000000"/>
        </w:rPr>
        <w:t xml:space="preserve">and discontent, and to </w:t>
      </w:r>
      <w:r w:rsidRPr="00034A4A">
        <w:rPr>
          <w:rFonts w:ascii="Sylfaen" w:hAnsi="Sylfaen" w:cs="Times New Roman"/>
          <w:color w:val="000000"/>
        </w:rPr>
        <w:t>show GOI’s commitment to reconstruction and recovery for all Iraqis, it is worth looking closely at bold options, especially if they have been tested successfully elsewhere.</w:t>
      </w:r>
    </w:p>
    <w:p w14:paraId="602D8DE5" w14:textId="7430ACD0" w:rsidR="004B0A28" w:rsidRPr="00034A4A" w:rsidRDefault="009A23F9" w:rsidP="008769F4">
      <w:pPr>
        <w:spacing w:after="120"/>
        <w:jc w:val="both"/>
        <w:rPr>
          <w:rFonts w:ascii="Sylfaen" w:hAnsi="Sylfaen" w:cs="Times New Roman"/>
          <w:color w:val="000000"/>
        </w:rPr>
      </w:pPr>
      <w:bookmarkStart w:id="3" w:name="_Hlk509845393"/>
      <w:r w:rsidRPr="00034A4A">
        <w:rPr>
          <w:rFonts w:ascii="Sylfaen" w:hAnsi="Sylfaen" w:cs="Times New Roman"/>
          <w:b/>
          <w:color w:val="000000"/>
        </w:rPr>
        <w:t xml:space="preserve">It would be counterproductive to </w:t>
      </w:r>
      <w:r w:rsidR="00B96F12" w:rsidRPr="00034A4A">
        <w:rPr>
          <w:rFonts w:ascii="Sylfaen" w:hAnsi="Sylfaen" w:cs="Times New Roman"/>
          <w:b/>
          <w:color w:val="000000"/>
        </w:rPr>
        <w:t xml:space="preserve">try to </w:t>
      </w:r>
      <w:r w:rsidR="00AC413E" w:rsidRPr="00034A4A">
        <w:rPr>
          <w:rFonts w:ascii="Sylfaen" w:hAnsi="Sylfaen" w:cs="Times New Roman"/>
          <w:b/>
          <w:color w:val="000000"/>
        </w:rPr>
        <w:t xml:space="preserve">solve the </w:t>
      </w:r>
      <w:r w:rsidR="004B0A28" w:rsidRPr="00034A4A">
        <w:rPr>
          <w:rFonts w:ascii="Sylfaen" w:hAnsi="Sylfaen" w:cs="Times New Roman"/>
          <w:b/>
          <w:color w:val="000000"/>
        </w:rPr>
        <w:t xml:space="preserve">jobs </w:t>
      </w:r>
      <w:r w:rsidR="00AC413E" w:rsidRPr="00034A4A">
        <w:rPr>
          <w:rFonts w:ascii="Sylfaen" w:hAnsi="Sylfaen" w:cs="Times New Roman"/>
          <w:b/>
          <w:color w:val="000000"/>
        </w:rPr>
        <w:t xml:space="preserve">challenge </w:t>
      </w:r>
      <w:r w:rsidRPr="00034A4A">
        <w:rPr>
          <w:rFonts w:ascii="Sylfaen" w:hAnsi="Sylfaen" w:cs="Times New Roman"/>
          <w:b/>
          <w:color w:val="000000"/>
        </w:rPr>
        <w:t xml:space="preserve">by </w:t>
      </w:r>
      <w:r w:rsidR="004B0A28" w:rsidRPr="00034A4A">
        <w:rPr>
          <w:rFonts w:ascii="Sylfaen" w:hAnsi="Sylfaen" w:cs="Times New Roman"/>
          <w:b/>
          <w:color w:val="000000"/>
        </w:rPr>
        <w:t>permanently expanding the public payroll</w:t>
      </w:r>
      <w:r w:rsidRPr="00034A4A">
        <w:rPr>
          <w:rFonts w:ascii="Sylfaen" w:hAnsi="Sylfaen" w:cs="Times New Roman"/>
          <w:b/>
          <w:color w:val="000000"/>
        </w:rPr>
        <w:t>.</w:t>
      </w:r>
      <w:r w:rsidRPr="00034A4A">
        <w:rPr>
          <w:rFonts w:ascii="Sylfaen" w:hAnsi="Sylfaen" w:cs="Times New Roman"/>
          <w:color w:val="000000"/>
        </w:rPr>
        <w:t xml:space="preserve"> The public payroll has risen in past years. </w:t>
      </w:r>
      <w:r w:rsidR="00AC413E" w:rsidRPr="00034A4A">
        <w:rPr>
          <w:rFonts w:ascii="Sylfaen" w:hAnsi="Sylfaen" w:cs="Times New Roman"/>
          <w:color w:val="000000"/>
        </w:rPr>
        <w:t>This paper has argued that it should not be cut in the absence of other job opportunities. Rather than contemplating a reduction, i</w:t>
      </w:r>
      <w:r w:rsidRPr="00034A4A">
        <w:rPr>
          <w:rFonts w:ascii="Sylfaen" w:hAnsi="Sylfaen" w:cs="Times New Roman"/>
          <w:color w:val="000000"/>
        </w:rPr>
        <w:t xml:space="preserve">t </w:t>
      </w:r>
      <w:r w:rsidR="00AC413E" w:rsidRPr="00034A4A">
        <w:rPr>
          <w:rFonts w:ascii="Sylfaen" w:hAnsi="Sylfaen" w:cs="Times New Roman"/>
          <w:color w:val="000000"/>
        </w:rPr>
        <w:t xml:space="preserve">might instead </w:t>
      </w:r>
      <w:r w:rsidRPr="00034A4A">
        <w:rPr>
          <w:rFonts w:ascii="Sylfaen" w:hAnsi="Sylfaen" w:cs="Times New Roman"/>
          <w:color w:val="000000"/>
        </w:rPr>
        <w:t>be tempt</w:t>
      </w:r>
      <w:r w:rsidR="00A57773">
        <w:rPr>
          <w:rFonts w:ascii="Sylfaen" w:hAnsi="Sylfaen" w:cs="Times New Roman"/>
          <w:color w:val="000000"/>
        </w:rPr>
        <w:t>ing to look to further expand</w:t>
      </w:r>
      <w:r w:rsidRPr="00034A4A">
        <w:rPr>
          <w:rFonts w:ascii="Sylfaen" w:hAnsi="Sylfaen" w:cs="Times New Roman"/>
          <w:color w:val="000000"/>
        </w:rPr>
        <w:t xml:space="preserve"> the civil service and </w:t>
      </w:r>
      <w:r w:rsidR="006E5835" w:rsidRPr="00034A4A">
        <w:rPr>
          <w:rFonts w:ascii="Sylfaen" w:hAnsi="Sylfaen" w:cs="Times New Roman"/>
          <w:color w:val="000000"/>
        </w:rPr>
        <w:t xml:space="preserve">of </w:t>
      </w:r>
      <w:r w:rsidRPr="00034A4A">
        <w:rPr>
          <w:rFonts w:ascii="Sylfaen" w:hAnsi="Sylfaen" w:cs="Times New Roman"/>
          <w:color w:val="000000"/>
        </w:rPr>
        <w:t xml:space="preserve">SOEs as an appranent solution to the jobs challenge. However, </w:t>
      </w:r>
      <w:r w:rsidR="00C817CA" w:rsidRPr="00034A4A">
        <w:rPr>
          <w:rFonts w:ascii="Sylfaen" w:hAnsi="Sylfaen" w:cs="Times New Roman"/>
          <w:color w:val="000000"/>
        </w:rPr>
        <w:t xml:space="preserve">this strategy would have </w:t>
      </w:r>
      <w:r w:rsidR="00AC413E" w:rsidRPr="00034A4A">
        <w:rPr>
          <w:rFonts w:ascii="Sylfaen" w:hAnsi="Sylfaen" w:cs="Times New Roman"/>
          <w:color w:val="000000"/>
        </w:rPr>
        <w:t xml:space="preserve">serious drawbacks for jobs. </w:t>
      </w:r>
      <w:r w:rsidR="00B20E8E" w:rsidRPr="00034A4A">
        <w:rPr>
          <w:rFonts w:ascii="Sylfaen" w:hAnsi="Sylfaen" w:cs="Times New Roman"/>
          <w:color w:val="000000"/>
        </w:rPr>
        <w:t>Crucially, i</w:t>
      </w:r>
      <w:r w:rsidR="00AC413E" w:rsidRPr="00034A4A">
        <w:rPr>
          <w:rFonts w:ascii="Sylfaen" w:hAnsi="Sylfaen" w:cs="Times New Roman"/>
          <w:color w:val="000000"/>
        </w:rPr>
        <w:t xml:space="preserve">t </w:t>
      </w:r>
      <w:r w:rsidRPr="00034A4A">
        <w:rPr>
          <w:rFonts w:ascii="Sylfaen" w:hAnsi="Sylfaen" w:cs="Times New Roman"/>
          <w:color w:val="000000"/>
        </w:rPr>
        <w:t xml:space="preserve">would risk further squeezing the space in which the private sector can grow, rather than beginning to </w:t>
      </w:r>
      <w:r w:rsidR="00AC413E" w:rsidRPr="00034A4A">
        <w:rPr>
          <w:rFonts w:ascii="Sylfaen" w:hAnsi="Sylfaen" w:cs="Times New Roman"/>
          <w:color w:val="000000"/>
        </w:rPr>
        <w:t>expand it. Further</w:t>
      </w:r>
      <w:r w:rsidR="00B55C4F">
        <w:rPr>
          <w:rFonts w:ascii="Sylfaen" w:hAnsi="Sylfaen" w:cs="Times New Roman"/>
          <w:color w:val="000000"/>
        </w:rPr>
        <w:t>more</w:t>
      </w:r>
      <w:r w:rsidR="00AC413E" w:rsidRPr="00034A4A">
        <w:rPr>
          <w:rFonts w:ascii="Sylfaen" w:hAnsi="Sylfaen" w:cs="Times New Roman"/>
          <w:color w:val="000000"/>
        </w:rPr>
        <w:t xml:space="preserve">, it begs future jobs crises when oil prices decline. </w:t>
      </w:r>
      <w:r w:rsidR="00B000F7" w:rsidRPr="00034A4A">
        <w:rPr>
          <w:rFonts w:ascii="Sylfaen" w:hAnsi="Sylfaen" w:cs="Times New Roman"/>
          <w:color w:val="000000"/>
        </w:rPr>
        <w:t>As we have discussed, o</w:t>
      </w:r>
      <w:r w:rsidR="00AC413E" w:rsidRPr="00034A4A">
        <w:rPr>
          <w:rFonts w:ascii="Sylfaen" w:hAnsi="Sylfaen" w:cs="Times New Roman"/>
          <w:color w:val="000000"/>
        </w:rPr>
        <w:t xml:space="preserve">ther forms of public </w:t>
      </w:r>
      <w:r w:rsidR="00C817CA" w:rsidRPr="00034A4A">
        <w:rPr>
          <w:rFonts w:ascii="Sylfaen" w:hAnsi="Sylfaen" w:cs="Times New Roman"/>
          <w:color w:val="000000"/>
        </w:rPr>
        <w:t xml:space="preserve">investment for </w:t>
      </w:r>
      <w:r w:rsidR="00AC413E" w:rsidRPr="00034A4A">
        <w:rPr>
          <w:rFonts w:ascii="Sylfaen" w:hAnsi="Sylfaen" w:cs="Times New Roman"/>
          <w:color w:val="000000"/>
        </w:rPr>
        <w:t xml:space="preserve">jobs offer a better balance of costs and benefits – for instance, public works, </w:t>
      </w:r>
      <w:r w:rsidR="00B000F7" w:rsidRPr="00034A4A">
        <w:rPr>
          <w:rFonts w:ascii="Sylfaen" w:hAnsi="Sylfaen" w:cs="Times New Roman"/>
          <w:color w:val="000000"/>
        </w:rPr>
        <w:t xml:space="preserve">and financing schemes for </w:t>
      </w:r>
      <w:r w:rsidR="00AC413E" w:rsidRPr="00034A4A">
        <w:rPr>
          <w:rFonts w:ascii="Sylfaen" w:hAnsi="Sylfaen" w:cs="Times New Roman"/>
          <w:color w:val="000000"/>
        </w:rPr>
        <w:t xml:space="preserve">agriculture </w:t>
      </w:r>
      <w:r w:rsidR="00B000F7" w:rsidRPr="00034A4A">
        <w:rPr>
          <w:rFonts w:ascii="Sylfaen" w:hAnsi="Sylfaen" w:cs="Times New Roman"/>
          <w:color w:val="000000"/>
        </w:rPr>
        <w:t xml:space="preserve">investments </w:t>
      </w:r>
      <w:r w:rsidR="00AC413E" w:rsidRPr="00034A4A">
        <w:rPr>
          <w:rFonts w:ascii="Sylfaen" w:hAnsi="Sylfaen" w:cs="Times New Roman"/>
          <w:color w:val="000000"/>
        </w:rPr>
        <w:t xml:space="preserve">and home </w:t>
      </w:r>
      <w:r w:rsidR="00B000F7" w:rsidRPr="00034A4A">
        <w:rPr>
          <w:rFonts w:ascii="Sylfaen" w:hAnsi="Sylfaen" w:cs="Times New Roman"/>
          <w:color w:val="000000"/>
        </w:rPr>
        <w:t>construction</w:t>
      </w:r>
      <w:r w:rsidR="00AC413E" w:rsidRPr="00034A4A">
        <w:rPr>
          <w:rFonts w:ascii="Sylfaen" w:hAnsi="Sylfaen" w:cs="Times New Roman"/>
          <w:color w:val="000000"/>
        </w:rPr>
        <w:t>.</w:t>
      </w:r>
    </w:p>
    <w:bookmarkEnd w:id="3"/>
    <w:p w14:paraId="1AABB92C" w14:textId="7C663C6A" w:rsidR="00FD58A3" w:rsidRPr="00034A4A" w:rsidRDefault="00FD58A3" w:rsidP="008769F4">
      <w:pPr>
        <w:spacing w:after="120"/>
        <w:jc w:val="both"/>
        <w:rPr>
          <w:rFonts w:ascii="Sylfaen" w:hAnsi="Sylfaen" w:cs="Times New Roman"/>
          <w:color w:val="000000"/>
        </w:rPr>
      </w:pPr>
      <w:r w:rsidRPr="00034A4A">
        <w:rPr>
          <w:rFonts w:ascii="Sylfaen" w:hAnsi="Sylfaen" w:cs="Times New Roman"/>
          <w:b/>
          <w:color w:val="000000"/>
        </w:rPr>
        <w:t>Conces</w:t>
      </w:r>
      <w:r w:rsidR="00B20E8E" w:rsidRPr="00034A4A">
        <w:rPr>
          <w:rFonts w:ascii="Sylfaen" w:hAnsi="Sylfaen" w:cs="Times New Roman"/>
          <w:b/>
          <w:color w:val="000000"/>
        </w:rPr>
        <w:t xml:space="preserve">sional donor funding is </w:t>
      </w:r>
      <w:r w:rsidRPr="00034A4A">
        <w:rPr>
          <w:rFonts w:ascii="Sylfaen" w:hAnsi="Sylfaen" w:cs="Times New Roman"/>
          <w:b/>
          <w:color w:val="000000"/>
        </w:rPr>
        <w:t xml:space="preserve">insufficient to meet Iraq’s jobs needs, but can have an important role in seeding investments. </w:t>
      </w:r>
      <w:r w:rsidRPr="00034A4A">
        <w:rPr>
          <w:rFonts w:ascii="Sylfaen" w:hAnsi="Sylfaen" w:cs="Times New Roman"/>
          <w:color w:val="000000"/>
        </w:rPr>
        <w:t>In addition to significant past budget</w:t>
      </w:r>
      <w:r w:rsidR="00AA2828" w:rsidRPr="00034A4A">
        <w:rPr>
          <w:rFonts w:ascii="Sylfaen" w:hAnsi="Sylfaen" w:cs="Times New Roman"/>
          <w:color w:val="000000"/>
        </w:rPr>
        <w:t xml:space="preserve"> support</w:t>
      </w:r>
      <w:r w:rsidRPr="00034A4A">
        <w:rPr>
          <w:rFonts w:ascii="Sylfaen" w:hAnsi="Sylfaen" w:cs="Times New Roman"/>
          <w:color w:val="000000"/>
        </w:rPr>
        <w:t xml:space="preserve">, the WBG and other donors extend traditional financing for specific investment projects. While they cannot solve the jobs challenge at scale, </w:t>
      </w:r>
      <w:r w:rsidR="00424DCF" w:rsidRPr="00034A4A">
        <w:rPr>
          <w:rFonts w:ascii="Sylfaen" w:hAnsi="Sylfaen" w:cs="Times New Roman"/>
          <w:color w:val="000000"/>
        </w:rPr>
        <w:t>t</w:t>
      </w:r>
      <w:r w:rsidRPr="00034A4A">
        <w:rPr>
          <w:rFonts w:ascii="Sylfaen" w:hAnsi="Sylfaen" w:cs="Times New Roman"/>
          <w:color w:val="000000"/>
        </w:rPr>
        <w:t xml:space="preserve">hey can help seed activites for GOI investment, bring in know-how, and buy down the discovery cost that comes with setting up new delivery systems. In addition, the good governance framework that adheres to investments </w:t>
      </w:r>
      <w:r w:rsidR="00A27DF9">
        <w:rPr>
          <w:rFonts w:ascii="Sylfaen" w:hAnsi="Sylfaen" w:cs="Times New Roman"/>
          <w:color w:val="000000"/>
        </w:rPr>
        <w:t xml:space="preserve">by the multilateral development banks </w:t>
      </w:r>
      <w:r w:rsidRPr="00034A4A">
        <w:rPr>
          <w:rFonts w:ascii="Sylfaen" w:hAnsi="Sylfaen" w:cs="Times New Roman"/>
          <w:color w:val="000000"/>
        </w:rPr>
        <w:t>can be useful if GOI would like to consider exploring unconventional financing options to le</w:t>
      </w:r>
      <w:r w:rsidR="006B64C5" w:rsidRPr="00034A4A">
        <w:rPr>
          <w:rFonts w:ascii="Sylfaen" w:hAnsi="Sylfaen" w:cs="Times New Roman"/>
          <w:color w:val="000000"/>
        </w:rPr>
        <w:t>verage its own resources and fo</w:t>
      </w:r>
      <w:r w:rsidRPr="00034A4A">
        <w:rPr>
          <w:rFonts w:ascii="Sylfaen" w:hAnsi="Sylfaen" w:cs="Times New Roman"/>
          <w:color w:val="000000"/>
        </w:rPr>
        <w:t>ster international private investment.</w:t>
      </w:r>
    </w:p>
    <w:p w14:paraId="6CC09EF9" w14:textId="1B33517D" w:rsidR="00626476" w:rsidRPr="00034A4A" w:rsidRDefault="00FD58A3" w:rsidP="008769F4">
      <w:pPr>
        <w:spacing w:after="120"/>
        <w:jc w:val="both"/>
        <w:rPr>
          <w:rFonts w:ascii="Sylfaen" w:hAnsi="Sylfaen" w:cs="Times New Roman"/>
        </w:rPr>
      </w:pPr>
      <w:r w:rsidRPr="00034A4A">
        <w:rPr>
          <w:rFonts w:ascii="Sylfaen" w:hAnsi="Sylfaen" w:cs="Times New Roman"/>
          <w:b/>
          <w:color w:val="000000"/>
        </w:rPr>
        <w:t xml:space="preserve">Innovative financing arrangements could allow the GOI to leverage its resources for jobs investments, </w:t>
      </w:r>
      <w:r w:rsidR="004518DD" w:rsidRPr="00034A4A">
        <w:rPr>
          <w:rFonts w:ascii="Sylfaen" w:hAnsi="Sylfaen" w:cs="Times New Roman"/>
          <w:b/>
          <w:color w:val="000000"/>
        </w:rPr>
        <w:t xml:space="preserve">and set impulses for business climate reform. </w:t>
      </w:r>
      <w:r w:rsidR="00513B74" w:rsidRPr="00034A4A">
        <w:rPr>
          <w:rFonts w:ascii="Sylfaen" w:hAnsi="Sylfaen" w:cs="Times New Roman"/>
          <w:color w:val="000000"/>
        </w:rPr>
        <w:t xml:space="preserve">The severe </w:t>
      </w:r>
      <w:r w:rsidR="004518DD" w:rsidRPr="00034A4A">
        <w:rPr>
          <w:rFonts w:ascii="Sylfaen" w:hAnsi="Sylfaen" w:cs="Times New Roman"/>
          <w:color w:val="000000"/>
        </w:rPr>
        <w:t xml:space="preserve">country risk and </w:t>
      </w:r>
      <w:r w:rsidR="00513B74" w:rsidRPr="00034A4A">
        <w:rPr>
          <w:rFonts w:ascii="Sylfaen" w:hAnsi="Sylfaen" w:cs="Times New Roman"/>
          <w:color w:val="000000"/>
        </w:rPr>
        <w:t xml:space="preserve">business climate constraints laid out make it unrealistic to rely on traditional foreign investment for job creation at scale. </w:t>
      </w:r>
      <w:r w:rsidR="004518DD" w:rsidRPr="00034A4A">
        <w:rPr>
          <w:rFonts w:ascii="Sylfaen" w:hAnsi="Sylfaen" w:cs="Times New Roman"/>
          <w:color w:val="000000"/>
        </w:rPr>
        <w:t>Howe</w:t>
      </w:r>
      <w:r w:rsidR="00A27DF9">
        <w:rPr>
          <w:rFonts w:ascii="Sylfaen" w:hAnsi="Sylfaen" w:cs="Times New Roman"/>
          <w:color w:val="000000"/>
        </w:rPr>
        <w:t>ver, the GOI could look to use</w:t>
      </w:r>
      <w:r w:rsidR="004518DD" w:rsidRPr="00034A4A">
        <w:rPr>
          <w:rFonts w:ascii="Sylfaen" w:hAnsi="Sylfaen" w:cs="Times New Roman"/>
          <w:color w:val="000000"/>
        </w:rPr>
        <w:t xml:space="preserve"> some of its resources under an innovative financing arrangement that reduces private investor risk and allows the GOI to leverage its own funds.</w:t>
      </w:r>
      <w:r w:rsidR="00424DCF" w:rsidRPr="00034A4A">
        <w:rPr>
          <w:rFonts w:ascii="Sylfaen" w:hAnsi="Sylfaen" w:cs="Times New Roman"/>
          <w:color w:val="000000"/>
        </w:rPr>
        <w:t xml:space="preserve"> For instance, t</w:t>
      </w:r>
      <w:r w:rsidR="004518DD" w:rsidRPr="00034A4A">
        <w:rPr>
          <w:rFonts w:ascii="Sylfaen" w:hAnsi="Sylfaen"/>
        </w:rPr>
        <w:t xml:space="preserve">he </w:t>
      </w:r>
      <w:r w:rsidR="00F443CD" w:rsidRPr="00034A4A">
        <w:rPr>
          <w:rFonts w:ascii="Sylfaen" w:hAnsi="Sylfaen"/>
        </w:rPr>
        <w:t xml:space="preserve">GOI could </w:t>
      </w:r>
      <w:r w:rsidR="00424DCF" w:rsidRPr="00034A4A">
        <w:rPr>
          <w:rFonts w:ascii="Sylfaen" w:hAnsi="Sylfaen"/>
        </w:rPr>
        <w:t xml:space="preserve">use </w:t>
      </w:r>
      <w:r w:rsidR="00424DCF" w:rsidRPr="00034A4A">
        <w:rPr>
          <w:rFonts w:ascii="Sylfaen" w:hAnsi="Sylfaen" w:cs="Times New Roman"/>
        </w:rPr>
        <w:t xml:space="preserve">a share of its incremental hydrocarbon revenue to </w:t>
      </w:r>
      <w:r w:rsidR="00F443CD" w:rsidRPr="00034A4A">
        <w:rPr>
          <w:rFonts w:ascii="Sylfaen" w:hAnsi="Sylfaen"/>
        </w:rPr>
        <w:t>endow a special purpose vehicle under a transparent governance structure</w:t>
      </w:r>
      <w:r w:rsidR="004518DD" w:rsidRPr="00034A4A">
        <w:rPr>
          <w:rFonts w:ascii="Sylfaen" w:hAnsi="Sylfaen"/>
        </w:rPr>
        <w:t xml:space="preserve">, and </w:t>
      </w:r>
      <w:r w:rsidR="00F443CD" w:rsidRPr="00034A4A">
        <w:rPr>
          <w:rFonts w:ascii="Sylfaen" w:hAnsi="Sylfaen"/>
        </w:rPr>
        <w:t xml:space="preserve">seek to </w:t>
      </w:r>
      <w:r w:rsidR="004518DD" w:rsidRPr="00034A4A">
        <w:rPr>
          <w:rFonts w:ascii="Sylfaen" w:hAnsi="Sylfaen"/>
        </w:rPr>
        <w:t xml:space="preserve">leverage private funds </w:t>
      </w:r>
      <w:r w:rsidR="00F443CD" w:rsidRPr="00034A4A">
        <w:rPr>
          <w:rFonts w:ascii="Sylfaen" w:hAnsi="Sylfaen"/>
        </w:rPr>
        <w:t>for jobs-intensive projects</w:t>
      </w:r>
      <w:r w:rsidR="00424DCF" w:rsidRPr="00034A4A">
        <w:rPr>
          <w:rFonts w:ascii="Sylfaen" w:hAnsi="Sylfaen"/>
        </w:rPr>
        <w:t xml:space="preserve">, perhaps with contributions from </w:t>
      </w:r>
      <w:r w:rsidR="00A27DF9">
        <w:rPr>
          <w:rFonts w:ascii="Sylfaen" w:hAnsi="Sylfaen" w:cs="Times New Roman"/>
          <w:color w:val="000000"/>
        </w:rPr>
        <w:t xml:space="preserve">multilateral development banks </w:t>
      </w:r>
      <w:r w:rsidR="00424DCF" w:rsidRPr="00034A4A">
        <w:rPr>
          <w:rFonts w:ascii="Sylfaen" w:hAnsi="Sylfaen"/>
        </w:rPr>
        <w:t>and donors</w:t>
      </w:r>
      <w:r w:rsidR="000640C4" w:rsidRPr="00034A4A">
        <w:rPr>
          <w:rFonts w:ascii="Sylfaen" w:hAnsi="Sylfaen"/>
        </w:rPr>
        <w:t xml:space="preserve">. </w:t>
      </w:r>
      <w:r w:rsidR="00626476" w:rsidRPr="00034A4A">
        <w:rPr>
          <w:rFonts w:ascii="Sylfaen" w:hAnsi="Sylfaen" w:cs="Times New Roman"/>
          <w:bCs/>
        </w:rPr>
        <w:t xml:space="preserve">SPV funds are </w:t>
      </w:r>
      <w:r w:rsidR="00591E0C" w:rsidRPr="00034A4A">
        <w:rPr>
          <w:rFonts w:ascii="Sylfaen" w:hAnsi="Sylfaen" w:cs="Times New Roman"/>
        </w:rPr>
        <w:t>ring-fenced and managed through governing board</w:t>
      </w:r>
      <w:r w:rsidR="00626476" w:rsidRPr="00034A4A">
        <w:rPr>
          <w:rFonts w:ascii="Sylfaen" w:hAnsi="Sylfaen" w:cs="Times New Roman"/>
        </w:rPr>
        <w:t>s</w:t>
      </w:r>
      <w:r w:rsidR="00591E0C" w:rsidRPr="00034A4A">
        <w:rPr>
          <w:rFonts w:ascii="Sylfaen" w:hAnsi="Sylfaen" w:cs="Times New Roman"/>
        </w:rPr>
        <w:t xml:space="preserve"> that compl</w:t>
      </w:r>
      <w:r w:rsidR="00626476" w:rsidRPr="00034A4A">
        <w:rPr>
          <w:rFonts w:ascii="Sylfaen" w:hAnsi="Sylfaen" w:cs="Times New Roman"/>
        </w:rPr>
        <w:t>y</w:t>
      </w:r>
      <w:r w:rsidR="00591E0C" w:rsidRPr="00034A4A">
        <w:rPr>
          <w:rFonts w:ascii="Sylfaen" w:hAnsi="Sylfaen" w:cs="Times New Roman"/>
        </w:rPr>
        <w:t xml:space="preserve"> with international best practice</w:t>
      </w:r>
      <w:r w:rsidR="00424DCF" w:rsidRPr="00034A4A">
        <w:rPr>
          <w:rFonts w:ascii="Sylfaen" w:hAnsi="Sylfaen" w:cs="Times New Roman"/>
        </w:rPr>
        <w:t>.</w:t>
      </w:r>
      <w:r w:rsidR="00626476" w:rsidRPr="00034A4A">
        <w:rPr>
          <w:rFonts w:ascii="Sylfaen" w:hAnsi="Sylfaen" w:cs="Times New Roman"/>
        </w:rPr>
        <w:t xml:space="preserve"> </w:t>
      </w:r>
      <w:r w:rsidR="00A27DF9">
        <w:rPr>
          <w:rFonts w:ascii="Sylfaen" w:hAnsi="Sylfaen" w:cs="Times New Roman"/>
          <w:bCs/>
        </w:rPr>
        <w:t xml:space="preserve">The creation of </w:t>
      </w:r>
      <w:r w:rsidR="00424DCF" w:rsidRPr="00034A4A">
        <w:rPr>
          <w:rFonts w:ascii="Sylfaen" w:hAnsi="Sylfaen" w:cs="Times New Roman"/>
        </w:rPr>
        <w:t xml:space="preserve">such a structure </w:t>
      </w:r>
      <w:r w:rsidR="00F443CD" w:rsidRPr="00034A4A">
        <w:rPr>
          <w:rFonts w:ascii="Sylfaen" w:hAnsi="Sylfaen" w:cs="Times New Roman"/>
        </w:rPr>
        <w:t>could both reflect GOI’s commitment to financing job creation in Iraq</w:t>
      </w:r>
      <w:r w:rsidR="00F443CD" w:rsidRPr="00034A4A">
        <w:rPr>
          <w:rFonts w:ascii="Sylfaen" w:hAnsi="Sylfaen" w:cs="Times New Roman"/>
          <w:bCs/>
        </w:rPr>
        <w:t>, and allow the GOI to test business climate reforms.</w:t>
      </w:r>
    </w:p>
    <w:p w14:paraId="2DCE984F" w14:textId="5ED188BD" w:rsidR="00A51DFE" w:rsidRPr="00034A4A" w:rsidRDefault="00F443CD" w:rsidP="008769F4">
      <w:pPr>
        <w:spacing w:after="120"/>
        <w:jc w:val="both"/>
        <w:rPr>
          <w:rFonts w:ascii="Sylfaen" w:hAnsi="Sylfaen" w:cs="Times New Roman"/>
          <w:color w:val="000000"/>
        </w:rPr>
      </w:pPr>
      <w:r w:rsidRPr="00034A4A">
        <w:rPr>
          <w:rFonts w:ascii="Sylfaen" w:hAnsi="Sylfaen" w:cs="Times New Roman"/>
          <w:b/>
          <w:bCs/>
        </w:rPr>
        <w:t>I</w:t>
      </w:r>
      <w:r w:rsidR="00FD294B" w:rsidRPr="00034A4A">
        <w:rPr>
          <w:rFonts w:ascii="Sylfaen" w:hAnsi="Sylfaen" w:cs="Times New Roman"/>
          <w:b/>
          <w:bCs/>
        </w:rPr>
        <w:t>ndirect offsets</w:t>
      </w:r>
      <w:r w:rsidRPr="00034A4A">
        <w:rPr>
          <w:rFonts w:ascii="Sylfaen" w:hAnsi="Sylfaen" w:cs="Times New Roman"/>
          <w:b/>
          <w:bCs/>
        </w:rPr>
        <w:t xml:space="preserve"> in </w:t>
      </w:r>
      <w:r w:rsidR="005A78A5">
        <w:rPr>
          <w:rFonts w:ascii="Sylfaen" w:hAnsi="Sylfaen" w:cs="Times New Roman"/>
          <w:b/>
          <w:bCs/>
        </w:rPr>
        <w:t>lucrative contracts could</w:t>
      </w:r>
      <w:r w:rsidR="00E00D13" w:rsidRPr="00034A4A">
        <w:rPr>
          <w:rFonts w:ascii="Sylfaen" w:hAnsi="Sylfaen" w:cs="Times New Roman"/>
          <w:b/>
          <w:bCs/>
        </w:rPr>
        <w:t xml:space="preserve"> </w:t>
      </w:r>
      <w:r w:rsidR="00EF28AC" w:rsidRPr="00034A4A">
        <w:rPr>
          <w:rFonts w:ascii="Sylfaen" w:hAnsi="Sylfaen" w:cs="Times New Roman"/>
          <w:b/>
          <w:bCs/>
        </w:rPr>
        <w:t xml:space="preserve">attract </w:t>
      </w:r>
      <w:r w:rsidR="005A78A5">
        <w:rPr>
          <w:rFonts w:ascii="Sylfaen" w:hAnsi="Sylfaen" w:cs="Times New Roman"/>
          <w:b/>
          <w:bCs/>
        </w:rPr>
        <w:t xml:space="preserve">some </w:t>
      </w:r>
      <w:r w:rsidR="00EF28AC" w:rsidRPr="00034A4A">
        <w:rPr>
          <w:rFonts w:ascii="Sylfaen" w:hAnsi="Sylfaen" w:cs="Times New Roman"/>
          <w:b/>
          <w:bCs/>
        </w:rPr>
        <w:t xml:space="preserve">financing and knowledge for </w:t>
      </w:r>
      <w:r w:rsidR="00E00D13" w:rsidRPr="00034A4A">
        <w:rPr>
          <w:rFonts w:ascii="Sylfaen" w:hAnsi="Sylfaen" w:cs="Times New Roman"/>
          <w:b/>
          <w:bCs/>
        </w:rPr>
        <w:t>SME</w:t>
      </w:r>
      <w:r w:rsidR="00EF28AC" w:rsidRPr="00034A4A">
        <w:rPr>
          <w:rFonts w:ascii="Sylfaen" w:hAnsi="Sylfaen" w:cs="Times New Roman"/>
          <w:b/>
          <w:bCs/>
        </w:rPr>
        <w:t>s and labor force skills</w:t>
      </w:r>
      <w:r w:rsidR="00DC31CA" w:rsidRPr="00034A4A">
        <w:rPr>
          <w:rFonts w:ascii="Sylfaen" w:hAnsi="Sylfaen" w:cs="Times New Roman"/>
          <w:b/>
          <w:bCs/>
        </w:rPr>
        <w:t xml:space="preserve">. </w:t>
      </w:r>
      <w:r w:rsidR="00A51DFE" w:rsidRPr="00034A4A">
        <w:rPr>
          <w:rFonts w:ascii="Sylfaen" w:hAnsi="Sylfaen" w:cs="Times New Roman"/>
        </w:rPr>
        <w:t xml:space="preserve">Iraq </w:t>
      </w:r>
      <w:r w:rsidR="00DC31CA" w:rsidRPr="00034A4A">
        <w:rPr>
          <w:rFonts w:ascii="Sylfaen" w:hAnsi="Sylfaen" w:cs="Times New Roman"/>
        </w:rPr>
        <w:t xml:space="preserve">can also </w:t>
      </w:r>
      <w:r w:rsidR="00A51DFE" w:rsidRPr="00034A4A">
        <w:rPr>
          <w:rFonts w:ascii="Sylfaen" w:hAnsi="Sylfaen" w:cs="Times New Roman"/>
        </w:rPr>
        <w:t>look to ‘</w:t>
      </w:r>
      <w:r w:rsidR="00E00D13" w:rsidRPr="00034A4A">
        <w:rPr>
          <w:rFonts w:ascii="Sylfaen" w:hAnsi="Sylfaen" w:cs="Times New Roman"/>
        </w:rPr>
        <w:t>i</w:t>
      </w:r>
      <w:r w:rsidR="00A51DFE" w:rsidRPr="00034A4A">
        <w:rPr>
          <w:rFonts w:ascii="Sylfaen" w:hAnsi="Sylfaen" w:cs="Times New Roman"/>
        </w:rPr>
        <w:t xml:space="preserve">ndirect </w:t>
      </w:r>
      <w:r w:rsidR="00E00D13" w:rsidRPr="00034A4A">
        <w:rPr>
          <w:rFonts w:ascii="Sylfaen" w:hAnsi="Sylfaen" w:cs="Times New Roman"/>
        </w:rPr>
        <w:t>o</w:t>
      </w:r>
      <w:r w:rsidR="00A51DFE" w:rsidRPr="00034A4A">
        <w:rPr>
          <w:rFonts w:ascii="Sylfaen" w:hAnsi="Sylfaen" w:cs="Times New Roman"/>
        </w:rPr>
        <w:t xml:space="preserve">ffsets’ as a further </w:t>
      </w:r>
      <w:r w:rsidR="00DC31CA" w:rsidRPr="00034A4A">
        <w:rPr>
          <w:rFonts w:ascii="Sylfaen" w:hAnsi="Sylfaen" w:cs="Times New Roman"/>
        </w:rPr>
        <w:t xml:space="preserve">element </w:t>
      </w:r>
      <w:r w:rsidR="00A51DFE" w:rsidRPr="00034A4A">
        <w:rPr>
          <w:rFonts w:ascii="Sylfaen" w:hAnsi="Sylfaen" w:cs="Times New Roman"/>
        </w:rPr>
        <w:t xml:space="preserve">of an unconventional financing structure. Indirect offsets create an obligation for </w:t>
      </w:r>
      <w:r w:rsidR="00A51DFE" w:rsidRPr="00034A4A">
        <w:rPr>
          <w:rFonts w:ascii="Sylfaen" w:hAnsi="Sylfaen" w:cs="Times New Roman"/>
          <w:color w:val="000000"/>
        </w:rPr>
        <w:t xml:space="preserve">investors taking on attractive contracts (for instance in the </w:t>
      </w:r>
      <w:r w:rsidR="009A23F9" w:rsidRPr="00034A4A">
        <w:rPr>
          <w:rFonts w:ascii="Sylfaen" w:hAnsi="Sylfaen" w:cs="Times New Roman"/>
          <w:color w:val="000000"/>
        </w:rPr>
        <w:t xml:space="preserve">energy </w:t>
      </w:r>
      <w:r w:rsidR="00A51DFE" w:rsidRPr="00034A4A">
        <w:rPr>
          <w:rFonts w:ascii="Sylfaen" w:hAnsi="Sylfaen" w:cs="Times New Roman"/>
          <w:color w:val="000000"/>
        </w:rPr>
        <w:t>sector, or in marquee reconstruction projects) to invest in SMEs or vocational skills development, with the goal of nurturing the emergence of a strong Iraqi private sector.</w:t>
      </w:r>
      <w:r w:rsidR="005A78A5">
        <w:rPr>
          <w:rFonts w:ascii="Sylfaen" w:hAnsi="Sylfaen" w:cs="Times New Roman"/>
          <w:color w:val="000000"/>
        </w:rPr>
        <w:t xml:space="preserve"> However, the advantages of offsets have to be balanced against a possible loss in the number of interested bidders for investments, and a potential decrease in transparency of the bidding processes.</w:t>
      </w:r>
    </w:p>
    <w:p w14:paraId="0DB3B6C8" w14:textId="77777777" w:rsidR="00F443CD" w:rsidRPr="00034A4A" w:rsidRDefault="00F443CD" w:rsidP="008769F4">
      <w:pPr>
        <w:spacing w:after="120"/>
        <w:jc w:val="both"/>
        <w:rPr>
          <w:rFonts w:ascii="Sylfaen" w:hAnsi="Sylfaen"/>
          <w:b/>
          <w:color w:val="0070C0"/>
          <w:sz w:val="24"/>
        </w:rPr>
      </w:pPr>
    </w:p>
    <w:p w14:paraId="3491958A" w14:textId="0654EF51" w:rsidR="00FF33A8" w:rsidRPr="00034A4A" w:rsidRDefault="00A669FE" w:rsidP="008769F4">
      <w:pPr>
        <w:pStyle w:val="ListParagraph"/>
        <w:numPr>
          <w:ilvl w:val="0"/>
          <w:numId w:val="36"/>
        </w:numPr>
        <w:autoSpaceDE w:val="0"/>
        <w:autoSpaceDN w:val="0"/>
        <w:adjustRightInd w:val="0"/>
        <w:spacing w:after="120"/>
        <w:ind w:left="360"/>
        <w:contextualSpacing w:val="0"/>
        <w:jc w:val="both"/>
        <w:rPr>
          <w:rFonts w:ascii="Sylfaen" w:hAnsi="Sylfaen" w:cs="Times New Roman"/>
          <w:b/>
          <w:color w:val="0070C0"/>
          <w:sz w:val="28"/>
          <w:szCs w:val="28"/>
        </w:rPr>
      </w:pPr>
      <w:r w:rsidRPr="00034A4A">
        <w:rPr>
          <w:rFonts w:ascii="Sylfaen" w:hAnsi="Sylfaen" w:cs="Times New Roman"/>
          <w:b/>
          <w:color w:val="0070C0"/>
          <w:sz w:val="28"/>
          <w:szCs w:val="28"/>
        </w:rPr>
        <w:t>Conclusion</w:t>
      </w:r>
    </w:p>
    <w:p w14:paraId="5C3B5045" w14:textId="52AFBACA" w:rsidR="00F17557" w:rsidRPr="00034A4A" w:rsidRDefault="00F17557" w:rsidP="008769F4">
      <w:pPr>
        <w:autoSpaceDE w:val="0"/>
        <w:autoSpaceDN w:val="0"/>
        <w:adjustRightInd w:val="0"/>
        <w:spacing w:after="120"/>
        <w:jc w:val="both"/>
        <w:rPr>
          <w:rFonts w:ascii="Sylfaen" w:hAnsi="Sylfaen" w:cs="Times New Roman"/>
        </w:rPr>
      </w:pPr>
      <w:r w:rsidRPr="00034A4A">
        <w:rPr>
          <w:rFonts w:ascii="Sylfaen" w:hAnsi="Sylfaen" w:cs="Times New Roman"/>
          <w:b/>
        </w:rPr>
        <w:t xml:space="preserve">The purpose of this </w:t>
      </w:r>
      <w:r w:rsidR="00A27DF9">
        <w:rPr>
          <w:rFonts w:ascii="Sylfaen" w:hAnsi="Sylfaen" w:cs="Times New Roman"/>
          <w:b/>
        </w:rPr>
        <w:t>paper</w:t>
      </w:r>
      <w:r w:rsidRPr="00034A4A">
        <w:rPr>
          <w:rFonts w:ascii="Sylfaen" w:hAnsi="Sylfaen" w:cs="Times New Roman"/>
          <w:b/>
        </w:rPr>
        <w:t xml:space="preserve"> is to provide a starting point for dialogue on job</w:t>
      </w:r>
      <w:r w:rsidR="009C19AA" w:rsidRPr="00034A4A">
        <w:rPr>
          <w:rFonts w:ascii="Sylfaen" w:hAnsi="Sylfaen" w:cs="Times New Roman"/>
          <w:b/>
        </w:rPr>
        <w:t xml:space="preserve"> creation</w:t>
      </w:r>
      <w:r w:rsidRPr="00034A4A">
        <w:rPr>
          <w:rFonts w:ascii="Sylfaen" w:hAnsi="Sylfaen" w:cs="Times New Roman"/>
          <w:b/>
        </w:rPr>
        <w:t xml:space="preserve"> at scale in the short run. </w:t>
      </w:r>
      <w:r w:rsidR="00A669FE" w:rsidRPr="00034A4A">
        <w:rPr>
          <w:rFonts w:ascii="Sylfaen" w:hAnsi="Sylfaen" w:cs="Times New Roman"/>
        </w:rPr>
        <w:t>T</w:t>
      </w:r>
      <w:r w:rsidR="00FF33A8" w:rsidRPr="00034A4A">
        <w:rPr>
          <w:rFonts w:ascii="Sylfaen" w:hAnsi="Sylfaen" w:cs="Times New Roman"/>
        </w:rPr>
        <w:t xml:space="preserve">his note </w:t>
      </w:r>
      <w:r w:rsidR="00A669FE" w:rsidRPr="00034A4A">
        <w:rPr>
          <w:rFonts w:ascii="Sylfaen" w:hAnsi="Sylfaen" w:cs="Times New Roman"/>
        </w:rPr>
        <w:t xml:space="preserve">has sought </w:t>
      </w:r>
      <w:r w:rsidR="00D30882" w:rsidRPr="00034A4A">
        <w:rPr>
          <w:rFonts w:ascii="Sylfaen" w:hAnsi="Sylfaen" w:cs="Times New Roman"/>
        </w:rPr>
        <w:t xml:space="preserve">to (i) </w:t>
      </w:r>
      <w:r w:rsidRPr="00034A4A">
        <w:rPr>
          <w:rFonts w:ascii="Sylfaen" w:hAnsi="Sylfaen" w:cs="Times New Roman"/>
        </w:rPr>
        <w:t xml:space="preserve">describe the pressing current job needs in Iraq; (ii) </w:t>
      </w:r>
      <w:r w:rsidR="002E327E" w:rsidRPr="00034A4A">
        <w:rPr>
          <w:rFonts w:ascii="Sylfaen" w:hAnsi="Sylfaen" w:cs="Times New Roman"/>
        </w:rPr>
        <w:t xml:space="preserve">argue that the construction and agriculture </w:t>
      </w:r>
      <w:r w:rsidR="00FF33A8" w:rsidRPr="00034A4A">
        <w:rPr>
          <w:rFonts w:ascii="Sylfaen" w:hAnsi="Sylfaen" w:cs="Times New Roman"/>
        </w:rPr>
        <w:t xml:space="preserve">sectors of the economy </w:t>
      </w:r>
      <w:r w:rsidR="002E327E" w:rsidRPr="00034A4A">
        <w:rPr>
          <w:rFonts w:ascii="Sylfaen" w:hAnsi="Sylfaen" w:cs="Times New Roman"/>
        </w:rPr>
        <w:t xml:space="preserve">can anchor </w:t>
      </w:r>
      <w:r w:rsidR="00FF33A8" w:rsidRPr="00034A4A">
        <w:rPr>
          <w:rFonts w:ascii="Sylfaen" w:hAnsi="Sylfaen" w:cs="Times New Roman"/>
        </w:rPr>
        <w:t xml:space="preserve">large-scale </w:t>
      </w:r>
      <w:r w:rsidR="002E327E" w:rsidRPr="00034A4A">
        <w:rPr>
          <w:rFonts w:ascii="Sylfaen" w:hAnsi="Sylfaen" w:cs="Times New Roman"/>
        </w:rPr>
        <w:t xml:space="preserve">job creation </w:t>
      </w:r>
      <w:r w:rsidR="00424DCF" w:rsidRPr="00034A4A">
        <w:rPr>
          <w:rFonts w:ascii="Sylfaen" w:hAnsi="Sylfaen" w:cs="Times New Roman"/>
        </w:rPr>
        <w:t>during the reconstruction of Iraq</w:t>
      </w:r>
      <w:r w:rsidR="00FF33A8" w:rsidRPr="00034A4A">
        <w:rPr>
          <w:rFonts w:ascii="Sylfaen" w:hAnsi="Sylfaen" w:cs="Times New Roman"/>
        </w:rPr>
        <w:t xml:space="preserve">; </w:t>
      </w:r>
      <w:r w:rsidR="00D30882" w:rsidRPr="00034A4A">
        <w:rPr>
          <w:rFonts w:ascii="Sylfaen" w:hAnsi="Sylfaen" w:cs="Times New Roman"/>
        </w:rPr>
        <w:t>(ii</w:t>
      </w:r>
      <w:r w:rsidRPr="00034A4A">
        <w:rPr>
          <w:rFonts w:ascii="Sylfaen" w:hAnsi="Sylfaen" w:cs="Times New Roman"/>
        </w:rPr>
        <w:t>i</w:t>
      </w:r>
      <w:r w:rsidR="00D30882" w:rsidRPr="00034A4A">
        <w:rPr>
          <w:rFonts w:ascii="Sylfaen" w:hAnsi="Sylfaen" w:cs="Times New Roman"/>
        </w:rPr>
        <w:t>) pinpoint</w:t>
      </w:r>
      <w:r w:rsidR="00FF33A8" w:rsidRPr="00034A4A">
        <w:rPr>
          <w:rFonts w:ascii="Sylfaen" w:hAnsi="Sylfaen" w:cs="Times New Roman"/>
        </w:rPr>
        <w:t xml:space="preserve"> </w:t>
      </w:r>
      <w:r w:rsidR="002E327E" w:rsidRPr="00034A4A">
        <w:rPr>
          <w:rFonts w:ascii="Sylfaen" w:hAnsi="Sylfaen" w:cs="Times New Roman"/>
        </w:rPr>
        <w:t xml:space="preserve">SME support and vocational skills training as </w:t>
      </w:r>
      <w:r w:rsidR="00FF33A8" w:rsidRPr="00034A4A">
        <w:rPr>
          <w:rFonts w:ascii="Sylfaen" w:hAnsi="Sylfaen" w:cs="Times New Roman"/>
        </w:rPr>
        <w:t xml:space="preserve">key actions </w:t>
      </w:r>
      <w:r w:rsidR="00424DCF" w:rsidRPr="00034A4A">
        <w:rPr>
          <w:rFonts w:ascii="Sylfaen" w:hAnsi="Sylfaen" w:cs="Times New Roman"/>
        </w:rPr>
        <w:t xml:space="preserve">that could </w:t>
      </w:r>
      <w:r w:rsidR="00FF33A8" w:rsidRPr="00034A4A">
        <w:rPr>
          <w:rFonts w:ascii="Sylfaen" w:hAnsi="Sylfaen" w:cs="Times New Roman"/>
        </w:rPr>
        <w:t xml:space="preserve">enable </w:t>
      </w:r>
      <w:r w:rsidR="00424DCF" w:rsidRPr="00034A4A">
        <w:rPr>
          <w:rFonts w:ascii="Sylfaen" w:hAnsi="Sylfaen" w:cs="Times New Roman"/>
        </w:rPr>
        <w:t xml:space="preserve">a job-intensive </w:t>
      </w:r>
      <w:r w:rsidR="00FF33A8" w:rsidRPr="00034A4A">
        <w:rPr>
          <w:rFonts w:ascii="Sylfaen" w:hAnsi="Sylfaen" w:cs="Times New Roman"/>
        </w:rPr>
        <w:t>recovery</w:t>
      </w:r>
      <w:r w:rsidR="002E327E" w:rsidRPr="00034A4A">
        <w:rPr>
          <w:rFonts w:ascii="Sylfaen" w:hAnsi="Sylfaen" w:cs="Times New Roman"/>
        </w:rPr>
        <w:t xml:space="preserve"> in the services sector and across the economy</w:t>
      </w:r>
      <w:r w:rsidR="00D30882" w:rsidRPr="00034A4A">
        <w:rPr>
          <w:rFonts w:ascii="Sylfaen" w:hAnsi="Sylfaen" w:cs="Times New Roman"/>
        </w:rPr>
        <w:t>;</w:t>
      </w:r>
      <w:r w:rsidR="00FF33A8" w:rsidRPr="00034A4A">
        <w:rPr>
          <w:rFonts w:ascii="Sylfaen" w:hAnsi="Sylfaen" w:cs="Times New Roman"/>
        </w:rPr>
        <w:t xml:space="preserve"> and (</w:t>
      </w:r>
      <w:r w:rsidR="00FD294B" w:rsidRPr="00034A4A">
        <w:rPr>
          <w:rFonts w:ascii="Sylfaen" w:hAnsi="Sylfaen" w:cs="Times New Roman"/>
        </w:rPr>
        <w:t>i</w:t>
      </w:r>
      <w:r w:rsidRPr="00034A4A">
        <w:rPr>
          <w:rFonts w:ascii="Sylfaen" w:hAnsi="Sylfaen" w:cs="Times New Roman"/>
        </w:rPr>
        <w:t>v</w:t>
      </w:r>
      <w:r w:rsidR="00FF33A8" w:rsidRPr="00034A4A">
        <w:rPr>
          <w:rFonts w:ascii="Sylfaen" w:hAnsi="Sylfaen" w:cs="Times New Roman"/>
        </w:rPr>
        <w:t xml:space="preserve">) </w:t>
      </w:r>
      <w:r w:rsidR="00D30882" w:rsidRPr="00034A4A">
        <w:rPr>
          <w:rFonts w:ascii="Sylfaen" w:hAnsi="Sylfaen" w:cs="Times New Roman"/>
        </w:rPr>
        <w:t>emphasize the scale of investment needed</w:t>
      </w:r>
      <w:r w:rsidRPr="00034A4A">
        <w:rPr>
          <w:rFonts w:ascii="Sylfaen" w:hAnsi="Sylfaen" w:cs="Times New Roman"/>
        </w:rPr>
        <w:t xml:space="preserve"> and the importance of political will</w:t>
      </w:r>
      <w:r w:rsidR="00D30882" w:rsidRPr="00034A4A">
        <w:rPr>
          <w:rFonts w:ascii="Sylfaen" w:hAnsi="Sylfaen" w:cs="Times New Roman"/>
        </w:rPr>
        <w:t>.</w:t>
      </w:r>
    </w:p>
    <w:p w14:paraId="044311C7" w14:textId="47276012" w:rsidR="004F3D4E" w:rsidRPr="00034A4A" w:rsidRDefault="004F3D4E" w:rsidP="008769F4">
      <w:pPr>
        <w:autoSpaceDE w:val="0"/>
        <w:autoSpaceDN w:val="0"/>
        <w:adjustRightInd w:val="0"/>
        <w:spacing w:after="120"/>
        <w:jc w:val="both"/>
        <w:rPr>
          <w:rFonts w:ascii="Sylfaen" w:hAnsi="Sylfaen" w:cs="Times New Roman"/>
        </w:rPr>
      </w:pPr>
      <w:r w:rsidRPr="00034A4A">
        <w:rPr>
          <w:rFonts w:ascii="Sylfaen" w:hAnsi="Sylfaen" w:cs="Times New Roman"/>
          <w:b/>
        </w:rPr>
        <w:t xml:space="preserve">There </w:t>
      </w:r>
      <w:r w:rsidR="002E327E" w:rsidRPr="00034A4A">
        <w:rPr>
          <w:rFonts w:ascii="Sylfaen" w:hAnsi="Sylfaen" w:cs="Times New Roman"/>
          <w:b/>
        </w:rPr>
        <w:t xml:space="preserve">is a set of </w:t>
      </w:r>
      <w:r w:rsidRPr="00034A4A">
        <w:rPr>
          <w:rFonts w:ascii="Sylfaen" w:hAnsi="Sylfaen" w:cs="Times New Roman"/>
          <w:b/>
        </w:rPr>
        <w:t xml:space="preserve">policies with the </w:t>
      </w:r>
      <w:r w:rsidRPr="00034A4A">
        <w:rPr>
          <w:rFonts w:ascii="Sylfaen" w:hAnsi="Sylfaen" w:cs="Times New Roman"/>
          <w:b/>
          <w:i/>
        </w:rPr>
        <w:t>prima facie</w:t>
      </w:r>
      <w:r w:rsidRPr="00034A4A">
        <w:rPr>
          <w:rFonts w:ascii="Sylfaen" w:hAnsi="Sylfaen" w:cs="Times New Roman"/>
          <w:b/>
        </w:rPr>
        <w:t xml:space="preserve"> potential to foster </w:t>
      </w:r>
      <w:r w:rsidR="00746D89" w:rsidRPr="00034A4A">
        <w:rPr>
          <w:rFonts w:ascii="Sylfaen" w:hAnsi="Sylfaen" w:cs="Times New Roman"/>
          <w:b/>
        </w:rPr>
        <w:t xml:space="preserve">short-term </w:t>
      </w:r>
      <w:r w:rsidRPr="00034A4A">
        <w:rPr>
          <w:rFonts w:ascii="Sylfaen" w:hAnsi="Sylfaen" w:cs="Times New Roman"/>
          <w:b/>
        </w:rPr>
        <w:t>job creation at scale.</w:t>
      </w:r>
      <w:r w:rsidRPr="00034A4A">
        <w:rPr>
          <w:rFonts w:ascii="Sylfaen" w:hAnsi="Sylfaen" w:cs="Times New Roman"/>
        </w:rPr>
        <w:t xml:space="preserve"> Within each </w:t>
      </w:r>
      <w:r w:rsidR="00BA49DA" w:rsidRPr="00034A4A">
        <w:rPr>
          <w:rFonts w:ascii="Sylfaen" w:hAnsi="Sylfaen" w:cs="Times New Roman"/>
        </w:rPr>
        <w:t xml:space="preserve">option </w:t>
      </w:r>
      <w:r w:rsidRPr="00034A4A">
        <w:rPr>
          <w:rFonts w:ascii="Sylfaen" w:hAnsi="Sylfaen" w:cs="Times New Roman"/>
        </w:rPr>
        <w:t xml:space="preserve">it </w:t>
      </w:r>
      <w:r w:rsidR="00BA49DA" w:rsidRPr="00034A4A">
        <w:rPr>
          <w:rFonts w:ascii="Sylfaen" w:hAnsi="Sylfaen" w:cs="Times New Roman"/>
        </w:rPr>
        <w:t>identifies</w:t>
      </w:r>
      <w:r w:rsidRPr="00034A4A">
        <w:rPr>
          <w:rFonts w:ascii="Sylfaen" w:hAnsi="Sylfaen" w:cs="Times New Roman"/>
        </w:rPr>
        <w:t xml:space="preserve">, this </w:t>
      </w:r>
      <w:r w:rsidR="00A27DF9">
        <w:rPr>
          <w:rFonts w:ascii="Sylfaen" w:hAnsi="Sylfaen" w:cs="Times New Roman"/>
        </w:rPr>
        <w:t xml:space="preserve">paper </w:t>
      </w:r>
      <w:r w:rsidRPr="00034A4A">
        <w:rPr>
          <w:rFonts w:ascii="Sylfaen" w:hAnsi="Sylfaen" w:cs="Times New Roman"/>
        </w:rPr>
        <w:t xml:space="preserve">has flagged concrete policy options – ranging from public works programs and policies to favor SME contracting to agriculture credit programs, and to a train-for-cash scheme. However, the purpose </w:t>
      </w:r>
      <w:r w:rsidR="00947CB5" w:rsidRPr="00034A4A">
        <w:rPr>
          <w:rFonts w:ascii="Sylfaen" w:hAnsi="Sylfaen" w:cs="Times New Roman"/>
        </w:rPr>
        <w:t xml:space="preserve">of this paper </w:t>
      </w:r>
      <w:r w:rsidRPr="00034A4A">
        <w:rPr>
          <w:rFonts w:ascii="Sylfaen" w:hAnsi="Sylfaen" w:cs="Times New Roman"/>
        </w:rPr>
        <w:t xml:space="preserve">is not to detail or prioritize individual actions. Rather, it is to show that there is a set of actions that </w:t>
      </w:r>
      <w:r w:rsidRPr="00034A4A">
        <w:rPr>
          <w:rFonts w:ascii="Sylfaen" w:hAnsi="Sylfaen" w:cs="Times New Roman"/>
          <w:i/>
        </w:rPr>
        <w:t xml:space="preserve">prima facie </w:t>
      </w:r>
      <w:r w:rsidRPr="00034A4A">
        <w:rPr>
          <w:rFonts w:ascii="Sylfaen" w:hAnsi="Sylfaen" w:cs="Times New Roman"/>
        </w:rPr>
        <w:t xml:space="preserve">may have the potential to have a jobs impact at a meaningful scale, and to set the stage for dialogue on them. </w:t>
      </w:r>
      <w:r w:rsidR="00A27DF9">
        <w:rPr>
          <w:rFonts w:ascii="Sylfaen" w:hAnsi="Sylfaen" w:cs="Times New Roman"/>
        </w:rPr>
        <w:t>To develop</w:t>
      </w:r>
      <w:r w:rsidRPr="00034A4A">
        <w:rPr>
          <w:rFonts w:ascii="Sylfaen" w:hAnsi="Sylfaen" w:cs="Times New Roman"/>
        </w:rPr>
        <w:t xml:space="preserve"> concrete policy actions</w:t>
      </w:r>
      <w:r w:rsidR="00A27DF9">
        <w:rPr>
          <w:rFonts w:ascii="Sylfaen" w:hAnsi="Sylfaen" w:cs="Times New Roman"/>
        </w:rPr>
        <w:t>,</w:t>
      </w:r>
      <w:r w:rsidRPr="00034A4A">
        <w:rPr>
          <w:rFonts w:ascii="Sylfaen" w:hAnsi="Sylfaen" w:cs="Times New Roman"/>
        </w:rPr>
        <w:t xml:space="preserve"> more in-depth analysis</w:t>
      </w:r>
      <w:r w:rsidR="00A27DF9">
        <w:rPr>
          <w:rFonts w:ascii="Sylfaen" w:hAnsi="Sylfaen" w:cs="Times New Roman"/>
        </w:rPr>
        <w:t xml:space="preserve"> is required</w:t>
      </w:r>
      <w:r w:rsidR="00947CB5" w:rsidRPr="00034A4A">
        <w:rPr>
          <w:rFonts w:ascii="Sylfaen" w:hAnsi="Sylfaen" w:cs="Times New Roman"/>
        </w:rPr>
        <w:t>,</w:t>
      </w:r>
      <w:r w:rsidRPr="00034A4A">
        <w:rPr>
          <w:rFonts w:ascii="Sylfaen" w:hAnsi="Sylfaen" w:cs="Times New Roman"/>
        </w:rPr>
        <w:t xml:space="preserve"> </w:t>
      </w:r>
      <w:r w:rsidR="00947CB5" w:rsidRPr="00034A4A">
        <w:rPr>
          <w:rFonts w:ascii="Sylfaen" w:hAnsi="Sylfaen" w:cs="Times New Roman"/>
        </w:rPr>
        <w:t>f</w:t>
      </w:r>
      <w:r w:rsidRPr="00034A4A">
        <w:rPr>
          <w:rFonts w:ascii="Sylfaen" w:hAnsi="Sylfaen" w:cs="Times New Roman"/>
        </w:rPr>
        <w:t xml:space="preserve">or instance, </w:t>
      </w:r>
      <w:r w:rsidR="00947CB5" w:rsidRPr="00034A4A">
        <w:rPr>
          <w:rFonts w:ascii="Sylfaen" w:hAnsi="Sylfaen" w:cs="Times New Roman"/>
        </w:rPr>
        <w:t xml:space="preserve">to understand </w:t>
      </w:r>
      <w:r w:rsidRPr="00034A4A">
        <w:rPr>
          <w:rFonts w:ascii="Sylfaen" w:hAnsi="Sylfaen" w:cs="Times New Roman"/>
        </w:rPr>
        <w:t>the state of input and product markets in agriculture, or the specific needs of SMEs in construction materials and agri-processing – the two manufacturing sub-sectors with the greatest private business presence.</w:t>
      </w:r>
      <w:r w:rsidR="00D02F6A" w:rsidRPr="00034A4A">
        <w:rPr>
          <w:rFonts w:ascii="Sylfaen" w:hAnsi="Sylfaen" w:cs="Times New Roman"/>
        </w:rPr>
        <w:t xml:space="preserve"> </w:t>
      </w:r>
      <w:r w:rsidR="00A27DF9">
        <w:rPr>
          <w:rFonts w:ascii="Sylfaen" w:hAnsi="Sylfaen" w:cs="Times New Roman"/>
        </w:rPr>
        <w:t xml:space="preserve">Annex A </w:t>
      </w:r>
      <w:r w:rsidR="00D02F6A" w:rsidRPr="00034A4A">
        <w:rPr>
          <w:rFonts w:ascii="Sylfaen" w:hAnsi="Sylfaen" w:cs="Times New Roman"/>
        </w:rPr>
        <w:t xml:space="preserve">summarizes some important questions that need to be tracked. The World Bank is already tackling a number of them through its initiatives, including the </w:t>
      </w:r>
      <w:r w:rsidR="00D02F6A" w:rsidRPr="00034A4A">
        <w:rPr>
          <w:rFonts w:ascii="Sylfaen" w:hAnsi="Sylfaen" w:cs="Times New Roman"/>
          <w:i/>
        </w:rPr>
        <w:t>Bringing Back Business</w:t>
      </w:r>
      <w:r w:rsidR="00D02F6A" w:rsidRPr="00034A4A">
        <w:rPr>
          <w:rFonts w:ascii="Sylfaen" w:hAnsi="Sylfaen" w:cs="Times New Roman"/>
        </w:rPr>
        <w:t xml:space="preserve"> project.</w:t>
      </w:r>
    </w:p>
    <w:p w14:paraId="08ED34CD" w14:textId="2D3C6049" w:rsidR="00F72394" w:rsidRPr="00034A4A" w:rsidRDefault="002E327E" w:rsidP="008769F4">
      <w:pPr>
        <w:autoSpaceDE w:val="0"/>
        <w:autoSpaceDN w:val="0"/>
        <w:adjustRightInd w:val="0"/>
        <w:spacing w:after="120"/>
        <w:jc w:val="both"/>
        <w:rPr>
          <w:rFonts w:ascii="Sylfaen" w:hAnsi="Sylfaen" w:cs="Times New Roman"/>
        </w:rPr>
      </w:pPr>
      <w:r w:rsidRPr="00034A4A">
        <w:rPr>
          <w:rFonts w:ascii="Sylfaen" w:hAnsi="Sylfaen" w:cs="Times New Roman"/>
          <w:b/>
        </w:rPr>
        <w:t xml:space="preserve">To meaningfully address Iraq’s jobs crisis, </w:t>
      </w:r>
      <w:r w:rsidR="00A27DF9">
        <w:rPr>
          <w:rFonts w:ascii="Sylfaen" w:hAnsi="Sylfaen" w:cs="Times New Roman"/>
          <w:b/>
        </w:rPr>
        <w:t xml:space="preserve">the </w:t>
      </w:r>
      <w:r w:rsidRPr="00034A4A">
        <w:rPr>
          <w:rFonts w:ascii="Sylfaen" w:hAnsi="Sylfaen" w:cs="Times New Roman"/>
          <w:b/>
        </w:rPr>
        <w:t>GOI must inform r</w:t>
      </w:r>
      <w:r w:rsidR="009C19AA" w:rsidRPr="00034A4A">
        <w:rPr>
          <w:rFonts w:ascii="Sylfaen" w:hAnsi="Sylfaen" w:cs="Times New Roman"/>
          <w:b/>
        </w:rPr>
        <w:t>econstruction activities with a sense of ambition and urgency.</w:t>
      </w:r>
      <w:r w:rsidR="009C19AA" w:rsidRPr="00034A4A">
        <w:rPr>
          <w:rFonts w:ascii="Sylfaen" w:hAnsi="Sylfaen" w:cs="Times New Roman"/>
        </w:rPr>
        <w:t xml:space="preserve"> Reconstruction </w:t>
      </w:r>
      <w:r w:rsidR="000754F5" w:rsidRPr="00034A4A">
        <w:rPr>
          <w:rFonts w:ascii="Sylfaen" w:hAnsi="Sylfaen" w:cs="Times New Roman"/>
        </w:rPr>
        <w:t xml:space="preserve">in Iraq </w:t>
      </w:r>
      <w:r w:rsidR="009C19AA" w:rsidRPr="00034A4A">
        <w:rPr>
          <w:rFonts w:ascii="Sylfaen" w:hAnsi="Sylfaen" w:cs="Times New Roman"/>
        </w:rPr>
        <w:t xml:space="preserve">has begun. </w:t>
      </w:r>
      <w:r w:rsidR="000754F5" w:rsidRPr="00034A4A">
        <w:rPr>
          <w:rFonts w:ascii="Sylfaen" w:hAnsi="Sylfaen" w:cs="Times New Roman"/>
        </w:rPr>
        <w:t>T</w:t>
      </w:r>
      <w:r w:rsidR="009C19AA" w:rsidRPr="00034A4A">
        <w:rPr>
          <w:rFonts w:ascii="Sylfaen" w:hAnsi="Sylfaen" w:cs="Times New Roman"/>
        </w:rPr>
        <w:t xml:space="preserve">he GOI, the World Bank, and other international partners are engaged in </w:t>
      </w:r>
      <w:r w:rsidRPr="00034A4A">
        <w:rPr>
          <w:rFonts w:ascii="Sylfaen" w:hAnsi="Sylfaen" w:cs="Times New Roman"/>
        </w:rPr>
        <w:t xml:space="preserve">each </w:t>
      </w:r>
      <w:r w:rsidR="000754F5" w:rsidRPr="00034A4A">
        <w:rPr>
          <w:rFonts w:ascii="Sylfaen" w:hAnsi="Sylfaen" w:cs="Times New Roman"/>
        </w:rPr>
        <w:t xml:space="preserve">area discussed in this </w:t>
      </w:r>
      <w:r w:rsidR="00A27DF9">
        <w:rPr>
          <w:rFonts w:ascii="Sylfaen" w:hAnsi="Sylfaen" w:cs="Times New Roman"/>
        </w:rPr>
        <w:t>paper</w:t>
      </w:r>
      <w:r w:rsidR="009C19AA" w:rsidRPr="00034A4A">
        <w:rPr>
          <w:rFonts w:ascii="Sylfaen" w:hAnsi="Sylfaen" w:cs="Times New Roman"/>
        </w:rPr>
        <w:t xml:space="preserve">. </w:t>
      </w:r>
      <w:r w:rsidR="001C3F9C" w:rsidRPr="00034A4A">
        <w:rPr>
          <w:rFonts w:ascii="Sylfaen" w:hAnsi="Sylfaen" w:cs="Times New Roman"/>
        </w:rPr>
        <w:t xml:space="preserve">What </w:t>
      </w:r>
      <w:r w:rsidR="00A27DF9">
        <w:rPr>
          <w:rFonts w:ascii="Sylfaen" w:hAnsi="Sylfaen" w:cs="Times New Roman"/>
        </w:rPr>
        <w:t xml:space="preserve">it </w:t>
      </w:r>
      <w:r w:rsidR="001C3F9C" w:rsidRPr="00034A4A">
        <w:rPr>
          <w:rFonts w:ascii="Sylfaen" w:hAnsi="Sylfaen" w:cs="Times New Roman"/>
        </w:rPr>
        <w:t xml:space="preserve">has argued </w:t>
      </w:r>
      <w:r w:rsidR="004F3D4E" w:rsidRPr="00034A4A">
        <w:rPr>
          <w:rFonts w:ascii="Sylfaen" w:hAnsi="Sylfaen" w:cs="Times New Roman"/>
        </w:rPr>
        <w:t xml:space="preserve">is that </w:t>
      </w:r>
      <w:r w:rsidRPr="00034A4A">
        <w:rPr>
          <w:rFonts w:ascii="Sylfaen" w:hAnsi="Sylfaen" w:cs="Times New Roman"/>
        </w:rPr>
        <w:t>the scale of the jobs challenge Iraq faces is unusual, and calls for bold actions</w:t>
      </w:r>
      <w:r w:rsidR="001C3F9C" w:rsidRPr="00034A4A">
        <w:rPr>
          <w:rFonts w:ascii="Sylfaen" w:hAnsi="Sylfaen" w:cs="Times New Roman"/>
        </w:rPr>
        <w:t xml:space="preserve"> – and that there are credible paths for taking such action</w:t>
      </w:r>
      <w:r w:rsidRPr="00034A4A">
        <w:rPr>
          <w:rFonts w:ascii="Sylfaen" w:hAnsi="Sylfaen" w:cs="Times New Roman"/>
        </w:rPr>
        <w:t xml:space="preserve">. </w:t>
      </w:r>
      <w:r w:rsidR="00284BBE" w:rsidRPr="00034A4A">
        <w:rPr>
          <w:rFonts w:ascii="Sylfaen" w:hAnsi="Sylfaen" w:cs="Times New Roman"/>
        </w:rPr>
        <w:t xml:space="preserve">Investments for jobs will have budget implications. While Iraq is looking to expand its investment budget, and currently has some fiscal space, actions must be carefully considered. Indeed, this </w:t>
      </w:r>
      <w:r w:rsidR="00A27DF9">
        <w:rPr>
          <w:rFonts w:ascii="Sylfaen" w:hAnsi="Sylfaen" w:cs="Times New Roman"/>
        </w:rPr>
        <w:t xml:space="preserve">paper </w:t>
      </w:r>
      <w:r w:rsidR="00284BBE" w:rsidRPr="00034A4A">
        <w:rPr>
          <w:rFonts w:ascii="Sylfaen" w:hAnsi="Sylfaen" w:cs="Times New Roman"/>
        </w:rPr>
        <w:t xml:space="preserve">has argued that investments should be selective, and targeted where they are jobs-intensive. </w:t>
      </w:r>
      <w:r w:rsidR="001C3F9C" w:rsidRPr="00034A4A">
        <w:rPr>
          <w:rFonts w:ascii="Sylfaen" w:hAnsi="Sylfaen" w:cs="Times New Roman"/>
        </w:rPr>
        <w:t>The crucial next step is for GOI to define the level of ambition it wishes to pursue, and to shape the pillars of its own jobs strategy.</w:t>
      </w:r>
      <w:r w:rsidR="0036017C" w:rsidRPr="00034A4A">
        <w:rPr>
          <w:rFonts w:ascii="Sylfaen" w:hAnsi="Sylfaen" w:cs="Times New Roman"/>
        </w:rPr>
        <w:t xml:space="preserve"> In charting this path, it can </w:t>
      </w:r>
      <w:r w:rsidR="00284BBE" w:rsidRPr="00034A4A">
        <w:rPr>
          <w:rFonts w:ascii="Sylfaen" w:hAnsi="Sylfaen" w:cs="Times New Roman"/>
        </w:rPr>
        <w:t xml:space="preserve">be heartened by </w:t>
      </w:r>
      <w:r w:rsidR="0036017C" w:rsidRPr="00034A4A">
        <w:rPr>
          <w:rFonts w:ascii="Sylfaen" w:hAnsi="Sylfaen" w:cs="Times New Roman"/>
        </w:rPr>
        <w:t>Iraq’s historical record</w:t>
      </w:r>
      <w:r w:rsidR="00284BBE" w:rsidRPr="00034A4A">
        <w:rPr>
          <w:rFonts w:ascii="Sylfaen" w:hAnsi="Sylfaen" w:cs="Times New Roman"/>
        </w:rPr>
        <w:t xml:space="preserve"> of high skills levels, entrepreneurship, and success in </w:t>
      </w:r>
      <w:r w:rsidR="007763BD">
        <w:rPr>
          <w:rFonts w:ascii="Sylfaen" w:hAnsi="Sylfaen" w:cs="Times New Roman"/>
        </w:rPr>
        <w:t>its establishment of</w:t>
      </w:r>
      <w:r w:rsidR="00284BBE" w:rsidRPr="00034A4A">
        <w:rPr>
          <w:rFonts w:ascii="Sylfaen" w:hAnsi="Sylfaen" w:cs="Times New Roman"/>
        </w:rPr>
        <w:t xml:space="preserve"> a more diverse range of industries than in many other countries in the region.</w:t>
      </w:r>
    </w:p>
    <w:p w14:paraId="6EAF4901" w14:textId="77777777" w:rsidR="00F72394" w:rsidRPr="00034A4A" w:rsidRDefault="00F72394" w:rsidP="008769F4">
      <w:pPr>
        <w:spacing w:after="120"/>
        <w:jc w:val="both"/>
        <w:rPr>
          <w:rFonts w:ascii="Sylfaen" w:hAnsi="Sylfaen" w:cs="Times New Roman"/>
        </w:rPr>
      </w:pPr>
      <w:r w:rsidRPr="00034A4A">
        <w:rPr>
          <w:rFonts w:ascii="Sylfaen" w:hAnsi="Sylfaen" w:cs="Times New Roman"/>
        </w:rPr>
        <w:br w:type="page"/>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right w:w="115" w:type="dxa"/>
        </w:tblCellMar>
        <w:tblLook w:val="04A0" w:firstRow="1" w:lastRow="0" w:firstColumn="1" w:lastColumn="0" w:noHBand="0" w:noVBand="1"/>
      </w:tblPr>
      <w:tblGrid>
        <w:gridCol w:w="1800"/>
        <w:gridCol w:w="7740"/>
      </w:tblGrid>
      <w:tr w:rsidR="00F72394" w:rsidRPr="00034A4A" w14:paraId="072F29A3" w14:textId="77777777" w:rsidTr="00F045C1">
        <w:trPr>
          <w:trHeight w:val="252"/>
        </w:trPr>
        <w:tc>
          <w:tcPr>
            <w:tcW w:w="9540" w:type="dxa"/>
            <w:gridSpan w:val="2"/>
            <w:tcBorders>
              <w:bottom w:val="single" w:sz="4" w:space="0" w:color="FFFFFF" w:themeColor="background1"/>
            </w:tcBorders>
            <w:shd w:val="clear" w:color="auto" w:fill="auto"/>
          </w:tcPr>
          <w:p w14:paraId="32D742EC" w14:textId="1D3548B3" w:rsidR="00F72394" w:rsidRPr="00034A4A" w:rsidRDefault="00DC6AC5" w:rsidP="008769F4">
            <w:pPr>
              <w:spacing w:after="120" w:line="259" w:lineRule="auto"/>
              <w:jc w:val="both"/>
              <w:rPr>
                <w:rFonts w:ascii="Sylfaen" w:hAnsi="Sylfaen"/>
                <w:b/>
              </w:rPr>
            </w:pPr>
            <w:bookmarkStart w:id="4" w:name="_Hlk512550003"/>
            <w:r>
              <w:rPr>
                <w:rFonts w:ascii="Sylfaen" w:hAnsi="Sylfaen"/>
                <w:b/>
              </w:rPr>
              <w:t>Annex A</w:t>
            </w:r>
            <w:r w:rsidR="00F72394" w:rsidRPr="00034A4A">
              <w:rPr>
                <w:rFonts w:ascii="Sylfaen" w:hAnsi="Sylfaen"/>
                <w:b/>
              </w:rPr>
              <w:t xml:space="preserve">: Important jobs questions to </w:t>
            </w:r>
            <w:r w:rsidR="00C817CA" w:rsidRPr="00034A4A">
              <w:rPr>
                <w:rFonts w:ascii="Sylfaen" w:hAnsi="Sylfaen"/>
                <w:b/>
              </w:rPr>
              <w:t>answer</w:t>
            </w:r>
          </w:p>
        </w:tc>
      </w:tr>
      <w:tr w:rsidR="00837A9C" w:rsidRPr="00034A4A" w14:paraId="267DBF3B" w14:textId="77777777" w:rsidTr="00837A9C">
        <w:trPr>
          <w:trHeight w:val="2315"/>
        </w:trPr>
        <w:tc>
          <w:tcPr>
            <w:tcW w:w="1800" w:type="dxa"/>
            <w:tcBorders>
              <w:bottom w:val="single" w:sz="4" w:space="0" w:color="FFFFFF" w:themeColor="background1"/>
              <w:right w:val="single" w:sz="8" w:space="0" w:color="FFFFFF" w:themeColor="background1"/>
            </w:tcBorders>
            <w:shd w:val="clear" w:color="auto" w:fill="8EAADB" w:themeFill="accent1" w:themeFillTint="99"/>
          </w:tcPr>
          <w:p w14:paraId="375CF3C9" w14:textId="77777777" w:rsidR="00F72394" w:rsidRPr="00034A4A" w:rsidRDefault="00F72394" w:rsidP="008769F4">
            <w:pPr>
              <w:spacing w:after="120" w:line="259" w:lineRule="auto"/>
              <w:jc w:val="both"/>
              <w:rPr>
                <w:rFonts w:ascii="Sylfaen" w:hAnsi="Sylfaen"/>
                <w:b/>
              </w:rPr>
            </w:pPr>
            <w:r w:rsidRPr="00034A4A">
              <w:rPr>
                <w:rFonts w:ascii="Sylfaen" w:hAnsi="Sylfaen"/>
                <w:b/>
              </w:rPr>
              <w:t>Agriculture</w:t>
            </w:r>
          </w:p>
        </w:tc>
        <w:tc>
          <w:tcPr>
            <w:tcW w:w="7740" w:type="dxa"/>
            <w:tcBorders>
              <w:left w:val="single" w:sz="8" w:space="0" w:color="FFFFFF" w:themeColor="background1"/>
              <w:bottom w:val="single" w:sz="4" w:space="0" w:color="FFFFFF" w:themeColor="background1"/>
            </w:tcBorders>
            <w:shd w:val="clear" w:color="auto" w:fill="D9E2F3" w:themeFill="accent1" w:themeFillTint="33"/>
          </w:tcPr>
          <w:p w14:paraId="040127E3" w14:textId="77777777" w:rsidR="00F72394" w:rsidRPr="00034A4A" w:rsidRDefault="00F72394" w:rsidP="008769F4">
            <w:pPr>
              <w:pStyle w:val="ListParagraph"/>
              <w:numPr>
                <w:ilvl w:val="0"/>
                <w:numId w:val="42"/>
              </w:numPr>
              <w:spacing w:after="120" w:line="259" w:lineRule="auto"/>
              <w:ind w:left="522"/>
              <w:contextualSpacing w:val="0"/>
              <w:jc w:val="both"/>
              <w:rPr>
                <w:rFonts w:ascii="Sylfaen" w:hAnsi="Sylfaen"/>
              </w:rPr>
            </w:pPr>
            <w:r w:rsidRPr="00034A4A">
              <w:rPr>
                <w:rFonts w:ascii="Sylfaen" w:hAnsi="Sylfaen"/>
              </w:rPr>
              <w:t>Does recovery rely on labor-intensive production or increasingly on mechanization?</w:t>
            </w:r>
          </w:p>
          <w:p w14:paraId="3B63D5FB" w14:textId="77777777" w:rsidR="00F72394" w:rsidRPr="00034A4A" w:rsidRDefault="00F72394" w:rsidP="008769F4">
            <w:pPr>
              <w:pStyle w:val="ListParagraph"/>
              <w:numPr>
                <w:ilvl w:val="0"/>
                <w:numId w:val="42"/>
              </w:numPr>
              <w:spacing w:after="120" w:line="259" w:lineRule="auto"/>
              <w:ind w:left="522"/>
              <w:contextualSpacing w:val="0"/>
              <w:jc w:val="both"/>
              <w:rPr>
                <w:rFonts w:ascii="Sylfaen" w:hAnsi="Sylfaen"/>
              </w:rPr>
            </w:pPr>
            <w:r w:rsidRPr="00034A4A">
              <w:rPr>
                <w:rFonts w:ascii="Sylfaen" w:hAnsi="Sylfaen"/>
              </w:rPr>
              <w:t>What is the status of key input and output markets (Public Distribution System as a buyer, SOEs in fertilizer and seeds, private alternatives)?</w:t>
            </w:r>
          </w:p>
          <w:p w14:paraId="0014BF9A" w14:textId="77777777" w:rsidR="00F72394" w:rsidRPr="00034A4A" w:rsidRDefault="00F72394" w:rsidP="008769F4">
            <w:pPr>
              <w:pStyle w:val="ListParagraph"/>
              <w:numPr>
                <w:ilvl w:val="0"/>
                <w:numId w:val="42"/>
              </w:numPr>
              <w:spacing w:after="120" w:line="259" w:lineRule="auto"/>
              <w:ind w:left="522"/>
              <w:contextualSpacing w:val="0"/>
              <w:jc w:val="both"/>
              <w:rPr>
                <w:rFonts w:ascii="Sylfaen" w:hAnsi="Sylfaen"/>
              </w:rPr>
            </w:pPr>
            <w:r w:rsidRPr="00034A4A">
              <w:rPr>
                <w:rFonts w:ascii="Sylfaen" w:hAnsi="Sylfaen"/>
              </w:rPr>
              <w:t>What is the status of agriculture credit programs?</w:t>
            </w:r>
          </w:p>
          <w:p w14:paraId="37071A03" w14:textId="77777777" w:rsidR="00F72394" w:rsidRPr="00034A4A" w:rsidRDefault="00F72394" w:rsidP="008769F4">
            <w:pPr>
              <w:pStyle w:val="ListParagraph"/>
              <w:numPr>
                <w:ilvl w:val="0"/>
                <w:numId w:val="42"/>
              </w:numPr>
              <w:spacing w:after="120" w:line="259" w:lineRule="auto"/>
              <w:ind w:left="522"/>
              <w:contextualSpacing w:val="0"/>
              <w:jc w:val="both"/>
              <w:rPr>
                <w:rFonts w:ascii="Sylfaen" w:hAnsi="Sylfaen"/>
              </w:rPr>
            </w:pPr>
            <w:r w:rsidRPr="00034A4A">
              <w:rPr>
                <w:rFonts w:ascii="Sylfaen" w:hAnsi="Sylfaen"/>
              </w:rPr>
              <w:t>What are the options for managing salinity and water scarcity?</w:t>
            </w:r>
          </w:p>
        </w:tc>
      </w:tr>
      <w:tr w:rsidR="00837A9C" w:rsidRPr="00034A4A" w14:paraId="63B2A81F" w14:textId="77777777" w:rsidTr="00837A9C">
        <w:trPr>
          <w:trHeight w:val="1855"/>
        </w:trPr>
        <w:tc>
          <w:tcPr>
            <w:tcW w:w="1800" w:type="dxa"/>
            <w:tcBorders>
              <w:top w:val="single" w:sz="4" w:space="0" w:color="FFFFFF" w:themeColor="background1"/>
              <w:bottom w:val="single" w:sz="8" w:space="0" w:color="FFFFFF" w:themeColor="background1"/>
              <w:right w:val="single" w:sz="8" w:space="0" w:color="FFFFFF" w:themeColor="background1"/>
            </w:tcBorders>
            <w:shd w:val="clear" w:color="auto" w:fill="8EAADB" w:themeFill="accent1" w:themeFillTint="99"/>
          </w:tcPr>
          <w:p w14:paraId="411E0F41" w14:textId="77777777" w:rsidR="00F72394" w:rsidRPr="00034A4A" w:rsidRDefault="00F72394" w:rsidP="008769F4">
            <w:pPr>
              <w:spacing w:after="120" w:line="259" w:lineRule="auto"/>
              <w:jc w:val="both"/>
              <w:rPr>
                <w:rFonts w:ascii="Sylfaen" w:hAnsi="Sylfaen"/>
                <w:b/>
              </w:rPr>
            </w:pPr>
            <w:r w:rsidRPr="00034A4A">
              <w:rPr>
                <w:rFonts w:ascii="Sylfaen" w:hAnsi="Sylfaen"/>
                <w:b/>
              </w:rPr>
              <w:t>Construction</w:t>
            </w:r>
          </w:p>
        </w:tc>
        <w:tc>
          <w:tcPr>
            <w:tcW w:w="7740" w:type="dxa"/>
            <w:tcBorders>
              <w:top w:val="single" w:sz="4" w:space="0" w:color="FFFFFF" w:themeColor="background1"/>
              <w:left w:val="single" w:sz="8" w:space="0" w:color="FFFFFF" w:themeColor="background1"/>
              <w:bottom w:val="single" w:sz="8" w:space="0" w:color="FFFFFF" w:themeColor="background1"/>
            </w:tcBorders>
            <w:shd w:val="clear" w:color="auto" w:fill="D9E2F3" w:themeFill="accent1" w:themeFillTint="33"/>
          </w:tcPr>
          <w:p w14:paraId="393BFBC4" w14:textId="77777777" w:rsidR="00F72394" w:rsidRPr="00034A4A" w:rsidRDefault="00F72394" w:rsidP="008769F4">
            <w:pPr>
              <w:pStyle w:val="ListParagraph"/>
              <w:numPr>
                <w:ilvl w:val="0"/>
                <w:numId w:val="42"/>
              </w:numPr>
              <w:spacing w:after="120" w:line="259" w:lineRule="auto"/>
              <w:ind w:left="522"/>
              <w:contextualSpacing w:val="0"/>
              <w:jc w:val="both"/>
              <w:rPr>
                <w:rFonts w:ascii="Sylfaen" w:hAnsi="Sylfaen"/>
              </w:rPr>
            </w:pPr>
            <w:r w:rsidRPr="00034A4A">
              <w:rPr>
                <w:rFonts w:ascii="Sylfaen" w:hAnsi="Sylfaen"/>
              </w:rPr>
              <w:t>Which businesses in construction create large numbers of jobs, and what are their constraints?</w:t>
            </w:r>
          </w:p>
          <w:p w14:paraId="4D366F29" w14:textId="77777777" w:rsidR="00F72394" w:rsidRPr="00034A4A" w:rsidRDefault="00F72394" w:rsidP="008769F4">
            <w:pPr>
              <w:pStyle w:val="ListParagraph"/>
              <w:numPr>
                <w:ilvl w:val="0"/>
                <w:numId w:val="42"/>
              </w:numPr>
              <w:spacing w:after="120" w:line="259" w:lineRule="auto"/>
              <w:ind w:left="522"/>
              <w:contextualSpacing w:val="0"/>
              <w:jc w:val="both"/>
              <w:rPr>
                <w:rFonts w:ascii="Sylfaen" w:hAnsi="Sylfaen"/>
              </w:rPr>
            </w:pPr>
            <w:r w:rsidRPr="00034A4A">
              <w:rPr>
                <w:rFonts w:ascii="Sylfaen" w:hAnsi="Sylfaen"/>
              </w:rPr>
              <w:t>Are SMEs able to successfully bid for government contracts, and is there local hiring?</w:t>
            </w:r>
          </w:p>
          <w:p w14:paraId="70DAB324" w14:textId="77777777" w:rsidR="00F72394" w:rsidRPr="00034A4A" w:rsidRDefault="00F72394" w:rsidP="008769F4">
            <w:pPr>
              <w:pStyle w:val="ListParagraph"/>
              <w:numPr>
                <w:ilvl w:val="0"/>
                <w:numId w:val="42"/>
              </w:numPr>
              <w:spacing w:after="120" w:line="259" w:lineRule="auto"/>
              <w:ind w:left="522"/>
              <w:contextualSpacing w:val="0"/>
              <w:jc w:val="both"/>
              <w:rPr>
                <w:rFonts w:ascii="Sylfaen" w:hAnsi="Sylfaen"/>
              </w:rPr>
            </w:pPr>
            <w:r w:rsidRPr="00034A4A">
              <w:rPr>
                <w:rFonts w:ascii="Sylfaen" w:hAnsi="Sylfaen"/>
              </w:rPr>
              <w:t>What is the status of housing loan programs?</w:t>
            </w:r>
          </w:p>
          <w:p w14:paraId="3C535362" w14:textId="0D4B15F1" w:rsidR="00E81075" w:rsidRPr="00034A4A" w:rsidRDefault="00E81075" w:rsidP="008769F4">
            <w:pPr>
              <w:pStyle w:val="ListParagraph"/>
              <w:numPr>
                <w:ilvl w:val="0"/>
                <w:numId w:val="42"/>
              </w:numPr>
              <w:spacing w:after="120" w:line="259" w:lineRule="auto"/>
              <w:ind w:left="522"/>
              <w:contextualSpacing w:val="0"/>
              <w:jc w:val="both"/>
              <w:rPr>
                <w:rFonts w:ascii="Sylfaen" w:hAnsi="Sylfaen"/>
              </w:rPr>
            </w:pPr>
            <w:r w:rsidRPr="00034A4A">
              <w:rPr>
                <w:rFonts w:ascii="Sylfaen" w:hAnsi="Sylfaen"/>
              </w:rPr>
              <w:t>What is the potential for productivity growth through standardization and joint ventures to build technical capacity?</w:t>
            </w:r>
          </w:p>
        </w:tc>
      </w:tr>
      <w:tr w:rsidR="00837A9C" w:rsidRPr="00AF48C3" w14:paraId="71BF8B35" w14:textId="77777777" w:rsidTr="00837A9C">
        <w:trPr>
          <w:trHeight w:val="2376"/>
        </w:trPr>
        <w:tc>
          <w:tcPr>
            <w:tcW w:w="1800" w:type="dxa"/>
            <w:tcBorders>
              <w:top w:val="single" w:sz="8" w:space="0" w:color="FFFFFF" w:themeColor="background1"/>
              <w:right w:val="single" w:sz="8" w:space="0" w:color="FFFFFF" w:themeColor="background1"/>
            </w:tcBorders>
            <w:shd w:val="clear" w:color="auto" w:fill="8EAADB" w:themeFill="accent1" w:themeFillTint="99"/>
          </w:tcPr>
          <w:p w14:paraId="57E89F14" w14:textId="77777777" w:rsidR="00F72394" w:rsidRPr="00034A4A" w:rsidRDefault="00F72394" w:rsidP="008769F4">
            <w:pPr>
              <w:spacing w:after="120" w:line="259" w:lineRule="auto"/>
              <w:jc w:val="both"/>
              <w:rPr>
                <w:rFonts w:ascii="Sylfaen" w:hAnsi="Sylfaen"/>
                <w:b/>
              </w:rPr>
            </w:pPr>
            <w:r w:rsidRPr="00034A4A">
              <w:rPr>
                <w:rFonts w:ascii="Sylfaen" w:hAnsi="Sylfaen"/>
                <w:b/>
              </w:rPr>
              <w:t>SMEs and access to jobs</w:t>
            </w:r>
          </w:p>
        </w:tc>
        <w:tc>
          <w:tcPr>
            <w:tcW w:w="7740" w:type="dxa"/>
            <w:tcBorders>
              <w:top w:val="single" w:sz="8" w:space="0" w:color="FFFFFF" w:themeColor="background1"/>
              <w:left w:val="single" w:sz="8" w:space="0" w:color="FFFFFF" w:themeColor="background1"/>
            </w:tcBorders>
            <w:shd w:val="clear" w:color="auto" w:fill="D9E2F3" w:themeFill="accent1" w:themeFillTint="33"/>
          </w:tcPr>
          <w:p w14:paraId="122B98BC" w14:textId="77777777" w:rsidR="00F72394" w:rsidRPr="00034A4A" w:rsidRDefault="00F72394" w:rsidP="008769F4">
            <w:pPr>
              <w:pStyle w:val="ListParagraph"/>
              <w:numPr>
                <w:ilvl w:val="0"/>
                <w:numId w:val="42"/>
              </w:numPr>
              <w:spacing w:after="120" w:line="259" w:lineRule="auto"/>
              <w:ind w:left="522"/>
              <w:contextualSpacing w:val="0"/>
              <w:jc w:val="both"/>
              <w:rPr>
                <w:rFonts w:ascii="Sylfaen" w:hAnsi="Sylfaen"/>
              </w:rPr>
            </w:pPr>
            <w:r w:rsidRPr="00034A4A">
              <w:rPr>
                <w:rFonts w:ascii="Sylfaen" w:hAnsi="Sylfaen"/>
              </w:rPr>
              <w:t>Which SME sub-sectors can expect a demand boost, and what are their constraints?</w:t>
            </w:r>
          </w:p>
          <w:p w14:paraId="2D8F2F4D" w14:textId="77777777" w:rsidR="00F72394" w:rsidRPr="00034A4A" w:rsidRDefault="00F72394" w:rsidP="008769F4">
            <w:pPr>
              <w:pStyle w:val="ListParagraph"/>
              <w:numPr>
                <w:ilvl w:val="0"/>
                <w:numId w:val="42"/>
              </w:numPr>
              <w:spacing w:after="120" w:line="259" w:lineRule="auto"/>
              <w:ind w:left="522"/>
              <w:contextualSpacing w:val="0"/>
              <w:jc w:val="both"/>
              <w:rPr>
                <w:rFonts w:ascii="Sylfaen" w:hAnsi="Sylfaen"/>
              </w:rPr>
            </w:pPr>
            <w:r w:rsidRPr="00034A4A">
              <w:rPr>
                <w:rFonts w:ascii="Sylfaen" w:hAnsi="Sylfaen"/>
              </w:rPr>
              <w:t>What is the state of SME credit markets?</w:t>
            </w:r>
          </w:p>
          <w:p w14:paraId="69166FFE" w14:textId="77777777" w:rsidR="00F72394" w:rsidRPr="00034A4A" w:rsidRDefault="00F72394" w:rsidP="008769F4">
            <w:pPr>
              <w:pStyle w:val="ListParagraph"/>
              <w:numPr>
                <w:ilvl w:val="0"/>
                <w:numId w:val="42"/>
              </w:numPr>
              <w:spacing w:after="120" w:line="259" w:lineRule="auto"/>
              <w:ind w:left="522"/>
              <w:contextualSpacing w:val="0"/>
              <w:jc w:val="both"/>
              <w:rPr>
                <w:rFonts w:ascii="Sylfaen" w:hAnsi="Sylfaen"/>
              </w:rPr>
            </w:pPr>
            <w:r w:rsidRPr="00034A4A">
              <w:rPr>
                <w:rFonts w:ascii="Sylfaen" w:hAnsi="Sylfaen"/>
              </w:rPr>
              <w:t>Do reservation wages limit interest in jobs in agriculture and construction?</w:t>
            </w:r>
          </w:p>
          <w:p w14:paraId="1CD34701" w14:textId="77777777" w:rsidR="00F72394" w:rsidRPr="00034A4A" w:rsidRDefault="00F72394" w:rsidP="008769F4">
            <w:pPr>
              <w:pStyle w:val="ListParagraph"/>
              <w:numPr>
                <w:ilvl w:val="0"/>
                <w:numId w:val="42"/>
              </w:numPr>
              <w:spacing w:after="120" w:line="259" w:lineRule="auto"/>
              <w:ind w:left="522"/>
              <w:contextualSpacing w:val="0"/>
              <w:jc w:val="both"/>
              <w:rPr>
                <w:rFonts w:ascii="Sylfaen" w:hAnsi="Sylfaen"/>
              </w:rPr>
            </w:pPr>
            <w:r w:rsidRPr="00034A4A">
              <w:rPr>
                <w:rFonts w:ascii="Sylfaen" w:hAnsi="Sylfaen"/>
              </w:rPr>
              <w:t>Is there a need for better job intermediation for women?</w:t>
            </w:r>
          </w:p>
          <w:p w14:paraId="047666DA" w14:textId="77777777" w:rsidR="00F72394" w:rsidRPr="00034A4A" w:rsidRDefault="00F72394" w:rsidP="008769F4">
            <w:pPr>
              <w:pStyle w:val="ListParagraph"/>
              <w:numPr>
                <w:ilvl w:val="0"/>
                <w:numId w:val="42"/>
              </w:numPr>
              <w:spacing w:after="120" w:line="259" w:lineRule="auto"/>
              <w:ind w:left="522"/>
              <w:contextualSpacing w:val="0"/>
              <w:jc w:val="both"/>
              <w:rPr>
                <w:rFonts w:ascii="Sylfaen" w:hAnsi="Sylfaen"/>
              </w:rPr>
            </w:pPr>
            <w:r w:rsidRPr="00034A4A">
              <w:rPr>
                <w:rFonts w:ascii="Sylfaen" w:hAnsi="Sylfaen"/>
              </w:rPr>
              <w:t>What is the market access for home-based businesses for women?</w:t>
            </w:r>
          </w:p>
          <w:p w14:paraId="7057C222" w14:textId="523406FA" w:rsidR="00EB1800" w:rsidRPr="00034A4A" w:rsidRDefault="00EB1800" w:rsidP="008769F4">
            <w:pPr>
              <w:pStyle w:val="ListParagraph"/>
              <w:numPr>
                <w:ilvl w:val="0"/>
                <w:numId w:val="42"/>
              </w:numPr>
              <w:spacing w:after="120" w:line="259" w:lineRule="auto"/>
              <w:ind w:left="522"/>
              <w:contextualSpacing w:val="0"/>
              <w:jc w:val="both"/>
              <w:rPr>
                <w:rFonts w:ascii="Sylfaen" w:hAnsi="Sylfaen"/>
              </w:rPr>
            </w:pPr>
            <w:r w:rsidRPr="00034A4A">
              <w:rPr>
                <w:rFonts w:ascii="Sylfaen" w:hAnsi="Sylfaen"/>
              </w:rPr>
              <w:t>Which among the policies to help public sector employees retrain and seek private sector employment are showing promise?</w:t>
            </w:r>
          </w:p>
        </w:tc>
      </w:tr>
      <w:bookmarkEnd w:id="4"/>
    </w:tbl>
    <w:p w14:paraId="5CC5F8CB" w14:textId="77777777" w:rsidR="00DA1D02" w:rsidRPr="002F4DC1" w:rsidRDefault="00DA1D02" w:rsidP="008769F4">
      <w:pPr>
        <w:autoSpaceDE w:val="0"/>
        <w:autoSpaceDN w:val="0"/>
        <w:adjustRightInd w:val="0"/>
        <w:spacing w:after="120"/>
        <w:jc w:val="both"/>
        <w:rPr>
          <w:rFonts w:ascii="Sylfaen" w:hAnsi="Sylfaen" w:cs="Times New Roman"/>
        </w:rPr>
      </w:pPr>
    </w:p>
    <w:sectPr w:rsidR="00DA1D02" w:rsidRPr="002F4DC1" w:rsidSect="00FA7075">
      <w:footerReference w:type="default" r:id="rId20"/>
      <w:footerReference w:type="first" r:id="rId2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BE05B" w14:textId="77777777" w:rsidR="00223B67" w:rsidRDefault="00223B67" w:rsidP="00296E26">
      <w:pPr>
        <w:spacing w:after="0" w:line="240" w:lineRule="auto"/>
      </w:pPr>
      <w:r>
        <w:separator/>
      </w:r>
    </w:p>
  </w:endnote>
  <w:endnote w:type="continuationSeparator" w:id="0">
    <w:p w14:paraId="1E4511E2" w14:textId="77777777" w:rsidR="00223B67" w:rsidRDefault="00223B67" w:rsidP="00296E26">
      <w:pPr>
        <w:spacing w:after="0" w:line="240" w:lineRule="auto"/>
      </w:pPr>
      <w:r>
        <w:continuationSeparator/>
      </w:r>
    </w:p>
  </w:endnote>
  <w:endnote w:type="continuationNotice" w:id="1">
    <w:p w14:paraId="577A4CFE" w14:textId="77777777" w:rsidR="00223B67" w:rsidRDefault="00223B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auto"/>
    <w:pitch w:val="variable"/>
    <w:sig w:usb0="00000287" w:usb1="00000000" w:usb2="00000000" w:usb3="00000000" w:csb0="0000009F" w:csb1="00000000"/>
  </w:font>
  <w:font w:name="AvenirNext LT Pro Regular">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vers-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8374825"/>
      <w:docPartObj>
        <w:docPartGallery w:val="Page Numbers (Bottom of Page)"/>
        <w:docPartUnique/>
      </w:docPartObj>
    </w:sdtPr>
    <w:sdtEndPr>
      <w:rPr>
        <w:noProof/>
      </w:rPr>
    </w:sdtEndPr>
    <w:sdtContent>
      <w:p w14:paraId="4B815387" w14:textId="7E9114B7" w:rsidR="00766F2F" w:rsidRDefault="00766F2F">
        <w:pPr>
          <w:pStyle w:val="Footer"/>
          <w:jc w:val="center"/>
        </w:pPr>
        <w:r>
          <w:fldChar w:fldCharType="begin"/>
        </w:r>
        <w:r>
          <w:instrText xml:space="preserve"> PAGE   \* MERGEFORMAT </w:instrText>
        </w:r>
        <w:r>
          <w:fldChar w:fldCharType="separate"/>
        </w:r>
        <w:r w:rsidR="006C7BF0">
          <w:rPr>
            <w:noProof/>
          </w:rPr>
          <w:t>26</w:t>
        </w:r>
        <w:r>
          <w:rPr>
            <w:noProof/>
          </w:rPr>
          <w:fldChar w:fldCharType="end"/>
        </w:r>
      </w:p>
    </w:sdtContent>
  </w:sdt>
  <w:p w14:paraId="5187D9F8" w14:textId="77777777" w:rsidR="00766F2F" w:rsidRDefault="00766F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4695159"/>
      <w:docPartObj>
        <w:docPartGallery w:val="Page Numbers (Bottom of Page)"/>
        <w:docPartUnique/>
      </w:docPartObj>
    </w:sdtPr>
    <w:sdtEndPr>
      <w:rPr>
        <w:noProof/>
      </w:rPr>
    </w:sdtEndPr>
    <w:sdtContent>
      <w:p w14:paraId="3004C058" w14:textId="6365288D" w:rsidR="00766F2F" w:rsidRDefault="00766F2F">
        <w:pPr>
          <w:pStyle w:val="Footer"/>
          <w:jc w:val="center"/>
        </w:pPr>
        <w:r>
          <w:fldChar w:fldCharType="begin"/>
        </w:r>
        <w:r>
          <w:instrText xml:space="preserve"> PAGE   \* MERGEFORMAT </w:instrText>
        </w:r>
        <w:r>
          <w:fldChar w:fldCharType="separate"/>
        </w:r>
        <w:r w:rsidR="00614C3C">
          <w:rPr>
            <w:noProof/>
          </w:rPr>
          <w:t>1</w:t>
        </w:r>
        <w:r>
          <w:rPr>
            <w:noProof/>
          </w:rPr>
          <w:fldChar w:fldCharType="end"/>
        </w:r>
      </w:p>
    </w:sdtContent>
  </w:sdt>
  <w:p w14:paraId="07450E9B" w14:textId="77777777" w:rsidR="00766F2F" w:rsidRDefault="00766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2C389" w14:textId="77777777" w:rsidR="00223B67" w:rsidRDefault="00223B67" w:rsidP="00296E26">
      <w:pPr>
        <w:spacing w:after="0" w:line="240" w:lineRule="auto"/>
      </w:pPr>
      <w:r>
        <w:separator/>
      </w:r>
    </w:p>
  </w:footnote>
  <w:footnote w:type="continuationSeparator" w:id="0">
    <w:p w14:paraId="4A41321F" w14:textId="77777777" w:rsidR="00223B67" w:rsidRDefault="00223B67" w:rsidP="00296E26">
      <w:pPr>
        <w:spacing w:after="0" w:line="240" w:lineRule="auto"/>
      </w:pPr>
      <w:r>
        <w:continuationSeparator/>
      </w:r>
    </w:p>
  </w:footnote>
  <w:footnote w:type="continuationNotice" w:id="1">
    <w:p w14:paraId="441E561D" w14:textId="77777777" w:rsidR="00223B67" w:rsidRDefault="00223B67">
      <w:pPr>
        <w:spacing w:after="0" w:line="240" w:lineRule="auto"/>
      </w:pPr>
    </w:p>
  </w:footnote>
  <w:footnote w:id="2">
    <w:p w14:paraId="3F814832" w14:textId="42AEC399" w:rsidR="00766F2F" w:rsidRPr="008C4FA3" w:rsidRDefault="00766F2F">
      <w:pPr>
        <w:pStyle w:val="FootnoteText"/>
      </w:pPr>
      <w:r w:rsidRPr="008C4FA3">
        <w:rPr>
          <w:rStyle w:val="FootnoteReference"/>
        </w:rPr>
        <w:footnoteRef/>
      </w:r>
      <w:r w:rsidRPr="008C4FA3">
        <w:t xml:space="preserve"> </w:t>
      </w:r>
      <w:r w:rsidRPr="008C4FA3">
        <w:rPr>
          <w:rFonts w:ascii="Sylfaen" w:hAnsi="Sylfaen"/>
        </w:rPr>
        <w:t>IHSES 2012 and World Bank (2017) Iraq - Systematic Country Diagnostic.</w:t>
      </w:r>
    </w:p>
  </w:footnote>
  <w:footnote w:id="3">
    <w:p w14:paraId="003AC181" w14:textId="79546C3A" w:rsidR="00766F2F" w:rsidRPr="00430B21" w:rsidRDefault="00766F2F">
      <w:pPr>
        <w:pStyle w:val="FootnoteText"/>
        <w:rPr>
          <w:rFonts w:ascii="Sylfaen" w:hAnsi="Sylfaen"/>
        </w:rPr>
      </w:pPr>
      <w:r w:rsidRPr="00430B21">
        <w:rPr>
          <w:rStyle w:val="FootnoteReference"/>
          <w:rFonts w:ascii="Sylfaen" w:hAnsi="Sylfaen"/>
        </w:rPr>
        <w:footnoteRef/>
      </w:r>
      <w:r w:rsidRPr="00430B21">
        <w:rPr>
          <w:rFonts w:ascii="Sylfaen" w:hAnsi="Sylfaen"/>
        </w:rPr>
        <w:t xml:space="preserve"> International Labor Organization, ILOSTAT.</w:t>
      </w:r>
    </w:p>
  </w:footnote>
  <w:footnote w:id="4">
    <w:p w14:paraId="65DC1247" w14:textId="59BC994A" w:rsidR="00766F2F" w:rsidRPr="00011269" w:rsidRDefault="00766F2F" w:rsidP="006856AD">
      <w:pPr>
        <w:pStyle w:val="FootnoteText"/>
        <w:rPr>
          <w:rFonts w:ascii="Sylfaen" w:hAnsi="Sylfaen"/>
        </w:rPr>
      </w:pPr>
      <w:r w:rsidRPr="008C4FA3">
        <w:rPr>
          <w:rStyle w:val="FootnoteReference"/>
          <w:rFonts w:ascii="Sylfaen" w:hAnsi="Sylfaen"/>
        </w:rPr>
        <w:footnoteRef/>
      </w:r>
      <w:r w:rsidRPr="00011269">
        <w:rPr>
          <w:rFonts w:ascii="Sylfaen" w:hAnsi="Sylfaen"/>
        </w:rPr>
        <w:t xml:space="preserve"> IHSES 2012. The</w:t>
      </w:r>
      <w:r>
        <w:rPr>
          <w:rFonts w:ascii="Sylfaen" w:hAnsi="Sylfaen"/>
        </w:rPr>
        <w:t xml:space="preserve"> unemployment</w:t>
      </w:r>
      <w:r w:rsidRPr="00011269">
        <w:rPr>
          <w:rFonts w:ascii="Sylfaen" w:hAnsi="Sylfaen"/>
        </w:rPr>
        <w:t xml:space="preserve"> patterns are likely to parti</w:t>
      </w:r>
      <w:r>
        <w:rPr>
          <w:rFonts w:ascii="Sylfaen" w:hAnsi="Sylfaen"/>
        </w:rPr>
        <w:t>ally reflect the fact that women are more likely to participate in the labor market if they have higher education, and that workers with higher education in Iraq are more likely to be unemployed while looking for jobs in the public sector or other formal sector.</w:t>
      </w:r>
    </w:p>
  </w:footnote>
  <w:footnote w:id="5">
    <w:p w14:paraId="3945408E" w14:textId="69194BD1" w:rsidR="00766F2F" w:rsidRPr="00011269" w:rsidRDefault="00766F2F" w:rsidP="00234178">
      <w:pPr>
        <w:spacing w:after="120"/>
        <w:rPr>
          <w:rFonts w:ascii="Sylfaen" w:hAnsi="Sylfaen"/>
          <w:sz w:val="20"/>
          <w:szCs w:val="20"/>
        </w:rPr>
      </w:pPr>
      <w:r w:rsidRPr="008C4FA3">
        <w:rPr>
          <w:rStyle w:val="FootnoteReference"/>
          <w:rFonts w:ascii="Sylfaen" w:hAnsi="Sylfaen"/>
          <w:sz w:val="20"/>
          <w:szCs w:val="20"/>
        </w:rPr>
        <w:footnoteRef/>
      </w:r>
      <w:r w:rsidRPr="00011269">
        <w:rPr>
          <w:rFonts w:ascii="Sylfaen" w:hAnsi="Sylfaen"/>
          <w:sz w:val="20"/>
          <w:szCs w:val="20"/>
        </w:rPr>
        <w:t xml:space="preserve"> UNHCR: http://reporting.unhcr.org/node/2547.</w:t>
      </w:r>
    </w:p>
  </w:footnote>
  <w:footnote w:id="6">
    <w:p w14:paraId="56BD9E44" w14:textId="77777777" w:rsidR="00766F2F" w:rsidRPr="008C4FA3" w:rsidRDefault="00766F2F" w:rsidP="00863F3C">
      <w:pPr>
        <w:pStyle w:val="FootnoteText"/>
      </w:pPr>
      <w:r w:rsidRPr="008C4FA3">
        <w:rPr>
          <w:rStyle w:val="FootnoteReference"/>
        </w:rPr>
        <w:footnoteRef/>
      </w:r>
      <w:r w:rsidRPr="008C4FA3">
        <w:t xml:space="preserve"> </w:t>
      </w:r>
      <w:r w:rsidRPr="008C4FA3">
        <w:rPr>
          <w:rFonts w:ascii="Sylfaen" w:hAnsi="Sylfaen"/>
        </w:rPr>
        <w:t>World Bank (2017), Doing Business in Iraq.</w:t>
      </w:r>
    </w:p>
  </w:footnote>
  <w:footnote w:id="7">
    <w:p w14:paraId="1BF8C62F" w14:textId="77777777" w:rsidR="00766F2F" w:rsidRPr="008C4FA3" w:rsidRDefault="00766F2F" w:rsidP="005F5403">
      <w:pPr>
        <w:pStyle w:val="FootnoteText"/>
      </w:pPr>
      <w:r w:rsidRPr="008C4FA3">
        <w:rPr>
          <w:rStyle w:val="FootnoteReference"/>
        </w:rPr>
        <w:footnoteRef/>
      </w:r>
      <w:r w:rsidRPr="008C4FA3">
        <w:t xml:space="preserve"> </w:t>
      </w:r>
      <w:r w:rsidRPr="008C4FA3">
        <w:rPr>
          <w:rFonts w:ascii="Sylfaen" w:hAnsi="Sylfaen"/>
        </w:rPr>
        <w:t>Enterprise Survey, 2011.</w:t>
      </w:r>
    </w:p>
  </w:footnote>
  <w:footnote w:id="8">
    <w:p w14:paraId="21D8E5A8" w14:textId="5BCF5A0A" w:rsidR="00766F2F" w:rsidRPr="008C4FA3" w:rsidRDefault="00766F2F">
      <w:pPr>
        <w:pStyle w:val="FootnoteText"/>
        <w:rPr>
          <w:rFonts w:ascii="Sylfaen" w:hAnsi="Sylfaen"/>
        </w:rPr>
      </w:pPr>
      <w:r w:rsidRPr="008C4FA3">
        <w:rPr>
          <w:rFonts w:ascii="Sylfaen" w:hAnsi="Sylfaen" w:cs="Times New Roman"/>
          <w:vertAlign w:val="superscript"/>
        </w:rPr>
        <w:footnoteRef/>
      </w:r>
      <w:r w:rsidRPr="008C4FA3">
        <w:rPr>
          <w:rFonts w:ascii="Sylfaen" w:hAnsi="Sylfaen" w:cs="Times New Roman"/>
        </w:rPr>
        <w:t xml:space="preserve"> Iraq Reconstruction and Investment: Damage and Needs Assessment of Affected Governorates, World Bank, 2018.</w:t>
      </w:r>
    </w:p>
  </w:footnote>
  <w:footnote w:id="9">
    <w:p w14:paraId="6DF03076" w14:textId="4C2A9940" w:rsidR="00766F2F" w:rsidRPr="008C4FA3" w:rsidRDefault="00766F2F" w:rsidP="00296E26">
      <w:pPr>
        <w:pStyle w:val="FootnoteText"/>
        <w:ind w:left="284" w:hanging="284"/>
        <w:rPr>
          <w:rFonts w:ascii="Sylfaen" w:hAnsi="Sylfaen"/>
        </w:rPr>
      </w:pPr>
      <w:r w:rsidRPr="008C4FA3">
        <w:rPr>
          <w:rStyle w:val="FootnoteReference"/>
          <w:rFonts w:ascii="Sylfaen" w:hAnsi="Sylfaen"/>
        </w:rPr>
        <w:footnoteRef/>
      </w:r>
      <w:r w:rsidRPr="008C4FA3">
        <w:rPr>
          <w:rFonts w:ascii="Sylfaen" w:hAnsi="Sylfaen"/>
        </w:rPr>
        <w:t xml:space="preserve"> </w:t>
      </w:r>
      <w:r w:rsidRPr="008C4FA3">
        <w:rPr>
          <w:rFonts w:ascii="Sylfaen" w:hAnsi="Sylfaen" w:cs="Times New Roman"/>
        </w:rPr>
        <w:t>Emergency Operation for Development Project, Project Appraisal Document, World Bank, 2015.</w:t>
      </w:r>
    </w:p>
  </w:footnote>
  <w:footnote w:id="10">
    <w:p w14:paraId="69FC9D21" w14:textId="77777777" w:rsidR="00766F2F" w:rsidRPr="008C4FA3" w:rsidRDefault="00766F2F" w:rsidP="00160F6B">
      <w:pPr>
        <w:pStyle w:val="FootnoteText"/>
        <w:rPr>
          <w:rFonts w:ascii="Sylfaen" w:hAnsi="Sylfaen"/>
        </w:rPr>
      </w:pPr>
      <w:r w:rsidRPr="008C4FA3">
        <w:rPr>
          <w:rFonts w:ascii="Sylfaen" w:hAnsi="Sylfaen" w:cs="Times New Roman"/>
          <w:vertAlign w:val="superscript"/>
        </w:rPr>
        <w:footnoteRef/>
      </w:r>
      <w:r w:rsidRPr="008C4FA3">
        <w:rPr>
          <w:rFonts w:ascii="Sylfaen" w:hAnsi="Sylfaen" w:cs="Times New Roman"/>
        </w:rPr>
        <w:t xml:space="preserve"> Iraq Reconstruction and Investment: Damage and Needs Assessment of Affected Governorates, World Bank, 2018.</w:t>
      </w:r>
    </w:p>
  </w:footnote>
  <w:footnote w:id="11">
    <w:p w14:paraId="6A693F18" w14:textId="6B8106B8" w:rsidR="00766F2F" w:rsidRPr="00011269" w:rsidRDefault="00766F2F">
      <w:pPr>
        <w:pStyle w:val="FootnoteText"/>
        <w:rPr>
          <w:rFonts w:ascii="Sylfaen" w:hAnsi="Sylfaen"/>
        </w:rPr>
      </w:pPr>
      <w:r w:rsidRPr="00011269">
        <w:rPr>
          <w:rStyle w:val="FootnoteReference"/>
          <w:rFonts w:ascii="Sylfaen" w:hAnsi="Sylfaen"/>
        </w:rPr>
        <w:footnoteRef/>
      </w:r>
      <w:r w:rsidRPr="00011269">
        <w:rPr>
          <w:rFonts w:ascii="Sylfaen" w:hAnsi="Sylfaen"/>
        </w:rPr>
        <w:t xml:space="preserve"> </w:t>
      </w:r>
      <w:r>
        <w:rPr>
          <w:rFonts w:ascii="Sylfaen" w:hAnsi="Sylfaen"/>
        </w:rPr>
        <w:t>Calculation based on the investment amounts shown in Table 9 of the NDP Summary, and assuming that the share of private investment rises linearly from the 2015 values to the 2022 values shown in Table 12.</w:t>
      </w:r>
    </w:p>
  </w:footnote>
  <w:footnote w:id="12">
    <w:p w14:paraId="4D0DF8F8" w14:textId="2784A014" w:rsidR="00766F2F" w:rsidRPr="008C4FA3" w:rsidRDefault="00766F2F" w:rsidP="0062307C">
      <w:pPr>
        <w:spacing w:after="120"/>
        <w:rPr>
          <w:rFonts w:ascii="Sylfaen" w:hAnsi="Sylfaen" w:cs="Times New Roman"/>
          <w:sz w:val="20"/>
          <w:szCs w:val="20"/>
        </w:rPr>
      </w:pPr>
      <w:r w:rsidRPr="008C4FA3">
        <w:rPr>
          <w:rStyle w:val="FootnoteReference"/>
          <w:rFonts w:ascii="Sylfaen" w:hAnsi="Sylfaen"/>
          <w:sz w:val="20"/>
          <w:szCs w:val="20"/>
        </w:rPr>
        <w:footnoteRef/>
      </w:r>
      <w:r w:rsidRPr="008C4FA3">
        <w:rPr>
          <w:rFonts w:ascii="Sylfaen" w:hAnsi="Sylfaen"/>
          <w:sz w:val="20"/>
          <w:szCs w:val="20"/>
        </w:rPr>
        <w:t xml:space="preserve"> </w:t>
      </w:r>
      <w:r w:rsidRPr="008C4FA3">
        <w:rPr>
          <w:rFonts w:ascii="Sylfaen" w:hAnsi="Sylfaen" w:cs="Times New Roman"/>
          <w:sz w:val="20"/>
          <w:szCs w:val="20"/>
        </w:rPr>
        <w:t>Estache et al. (2013). Infrastructure and employment creation in the Middle East and North Africa. World Bank. Estache et al. (2013) do not provide dedicated estimates for Iraq. To approach likely cost, we first note that, among MENA countries discussed in detail in the report, the elasticity of employment to infrastructure investment in Iraq is similar to Morocco, Lebanon, and Libya (Table 4.3). Among these three, the median cost per direct (direct, indirect, or induced) job in building construction is $33,036 ($20,268), and in road construction, $5,302 ($4,865) (Tables 3.7 and 3.6). Secondly, we note that Estache et al. provide an estimate of cost per direct (direct, indirect, or induced) job from any infrastructure investment in MENA developing oil-exporters of about $21,000-25,000. At the project level in the MENA region, cost per job-year FTE $5,818 in public works supported by the World Bank through Egypt’s Labor Intensive Public Investment.</w:t>
      </w:r>
    </w:p>
  </w:footnote>
  <w:footnote w:id="13">
    <w:p w14:paraId="2E5C8375" w14:textId="0EB53B16" w:rsidR="00766F2F" w:rsidRPr="008C4FA3" w:rsidRDefault="00766F2F" w:rsidP="00EE0238">
      <w:pPr>
        <w:pStyle w:val="FootnoteText"/>
        <w:rPr>
          <w:rFonts w:ascii="Sylfaen" w:hAnsi="Sylfaen" w:cs="Times New Roman"/>
        </w:rPr>
      </w:pPr>
      <w:r w:rsidRPr="008C4FA3">
        <w:rPr>
          <w:rStyle w:val="FootnoteReference"/>
          <w:rFonts w:ascii="Sylfaen" w:hAnsi="Sylfaen"/>
        </w:rPr>
        <w:footnoteRef/>
      </w:r>
      <w:r w:rsidRPr="008C4FA3">
        <w:rPr>
          <w:rFonts w:ascii="Sylfaen" w:hAnsi="Sylfaen"/>
        </w:rPr>
        <w:t xml:space="preserve"> </w:t>
      </w:r>
      <w:r w:rsidRPr="008C4FA3">
        <w:rPr>
          <w:rFonts w:ascii="Sylfaen" w:hAnsi="Sylfaen" w:cs="Times New Roman"/>
          <w:i/>
        </w:rPr>
        <w:t>Vision</w:t>
      </w:r>
      <w:r w:rsidRPr="008C4FA3">
        <w:rPr>
          <w:rFonts w:ascii="Sylfaen" w:hAnsi="Sylfaen" w:cs="Times New Roman"/>
        </w:rPr>
        <w:t xml:space="preserve"> Agriculture Note. In the IEHS, in 2012, the share of agricultural employment in total employment was nine percent.</w:t>
      </w:r>
    </w:p>
  </w:footnote>
  <w:footnote w:id="14">
    <w:p w14:paraId="34BBA6AD" w14:textId="524E3D53" w:rsidR="00766F2F" w:rsidRPr="008C4FA3" w:rsidRDefault="00766F2F" w:rsidP="006C616C">
      <w:pPr>
        <w:pStyle w:val="FootnoteText"/>
        <w:rPr>
          <w:rFonts w:ascii="Sylfaen" w:hAnsi="Sylfaen" w:cs="Times New Roman"/>
          <w:i/>
        </w:rPr>
      </w:pPr>
      <w:r w:rsidRPr="008C4FA3">
        <w:rPr>
          <w:rStyle w:val="FootnoteReference"/>
          <w:rFonts w:ascii="Sylfaen" w:hAnsi="Sylfaen" w:cs="Times New Roman"/>
        </w:rPr>
        <w:footnoteRef/>
      </w:r>
      <w:r w:rsidRPr="008C4FA3">
        <w:rPr>
          <w:rFonts w:ascii="Sylfaen" w:hAnsi="Sylfaen" w:cs="Times New Roman"/>
        </w:rPr>
        <w:t xml:space="preserve">Reach and Big Heart, 2016, </w:t>
      </w:r>
      <w:r w:rsidRPr="008C4FA3">
        <w:rPr>
          <w:rFonts w:ascii="Sylfaen" w:hAnsi="Sylfaen" w:cs="Times New Roman"/>
          <w:i/>
        </w:rPr>
        <w:t xml:space="preserve">Agricultural Market Assessment. </w:t>
      </w:r>
      <w:r w:rsidRPr="008C4FA3">
        <w:rPr>
          <w:rFonts w:ascii="Sylfaen" w:hAnsi="Sylfaen" w:cs="Times New Roman"/>
          <w:bCs/>
          <w:szCs w:val="22"/>
        </w:rPr>
        <w:t xml:space="preserve">FAO (2017), </w:t>
      </w:r>
      <w:r w:rsidRPr="008C4FA3">
        <w:rPr>
          <w:rFonts w:ascii="Sylfaen" w:hAnsi="Sylfaen" w:cs="Times New Roman"/>
          <w:bCs/>
          <w:i/>
          <w:szCs w:val="22"/>
        </w:rPr>
        <w:t>Near East and North Africa Regional Overview of Food Insecurity 2016.</w:t>
      </w:r>
      <w:r w:rsidRPr="008C4FA3">
        <w:rPr>
          <w:rFonts w:ascii="Sylfaen" w:hAnsi="Sylfaen" w:cs="Times New Roman"/>
          <w:bCs/>
          <w:szCs w:val="22"/>
        </w:rPr>
        <w:t xml:space="preserve"> </w:t>
      </w:r>
    </w:p>
  </w:footnote>
  <w:footnote w:id="15">
    <w:p w14:paraId="6AA7988D" w14:textId="77777777" w:rsidR="00766F2F" w:rsidRPr="008C4FA3" w:rsidRDefault="00766F2F" w:rsidP="00BF436B">
      <w:pPr>
        <w:pStyle w:val="FootnoteText"/>
        <w:rPr>
          <w:i/>
        </w:rPr>
      </w:pPr>
      <w:r w:rsidRPr="008C4FA3">
        <w:rPr>
          <w:rStyle w:val="FootnoteReference"/>
        </w:rPr>
        <w:footnoteRef/>
      </w:r>
      <w:r w:rsidRPr="008C4FA3">
        <w:t xml:space="preserve"> </w:t>
      </w:r>
      <w:r w:rsidRPr="008C4FA3">
        <w:rPr>
          <w:i/>
        </w:rPr>
        <w:t xml:space="preserve">Vision 2030 </w:t>
      </w:r>
      <w:r w:rsidRPr="008C4FA3">
        <w:t>Agriculture Note.</w:t>
      </w:r>
    </w:p>
  </w:footnote>
  <w:footnote w:id="16">
    <w:p w14:paraId="6EFCB65A" w14:textId="179F393C" w:rsidR="00766F2F" w:rsidRPr="008C4FA3" w:rsidRDefault="00766F2F">
      <w:pPr>
        <w:pStyle w:val="FootnoteText"/>
        <w:rPr>
          <w:rFonts w:ascii="Sylfaen" w:hAnsi="Sylfaen"/>
        </w:rPr>
      </w:pPr>
      <w:r w:rsidRPr="008C4FA3">
        <w:rPr>
          <w:rStyle w:val="FootnoteReference"/>
          <w:rFonts w:ascii="Sylfaen" w:hAnsi="Sylfaen"/>
        </w:rPr>
        <w:footnoteRef/>
      </w:r>
      <w:r w:rsidRPr="008C4FA3">
        <w:rPr>
          <w:rFonts w:ascii="Sylfaen" w:hAnsi="Sylfaen"/>
        </w:rPr>
        <w:t xml:space="preserve"> There is an urgent need to understand the way the Public Distribution System currently shapes the product markets. While it is certain that the system induces price distortions, these could be both beneficaial – a virtual uptake guarantee – and negative.</w:t>
      </w:r>
    </w:p>
  </w:footnote>
  <w:footnote w:id="17">
    <w:p w14:paraId="5FD58B8E" w14:textId="5607A07D" w:rsidR="00766F2F" w:rsidRPr="008C4FA3" w:rsidRDefault="00766F2F">
      <w:pPr>
        <w:pStyle w:val="FootnoteText"/>
        <w:rPr>
          <w:rFonts w:ascii="Sylfaen" w:hAnsi="Sylfaen"/>
        </w:rPr>
      </w:pPr>
      <w:r w:rsidRPr="008C4FA3">
        <w:rPr>
          <w:rStyle w:val="FootnoteReference"/>
          <w:rFonts w:ascii="Sylfaen" w:hAnsi="Sylfaen"/>
        </w:rPr>
        <w:footnoteRef/>
      </w:r>
      <w:r w:rsidRPr="008C4FA3">
        <w:rPr>
          <w:rStyle w:val="FootnoteReference"/>
          <w:rFonts w:ascii="Sylfaen" w:hAnsi="Sylfaen"/>
        </w:rPr>
        <w:t xml:space="preserve"> </w:t>
      </w:r>
      <w:r w:rsidRPr="008C4FA3">
        <w:rPr>
          <w:rFonts w:ascii="Sylfaen" w:hAnsi="Sylfaen"/>
        </w:rPr>
        <w:t>Gassert et al. (2013). “Aqueduct country and river basin rankings: a weighted aggregation of spatially distinct hydrological indicators.” Working paper. Washington, DC: World Resources Institute, November 2013.</w:t>
      </w:r>
    </w:p>
  </w:footnote>
  <w:footnote w:id="18">
    <w:p w14:paraId="71BBD578" w14:textId="0C234C9C" w:rsidR="00766F2F" w:rsidRPr="008C4FA3" w:rsidRDefault="00766F2F">
      <w:pPr>
        <w:pStyle w:val="FootnoteText"/>
        <w:rPr>
          <w:rFonts w:ascii="Sylfaen" w:hAnsi="Sylfaen"/>
        </w:rPr>
      </w:pPr>
      <w:r w:rsidRPr="008C4FA3">
        <w:rPr>
          <w:rStyle w:val="FootnoteReference"/>
          <w:rFonts w:ascii="Sylfaen" w:hAnsi="Sylfaen"/>
        </w:rPr>
        <w:footnoteRef/>
      </w:r>
      <w:r w:rsidRPr="008C4FA3">
        <w:rPr>
          <w:rFonts w:ascii="Sylfaen" w:hAnsi="Sylfaen"/>
        </w:rPr>
        <w:t xml:space="preserve"> </w:t>
      </w:r>
      <w:r>
        <w:rPr>
          <w:rFonts w:ascii="Sylfaen" w:hAnsi="Sylfaen"/>
        </w:rPr>
        <w:t>IFAD</w:t>
      </w:r>
      <w:r w:rsidRPr="008C4FA3">
        <w:rPr>
          <w:rFonts w:ascii="Sylfaen" w:hAnsi="Sylfaen"/>
        </w:rPr>
        <w:t xml:space="preserve"> (2016). </w:t>
      </w:r>
      <w:r w:rsidRPr="008C4FA3">
        <w:rPr>
          <w:rFonts w:ascii="Sylfaen" w:hAnsi="Sylfaen"/>
          <w:i/>
        </w:rPr>
        <w:t>Iraq – Smallholder Agricultural Policy Analysis</w:t>
      </w:r>
      <w:r w:rsidRPr="008C4FA3">
        <w:rPr>
          <w:rFonts w:ascii="Sylfaen" w:hAnsi="Sylfaen"/>
        </w:rPr>
        <w:t>.</w:t>
      </w:r>
    </w:p>
  </w:footnote>
  <w:footnote w:id="19">
    <w:p w14:paraId="019FE5E4" w14:textId="117AD178" w:rsidR="00766F2F" w:rsidRPr="008C4FA3" w:rsidRDefault="00766F2F">
      <w:pPr>
        <w:pStyle w:val="FootnoteText"/>
      </w:pPr>
      <w:r w:rsidRPr="008C4FA3">
        <w:rPr>
          <w:rStyle w:val="FootnoteReference"/>
        </w:rPr>
        <w:footnoteRef/>
      </w:r>
      <w:r w:rsidRPr="008C4FA3">
        <w:t xml:space="preserve"> </w:t>
      </w:r>
      <w:r w:rsidRPr="008C4FA3">
        <w:rPr>
          <w:i/>
        </w:rPr>
        <w:t>Enterprise Survey 2011</w:t>
      </w:r>
    </w:p>
  </w:footnote>
  <w:footnote w:id="20">
    <w:p w14:paraId="362FFD30" w14:textId="7EA024B0" w:rsidR="00766F2F" w:rsidRPr="008C4FA3" w:rsidRDefault="00766F2F" w:rsidP="00975B20">
      <w:pPr>
        <w:rPr>
          <w:rFonts w:ascii="Sylfaen" w:eastAsia="Times New Roman" w:hAnsi="Sylfaen" w:cs="Times New Roman"/>
          <w:color w:val="000000"/>
          <w:sz w:val="20"/>
          <w:szCs w:val="20"/>
        </w:rPr>
      </w:pPr>
      <w:r w:rsidRPr="008C4FA3">
        <w:rPr>
          <w:rStyle w:val="FootnoteReference"/>
          <w:rFonts w:ascii="Sylfaen" w:hAnsi="Sylfaen"/>
          <w:sz w:val="20"/>
          <w:szCs w:val="20"/>
        </w:rPr>
        <w:footnoteRef/>
      </w:r>
      <w:r w:rsidRPr="008C4FA3">
        <w:rPr>
          <w:rFonts w:ascii="Sylfaen" w:hAnsi="Sylfaen"/>
          <w:sz w:val="20"/>
          <w:szCs w:val="20"/>
        </w:rPr>
        <w:t xml:space="preserve"> </w:t>
      </w:r>
      <w:r w:rsidRPr="008C4FA3">
        <w:rPr>
          <w:rFonts w:ascii="Sylfaen" w:eastAsia="Times New Roman" w:hAnsi="Sylfaen" w:cs="Times New Roman"/>
          <w:color w:val="000000"/>
          <w:sz w:val="20"/>
          <w:szCs w:val="20"/>
        </w:rPr>
        <w:t xml:space="preserve">Source: Central Bank of Iraq, Balance of Payments; </w:t>
      </w:r>
      <w:r w:rsidRPr="008C4FA3">
        <w:rPr>
          <w:rFonts w:ascii="Sylfaen" w:eastAsia="Times New Roman" w:hAnsi="Sylfaen" w:cs="Calibri"/>
          <w:color w:val="000000"/>
          <w:sz w:val="20"/>
          <w:szCs w:val="20"/>
        </w:rPr>
        <w:t>Ministry of Planning.</w:t>
      </w:r>
    </w:p>
    <w:p w14:paraId="7E1C5BB2" w14:textId="326A1E3A" w:rsidR="00766F2F" w:rsidRPr="008C4FA3" w:rsidRDefault="00766F2F">
      <w:pPr>
        <w:pStyle w:val="FootnoteText"/>
      </w:pPr>
    </w:p>
  </w:footnote>
  <w:footnote w:id="21">
    <w:p w14:paraId="053E5E10" w14:textId="06459D37" w:rsidR="00766F2F" w:rsidRDefault="00766F2F">
      <w:pPr>
        <w:pStyle w:val="FootnoteText"/>
      </w:pPr>
      <w:r w:rsidRPr="008C4FA3">
        <w:rPr>
          <w:rStyle w:val="FootnoteReference"/>
        </w:rPr>
        <w:footnoteRef/>
      </w:r>
      <w:r w:rsidRPr="008C4FA3">
        <w:t xml:space="preserve"> </w:t>
      </w:r>
      <w:r w:rsidRPr="008C4FA3" w:rsidDel="00C1000E">
        <w:rPr>
          <w:rFonts w:ascii="Sylfaen" w:hAnsi="Sylfaen" w:cs="Times New Roman"/>
        </w:rPr>
        <w:t xml:space="preserve">At the same time, it is well understood that, much as investments for immediate job creation are indispensable but no substitute for structural reforms, VS development also is not a substitute for a resumption of effective regular schooling. How these traditional paths to training can contribute to job creation in Iraq is discussed in the </w:t>
      </w:r>
      <w:r w:rsidRPr="008C4FA3" w:rsidDel="00C1000E">
        <w:rPr>
          <w:rFonts w:ascii="Sylfaen" w:hAnsi="Sylfaen" w:cs="Times New Roman"/>
          <w:i/>
        </w:rPr>
        <w:t>Vision’s</w:t>
      </w:r>
      <w:r w:rsidRPr="008C4FA3" w:rsidDel="00C1000E">
        <w:rPr>
          <w:rFonts w:ascii="Sylfaen" w:hAnsi="Sylfaen" w:cs="Times New Roman"/>
        </w:rPr>
        <w:t xml:space="preserve"> Education Note.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0D2C"/>
    <w:multiLevelType w:val="hybridMultilevel"/>
    <w:tmpl w:val="EBB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6319E"/>
    <w:multiLevelType w:val="hybridMultilevel"/>
    <w:tmpl w:val="EEC81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018C3"/>
    <w:multiLevelType w:val="hybridMultilevel"/>
    <w:tmpl w:val="44CA83C4"/>
    <w:lvl w:ilvl="0" w:tplc="274265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540622"/>
    <w:multiLevelType w:val="hybridMultilevel"/>
    <w:tmpl w:val="1318E062"/>
    <w:lvl w:ilvl="0" w:tplc="CA247C9C">
      <w:start w:val="1"/>
      <w:numFmt w:val="bullet"/>
      <w:lvlText w:val="•"/>
      <w:lvlJc w:val="left"/>
      <w:pPr>
        <w:tabs>
          <w:tab w:val="num" w:pos="720"/>
        </w:tabs>
        <w:ind w:left="720" w:hanging="360"/>
      </w:pPr>
      <w:rPr>
        <w:rFonts w:ascii="Arial" w:hAnsi="Arial" w:hint="default"/>
      </w:rPr>
    </w:lvl>
    <w:lvl w:ilvl="1" w:tplc="CCDC9366" w:tentative="1">
      <w:start w:val="1"/>
      <w:numFmt w:val="bullet"/>
      <w:lvlText w:val="•"/>
      <w:lvlJc w:val="left"/>
      <w:pPr>
        <w:tabs>
          <w:tab w:val="num" w:pos="1440"/>
        </w:tabs>
        <w:ind w:left="1440" w:hanging="360"/>
      </w:pPr>
      <w:rPr>
        <w:rFonts w:ascii="Arial" w:hAnsi="Arial" w:hint="default"/>
      </w:rPr>
    </w:lvl>
    <w:lvl w:ilvl="2" w:tplc="180E3C4C" w:tentative="1">
      <w:start w:val="1"/>
      <w:numFmt w:val="bullet"/>
      <w:lvlText w:val="•"/>
      <w:lvlJc w:val="left"/>
      <w:pPr>
        <w:tabs>
          <w:tab w:val="num" w:pos="2160"/>
        </w:tabs>
        <w:ind w:left="2160" w:hanging="360"/>
      </w:pPr>
      <w:rPr>
        <w:rFonts w:ascii="Arial" w:hAnsi="Arial" w:hint="default"/>
      </w:rPr>
    </w:lvl>
    <w:lvl w:ilvl="3" w:tplc="A7C25824" w:tentative="1">
      <w:start w:val="1"/>
      <w:numFmt w:val="bullet"/>
      <w:lvlText w:val="•"/>
      <w:lvlJc w:val="left"/>
      <w:pPr>
        <w:tabs>
          <w:tab w:val="num" w:pos="2880"/>
        </w:tabs>
        <w:ind w:left="2880" w:hanging="360"/>
      </w:pPr>
      <w:rPr>
        <w:rFonts w:ascii="Arial" w:hAnsi="Arial" w:hint="default"/>
      </w:rPr>
    </w:lvl>
    <w:lvl w:ilvl="4" w:tplc="D9146C76" w:tentative="1">
      <w:start w:val="1"/>
      <w:numFmt w:val="bullet"/>
      <w:lvlText w:val="•"/>
      <w:lvlJc w:val="left"/>
      <w:pPr>
        <w:tabs>
          <w:tab w:val="num" w:pos="3600"/>
        </w:tabs>
        <w:ind w:left="3600" w:hanging="360"/>
      </w:pPr>
      <w:rPr>
        <w:rFonts w:ascii="Arial" w:hAnsi="Arial" w:hint="default"/>
      </w:rPr>
    </w:lvl>
    <w:lvl w:ilvl="5" w:tplc="5E6CBBEE" w:tentative="1">
      <w:start w:val="1"/>
      <w:numFmt w:val="bullet"/>
      <w:lvlText w:val="•"/>
      <w:lvlJc w:val="left"/>
      <w:pPr>
        <w:tabs>
          <w:tab w:val="num" w:pos="4320"/>
        </w:tabs>
        <w:ind w:left="4320" w:hanging="360"/>
      </w:pPr>
      <w:rPr>
        <w:rFonts w:ascii="Arial" w:hAnsi="Arial" w:hint="default"/>
      </w:rPr>
    </w:lvl>
    <w:lvl w:ilvl="6" w:tplc="3666556E" w:tentative="1">
      <w:start w:val="1"/>
      <w:numFmt w:val="bullet"/>
      <w:lvlText w:val="•"/>
      <w:lvlJc w:val="left"/>
      <w:pPr>
        <w:tabs>
          <w:tab w:val="num" w:pos="5040"/>
        </w:tabs>
        <w:ind w:left="5040" w:hanging="360"/>
      </w:pPr>
      <w:rPr>
        <w:rFonts w:ascii="Arial" w:hAnsi="Arial" w:hint="default"/>
      </w:rPr>
    </w:lvl>
    <w:lvl w:ilvl="7" w:tplc="F85CA694" w:tentative="1">
      <w:start w:val="1"/>
      <w:numFmt w:val="bullet"/>
      <w:lvlText w:val="•"/>
      <w:lvlJc w:val="left"/>
      <w:pPr>
        <w:tabs>
          <w:tab w:val="num" w:pos="5760"/>
        </w:tabs>
        <w:ind w:left="5760" w:hanging="360"/>
      </w:pPr>
      <w:rPr>
        <w:rFonts w:ascii="Arial" w:hAnsi="Arial" w:hint="default"/>
      </w:rPr>
    </w:lvl>
    <w:lvl w:ilvl="8" w:tplc="0948711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DA3331"/>
    <w:multiLevelType w:val="hybridMultilevel"/>
    <w:tmpl w:val="32BA6C8C"/>
    <w:lvl w:ilvl="0" w:tplc="C332C914">
      <w:start w:val="1"/>
      <w:numFmt w:val="bullet"/>
      <w:lvlText w:val="-"/>
      <w:lvlJc w:val="left"/>
      <w:pPr>
        <w:tabs>
          <w:tab w:val="num" w:pos="720"/>
        </w:tabs>
        <w:ind w:left="720" w:hanging="360"/>
      </w:pPr>
      <w:rPr>
        <w:rFonts w:ascii="Times New Roman" w:hAnsi="Times New Roman" w:hint="default"/>
      </w:rPr>
    </w:lvl>
    <w:lvl w:ilvl="1" w:tplc="B21E9FC0" w:tentative="1">
      <w:start w:val="1"/>
      <w:numFmt w:val="bullet"/>
      <w:lvlText w:val="-"/>
      <w:lvlJc w:val="left"/>
      <w:pPr>
        <w:tabs>
          <w:tab w:val="num" w:pos="1440"/>
        </w:tabs>
        <w:ind w:left="1440" w:hanging="360"/>
      </w:pPr>
      <w:rPr>
        <w:rFonts w:ascii="Times New Roman" w:hAnsi="Times New Roman" w:hint="default"/>
      </w:rPr>
    </w:lvl>
    <w:lvl w:ilvl="2" w:tplc="F678E132" w:tentative="1">
      <w:start w:val="1"/>
      <w:numFmt w:val="bullet"/>
      <w:lvlText w:val="-"/>
      <w:lvlJc w:val="left"/>
      <w:pPr>
        <w:tabs>
          <w:tab w:val="num" w:pos="2160"/>
        </w:tabs>
        <w:ind w:left="2160" w:hanging="360"/>
      </w:pPr>
      <w:rPr>
        <w:rFonts w:ascii="Times New Roman" w:hAnsi="Times New Roman" w:hint="default"/>
      </w:rPr>
    </w:lvl>
    <w:lvl w:ilvl="3" w:tplc="FADEBACC" w:tentative="1">
      <w:start w:val="1"/>
      <w:numFmt w:val="bullet"/>
      <w:lvlText w:val="-"/>
      <w:lvlJc w:val="left"/>
      <w:pPr>
        <w:tabs>
          <w:tab w:val="num" w:pos="2880"/>
        </w:tabs>
        <w:ind w:left="2880" w:hanging="360"/>
      </w:pPr>
      <w:rPr>
        <w:rFonts w:ascii="Times New Roman" w:hAnsi="Times New Roman" w:hint="default"/>
      </w:rPr>
    </w:lvl>
    <w:lvl w:ilvl="4" w:tplc="B4E2FADE" w:tentative="1">
      <w:start w:val="1"/>
      <w:numFmt w:val="bullet"/>
      <w:lvlText w:val="-"/>
      <w:lvlJc w:val="left"/>
      <w:pPr>
        <w:tabs>
          <w:tab w:val="num" w:pos="3600"/>
        </w:tabs>
        <w:ind w:left="3600" w:hanging="360"/>
      </w:pPr>
      <w:rPr>
        <w:rFonts w:ascii="Times New Roman" w:hAnsi="Times New Roman" w:hint="default"/>
      </w:rPr>
    </w:lvl>
    <w:lvl w:ilvl="5" w:tplc="D4AC4648" w:tentative="1">
      <w:start w:val="1"/>
      <w:numFmt w:val="bullet"/>
      <w:lvlText w:val="-"/>
      <w:lvlJc w:val="left"/>
      <w:pPr>
        <w:tabs>
          <w:tab w:val="num" w:pos="4320"/>
        </w:tabs>
        <w:ind w:left="4320" w:hanging="360"/>
      </w:pPr>
      <w:rPr>
        <w:rFonts w:ascii="Times New Roman" w:hAnsi="Times New Roman" w:hint="default"/>
      </w:rPr>
    </w:lvl>
    <w:lvl w:ilvl="6" w:tplc="B580A4A2" w:tentative="1">
      <w:start w:val="1"/>
      <w:numFmt w:val="bullet"/>
      <w:lvlText w:val="-"/>
      <w:lvlJc w:val="left"/>
      <w:pPr>
        <w:tabs>
          <w:tab w:val="num" w:pos="5040"/>
        </w:tabs>
        <w:ind w:left="5040" w:hanging="360"/>
      </w:pPr>
      <w:rPr>
        <w:rFonts w:ascii="Times New Roman" w:hAnsi="Times New Roman" w:hint="default"/>
      </w:rPr>
    </w:lvl>
    <w:lvl w:ilvl="7" w:tplc="73109A4C" w:tentative="1">
      <w:start w:val="1"/>
      <w:numFmt w:val="bullet"/>
      <w:lvlText w:val="-"/>
      <w:lvlJc w:val="left"/>
      <w:pPr>
        <w:tabs>
          <w:tab w:val="num" w:pos="5760"/>
        </w:tabs>
        <w:ind w:left="5760" w:hanging="360"/>
      </w:pPr>
      <w:rPr>
        <w:rFonts w:ascii="Times New Roman" w:hAnsi="Times New Roman" w:hint="default"/>
      </w:rPr>
    </w:lvl>
    <w:lvl w:ilvl="8" w:tplc="D408C59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9FF1C47"/>
    <w:multiLevelType w:val="hybridMultilevel"/>
    <w:tmpl w:val="D1AC45DC"/>
    <w:lvl w:ilvl="0" w:tplc="1D36F490">
      <w:start w:val="3"/>
      <w:numFmt w:val="bullet"/>
      <w:lvlText w:val="-"/>
      <w:lvlJc w:val="left"/>
      <w:pPr>
        <w:ind w:left="720" w:hanging="360"/>
      </w:pPr>
      <w:rPr>
        <w:rFonts w:ascii="Sylfaen" w:eastAsiaTheme="minorHAnsi" w:hAnsi="Sylfae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D6F71"/>
    <w:multiLevelType w:val="hybridMultilevel"/>
    <w:tmpl w:val="3D10D9D4"/>
    <w:lvl w:ilvl="0" w:tplc="549C466E">
      <w:start w:val="1"/>
      <w:numFmt w:val="bullet"/>
      <w:lvlText w:val="•"/>
      <w:lvlJc w:val="left"/>
      <w:pPr>
        <w:ind w:left="720" w:hanging="360"/>
      </w:pPr>
      <w:rPr>
        <w:rFonts w:ascii="Arial" w:hAnsi="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5D2DC7"/>
    <w:multiLevelType w:val="hybridMultilevel"/>
    <w:tmpl w:val="BE101102"/>
    <w:lvl w:ilvl="0" w:tplc="716CBF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3E2DA4"/>
    <w:multiLevelType w:val="hybridMultilevel"/>
    <w:tmpl w:val="2FB21332"/>
    <w:lvl w:ilvl="0" w:tplc="6148A520">
      <w:numFmt w:val="bullet"/>
      <w:lvlText w:val="-"/>
      <w:lvlJc w:val="left"/>
      <w:pPr>
        <w:ind w:left="720" w:hanging="360"/>
      </w:pPr>
      <w:rPr>
        <w:rFonts w:ascii="Sylfaen" w:eastAsiaTheme="minorHAns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390DE7"/>
    <w:multiLevelType w:val="hybridMultilevel"/>
    <w:tmpl w:val="01521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E74AA1"/>
    <w:multiLevelType w:val="hybridMultilevel"/>
    <w:tmpl w:val="7D40A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9E0BD2"/>
    <w:multiLevelType w:val="hybridMultilevel"/>
    <w:tmpl w:val="55CA8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085DBD"/>
    <w:multiLevelType w:val="hybridMultilevel"/>
    <w:tmpl w:val="C986A088"/>
    <w:lvl w:ilvl="0" w:tplc="549C466E">
      <w:start w:val="1"/>
      <w:numFmt w:val="bullet"/>
      <w:lvlText w:val="•"/>
      <w:lvlJc w:val="left"/>
      <w:pPr>
        <w:ind w:left="720" w:hanging="360"/>
      </w:pPr>
      <w:rPr>
        <w:rFonts w:ascii="Arial" w:hAnsi="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66EF8"/>
    <w:multiLevelType w:val="hybridMultilevel"/>
    <w:tmpl w:val="EF62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7645B"/>
    <w:multiLevelType w:val="hybridMultilevel"/>
    <w:tmpl w:val="82AEAD84"/>
    <w:lvl w:ilvl="0" w:tplc="0409000F">
      <w:start w:val="1"/>
      <w:numFmt w:val="decimal"/>
      <w:lvlText w:val="%1."/>
      <w:lvlJc w:val="left"/>
      <w:pPr>
        <w:tabs>
          <w:tab w:val="num" w:pos="720"/>
        </w:tabs>
        <w:ind w:left="720" w:hanging="360"/>
      </w:pPr>
      <w:rPr>
        <w:rFonts w:hint="default"/>
        <w:b/>
        <w:i w:val="0"/>
        <w:u w:color="FFFFFF" w:themeColor="background1"/>
      </w:rPr>
    </w:lvl>
    <w:lvl w:ilvl="1" w:tplc="919C83AE" w:tentative="1">
      <w:start w:val="1"/>
      <w:numFmt w:val="bullet"/>
      <w:lvlText w:val="•"/>
      <w:lvlJc w:val="left"/>
      <w:pPr>
        <w:tabs>
          <w:tab w:val="num" w:pos="1440"/>
        </w:tabs>
        <w:ind w:left="1440" w:hanging="360"/>
      </w:pPr>
      <w:rPr>
        <w:rFonts w:ascii="Arial" w:hAnsi="Arial" w:hint="default"/>
      </w:rPr>
    </w:lvl>
    <w:lvl w:ilvl="2" w:tplc="4C12DE8C" w:tentative="1">
      <w:start w:val="1"/>
      <w:numFmt w:val="bullet"/>
      <w:lvlText w:val="•"/>
      <w:lvlJc w:val="left"/>
      <w:pPr>
        <w:tabs>
          <w:tab w:val="num" w:pos="2160"/>
        </w:tabs>
        <w:ind w:left="2160" w:hanging="360"/>
      </w:pPr>
      <w:rPr>
        <w:rFonts w:ascii="Arial" w:hAnsi="Arial" w:hint="default"/>
      </w:rPr>
    </w:lvl>
    <w:lvl w:ilvl="3" w:tplc="585EA9B6" w:tentative="1">
      <w:start w:val="1"/>
      <w:numFmt w:val="bullet"/>
      <w:lvlText w:val="•"/>
      <w:lvlJc w:val="left"/>
      <w:pPr>
        <w:tabs>
          <w:tab w:val="num" w:pos="2880"/>
        </w:tabs>
        <w:ind w:left="2880" w:hanging="360"/>
      </w:pPr>
      <w:rPr>
        <w:rFonts w:ascii="Arial" w:hAnsi="Arial" w:hint="default"/>
      </w:rPr>
    </w:lvl>
    <w:lvl w:ilvl="4" w:tplc="50040F10" w:tentative="1">
      <w:start w:val="1"/>
      <w:numFmt w:val="bullet"/>
      <w:lvlText w:val="•"/>
      <w:lvlJc w:val="left"/>
      <w:pPr>
        <w:tabs>
          <w:tab w:val="num" w:pos="3600"/>
        </w:tabs>
        <w:ind w:left="3600" w:hanging="360"/>
      </w:pPr>
      <w:rPr>
        <w:rFonts w:ascii="Arial" w:hAnsi="Arial" w:hint="default"/>
      </w:rPr>
    </w:lvl>
    <w:lvl w:ilvl="5" w:tplc="16DC4B36" w:tentative="1">
      <w:start w:val="1"/>
      <w:numFmt w:val="bullet"/>
      <w:lvlText w:val="•"/>
      <w:lvlJc w:val="left"/>
      <w:pPr>
        <w:tabs>
          <w:tab w:val="num" w:pos="4320"/>
        </w:tabs>
        <w:ind w:left="4320" w:hanging="360"/>
      </w:pPr>
      <w:rPr>
        <w:rFonts w:ascii="Arial" w:hAnsi="Arial" w:hint="default"/>
      </w:rPr>
    </w:lvl>
    <w:lvl w:ilvl="6" w:tplc="D584C2EC" w:tentative="1">
      <w:start w:val="1"/>
      <w:numFmt w:val="bullet"/>
      <w:lvlText w:val="•"/>
      <w:lvlJc w:val="left"/>
      <w:pPr>
        <w:tabs>
          <w:tab w:val="num" w:pos="5040"/>
        </w:tabs>
        <w:ind w:left="5040" w:hanging="360"/>
      </w:pPr>
      <w:rPr>
        <w:rFonts w:ascii="Arial" w:hAnsi="Arial" w:hint="default"/>
      </w:rPr>
    </w:lvl>
    <w:lvl w:ilvl="7" w:tplc="8DB6E254" w:tentative="1">
      <w:start w:val="1"/>
      <w:numFmt w:val="bullet"/>
      <w:lvlText w:val="•"/>
      <w:lvlJc w:val="left"/>
      <w:pPr>
        <w:tabs>
          <w:tab w:val="num" w:pos="5760"/>
        </w:tabs>
        <w:ind w:left="5760" w:hanging="360"/>
      </w:pPr>
      <w:rPr>
        <w:rFonts w:ascii="Arial" w:hAnsi="Arial" w:hint="default"/>
      </w:rPr>
    </w:lvl>
    <w:lvl w:ilvl="8" w:tplc="509E0CE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8410C0B"/>
    <w:multiLevelType w:val="hybridMultilevel"/>
    <w:tmpl w:val="D0E2FE1E"/>
    <w:lvl w:ilvl="0" w:tplc="6E1C88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3A3149"/>
    <w:multiLevelType w:val="hybridMultilevel"/>
    <w:tmpl w:val="F162C904"/>
    <w:lvl w:ilvl="0" w:tplc="89920E42">
      <w:start w:val="1"/>
      <w:numFmt w:val="decimal"/>
      <w:pStyle w:val="BVIfnrCarCarCarCarCha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1F39B5"/>
    <w:multiLevelType w:val="hybridMultilevel"/>
    <w:tmpl w:val="17CAE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6D12826"/>
    <w:multiLevelType w:val="hybridMultilevel"/>
    <w:tmpl w:val="4BB4A56E"/>
    <w:lvl w:ilvl="0" w:tplc="9DD6ABB8">
      <w:start w:val="4"/>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032151"/>
    <w:multiLevelType w:val="hybridMultilevel"/>
    <w:tmpl w:val="A518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95092A"/>
    <w:multiLevelType w:val="hybridMultilevel"/>
    <w:tmpl w:val="D78A40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DC16413"/>
    <w:multiLevelType w:val="hybridMultilevel"/>
    <w:tmpl w:val="D616BF3A"/>
    <w:lvl w:ilvl="0" w:tplc="C7C08396">
      <w:start w:val="1"/>
      <w:numFmt w:val="bullet"/>
      <w:lvlText w:val="-"/>
      <w:lvlJc w:val="left"/>
      <w:pPr>
        <w:tabs>
          <w:tab w:val="num" w:pos="720"/>
        </w:tabs>
        <w:ind w:left="720" w:hanging="360"/>
      </w:pPr>
      <w:rPr>
        <w:rFonts w:ascii="Times New Roman" w:hAnsi="Times New Roman" w:hint="default"/>
      </w:rPr>
    </w:lvl>
    <w:lvl w:ilvl="1" w:tplc="75747E66" w:tentative="1">
      <w:start w:val="1"/>
      <w:numFmt w:val="bullet"/>
      <w:lvlText w:val="-"/>
      <w:lvlJc w:val="left"/>
      <w:pPr>
        <w:tabs>
          <w:tab w:val="num" w:pos="1440"/>
        </w:tabs>
        <w:ind w:left="1440" w:hanging="360"/>
      </w:pPr>
      <w:rPr>
        <w:rFonts w:ascii="Times New Roman" w:hAnsi="Times New Roman" w:hint="default"/>
      </w:rPr>
    </w:lvl>
    <w:lvl w:ilvl="2" w:tplc="6B1C8FE6" w:tentative="1">
      <w:start w:val="1"/>
      <w:numFmt w:val="bullet"/>
      <w:lvlText w:val="-"/>
      <w:lvlJc w:val="left"/>
      <w:pPr>
        <w:tabs>
          <w:tab w:val="num" w:pos="2160"/>
        </w:tabs>
        <w:ind w:left="2160" w:hanging="360"/>
      </w:pPr>
      <w:rPr>
        <w:rFonts w:ascii="Times New Roman" w:hAnsi="Times New Roman" w:hint="default"/>
      </w:rPr>
    </w:lvl>
    <w:lvl w:ilvl="3" w:tplc="CE3665BC" w:tentative="1">
      <w:start w:val="1"/>
      <w:numFmt w:val="bullet"/>
      <w:lvlText w:val="-"/>
      <w:lvlJc w:val="left"/>
      <w:pPr>
        <w:tabs>
          <w:tab w:val="num" w:pos="2880"/>
        </w:tabs>
        <w:ind w:left="2880" w:hanging="360"/>
      </w:pPr>
      <w:rPr>
        <w:rFonts w:ascii="Times New Roman" w:hAnsi="Times New Roman" w:hint="default"/>
      </w:rPr>
    </w:lvl>
    <w:lvl w:ilvl="4" w:tplc="67B62E9E" w:tentative="1">
      <w:start w:val="1"/>
      <w:numFmt w:val="bullet"/>
      <w:lvlText w:val="-"/>
      <w:lvlJc w:val="left"/>
      <w:pPr>
        <w:tabs>
          <w:tab w:val="num" w:pos="3600"/>
        </w:tabs>
        <w:ind w:left="3600" w:hanging="360"/>
      </w:pPr>
      <w:rPr>
        <w:rFonts w:ascii="Times New Roman" w:hAnsi="Times New Roman" w:hint="default"/>
      </w:rPr>
    </w:lvl>
    <w:lvl w:ilvl="5" w:tplc="EB3621FA" w:tentative="1">
      <w:start w:val="1"/>
      <w:numFmt w:val="bullet"/>
      <w:lvlText w:val="-"/>
      <w:lvlJc w:val="left"/>
      <w:pPr>
        <w:tabs>
          <w:tab w:val="num" w:pos="4320"/>
        </w:tabs>
        <w:ind w:left="4320" w:hanging="360"/>
      </w:pPr>
      <w:rPr>
        <w:rFonts w:ascii="Times New Roman" w:hAnsi="Times New Roman" w:hint="default"/>
      </w:rPr>
    </w:lvl>
    <w:lvl w:ilvl="6" w:tplc="D3588738" w:tentative="1">
      <w:start w:val="1"/>
      <w:numFmt w:val="bullet"/>
      <w:lvlText w:val="-"/>
      <w:lvlJc w:val="left"/>
      <w:pPr>
        <w:tabs>
          <w:tab w:val="num" w:pos="5040"/>
        </w:tabs>
        <w:ind w:left="5040" w:hanging="360"/>
      </w:pPr>
      <w:rPr>
        <w:rFonts w:ascii="Times New Roman" w:hAnsi="Times New Roman" w:hint="default"/>
      </w:rPr>
    </w:lvl>
    <w:lvl w:ilvl="7" w:tplc="FCBA2EA4" w:tentative="1">
      <w:start w:val="1"/>
      <w:numFmt w:val="bullet"/>
      <w:lvlText w:val="-"/>
      <w:lvlJc w:val="left"/>
      <w:pPr>
        <w:tabs>
          <w:tab w:val="num" w:pos="5760"/>
        </w:tabs>
        <w:ind w:left="5760" w:hanging="360"/>
      </w:pPr>
      <w:rPr>
        <w:rFonts w:ascii="Times New Roman" w:hAnsi="Times New Roman" w:hint="default"/>
      </w:rPr>
    </w:lvl>
    <w:lvl w:ilvl="8" w:tplc="C292E75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07D2BF6"/>
    <w:multiLevelType w:val="hybridMultilevel"/>
    <w:tmpl w:val="778EE69E"/>
    <w:lvl w:ilvl="0" w:tplc="549C466E">
      <w:start w:val="1"/>
      <w:numFmt w:val="bullet"/>
      <w:lvlText w:val="•"/>
      <w:lvlJc w:val="left"/>
      <w:pPr>
        <w:ind w:left="720" w:hanging="360"/>
      </w:pPr>
      <w:rPr>
        <w:rFonts w:ascii="Arial" w:hAnsi="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6F326B"/>
    <w:multiLevelType w:val="hybridMultilevel"/>
    <w:tmpl w:val="DD4ADC6A"/>
    <w:lvl w:ilvl="0" w:tplc="E8F213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CE5466"/>
    <w:multiLevelType w:val="hybridMultilevel"/>
    <w:tmpl w:val="0E089D98"/>
    <w:lvl w:ilvl="0" w:tplc="26607312">
      <w:start w:val="1"/>
      <w:numFmt w:val="bullet"/>
      <w:lvlText w:val=""/>
      <w:lvlJc w:val="left"/>
      <w:pPr>
        <w:ind w:left="360" w:hanging="360"/>
      </w:pPr>
      <w:rPr>
        <w:rFonts w:ascii="Symbol" w:hAnsi="Symbol" w:hint="default"/>
        <w:color w:val="auto"/>
        <w:u w:color="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8A75E3"/>
    <w:multiLevelType w:val="hybridMultilevel"/>
    <w:tmpl w:val="953246E0"/>
    <w:lvl w:ilvl="0" w:tplc="54EC3CC8">
      <w:start w:val="1"/>
      <w:numFmt w:val="bullet"/>
      <w:lvlText w:val="•"/>
      <w:lvlJc w:val="left"/>
      <w:pPr>
        <w:tabs>
          <w:tab w:val="num" w:pos="720"/>
        </w:tabs>
        <w:ind w:left="720" w:hanging="360"/>
      </w:pPr>
      <w:rPr>
        <w:rFonts w:ascii="Arial" w:hAnsi="Arial" w:hint="default"/>
      </w:rPr>
    </w:lvl>
    <w:lvl w:ilvl="1" w:tplc="0FE652EE" w:tentative="1">
      <w:start w:val="1"/>
      <w:numFmt w:val="bullet"/>
      <w:lvlText w:val="•"/>
      <w:lvlJc w:val="left"/>
      <w:pPr>
        <w:tabs>
          <w:tab w:val="num" w:pos="1440"/>
        </w:tabs>
        <w:ind w:left="1440" w:hanging="360"/>
      </w:pPr>
      <w:rPr>
        <w:rFonts w:ascii="Arial" w:hAnsi="Arial" w:hint="default"/>
      </w:rPr>
    </w:lvl>
    <w:lvl w:ilvl="2" w:tplc="0F569168" w:tentative="1">
      <w:start w:val="1"/>
      <w:numFmt w:val="bullet"/>
      <w:lvlText w:val="•"/>
      <w:lvlJc w:val="left"/>
      <w:pPr>
        <w:tabs>
          <w:tab w:val="num" w:pos="2160"/>
        </w:tabs>
        <w:ind w:left="2160" w:hanging="360"/>
      </w:pPr>
      <w:rPr>
        <w:rFonts w:ascii="Arial" w:hAnsi="Arial" w:hint="default"/>
      </w:rPr>
    </w:lvl>
    <w:lvl w:ilvl="3" w:tplc="C6625428" w:tentative="1">
      <w:start w:val="1"/>
      <w:numFmt w:val="bullet"/>
      <w:lvlText w:val="•"/>
      <w:lvlJc w:val="left"/>
      <w:pPr>
        <w:tabs>
          <w:tab w:val="num" w:pos="2880"/>
        </w:tabs>
        <w:ind w:left="2880" w:hanging="360"/>
      </w:pPr>
      <w:rPr>
        <w:rFonts w:ascii="Arial" w:hAnsi="Arial" w:hint="default"/>
      </w:rPr>
    </w:lvl>
    <w:lvl w:ilvl="4" w:tplc="F0384126" w:tentative="1">
      <w:start w:val="1"/>
      <w:numFmt w:val="bullet"/>
      <w:lvlText w:val="•"/>
      <w:lvlJc w:val="left"/>
      <w:pPr>
        <w:tabs>
          <w:tab w:val="num" w:pos="3600"/>
        </w:tabs>
        <w:ind w:left="3600" w:hanging="360"/>
      </w:pPr>
      <w:rPr>
        <w:rFonts w:ascii="Arial" w:hAnsi="Arial" w:hint="default"/>
      </w:rPr>
    </w:lvl>
    <w:lvl w:ilvl="5" w:tplc="DA1E6760" w:tentative="1">
      <w:start w:val="1"/>
      <w:numFmt w:val="bullet"/>
      <w:lvlText w:val="•"/>
      <w:lvlJc w:val="left"/>
      <w:pPr>
        <w:tabs>
          <w:tab w:val="num" w:pos="4320"/>
        </w:tabs>
        <w:ind w:left="4320" w:hanging="360"/>
      </w:pPr>
      <w:rPr>
        <w:rFonts w:ascii="Arial" w:hAnsi="Arial" w:hint="default"/>
      </w:rPr>
    </w:lvl>
    <w:lvl w:ilvl="6" w:tplc="2DB62178" w:tentative="1">
      <w:start w:val="1"/>
      <w:numFmt w:val="bullet"/>
      <w:lvlText w:val="•"/>
      <w:lvlJc w:val="left"/>
      <w:pPr>
        <w:tabs>
          <w:tab w:val="num" w:pos="5040"/>
        </w:tabs>
        <w:ind w:left="5040" w:hanging="360"/>
      </w:pPr>
      <w:rPr>
        <w:rFonts w:ascii="Arial" w:hAnsi="Arial" w:hint="default"/>
      </w:rPr>
    </w:lvl>
    <w:lvl w:ilvl="7" w:tplc="5F128D08" w:tentative="1">
      <w:start w:val="1"/>
      <w:numFmt w:val="bullet"/>
      <w:lvlText w:val="•"/>
      <w:lvlJc w:val="left"/>
      <w:pPr>
        <w:tabs>
          <w:tab w:val="num" w:pos="5760"/>
        </w:tabs>
        <w:ind w:left="5760" w:hanging="360"/>
      </w:pPr>
      <w:rPr>
        <w:rFonts w:ascii="Arial" w:hAnsi="Arial" w:hint="default"/>
      </w:rPr>
    </w:lvl>
    <w:lvl w:ilvl="8" w:tplc="01CC6C7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23F1245"/>
    <w:multiLevelType w:val="hybridMultilevel"/>
    <w:tmpl w:val="111266B0"/>
    <w:lvl w:ilvl="0" w:tplc="C884F7E4">
      <w:start w:val="1"/>
      <w:numFmt w:val="bullet"/>
      <w:lvlText w:val="•"/>
      <w:lvlJc w:val="left"/>
      <w:pPr>
        <w:tabs>
          <w:tab w:val="num" w:pos="720"/>
        </w:tabs>
        <w:ind w:left="720" w:hanging="360"/>
      </w:pPr>
      <w:rPr>
        <w:rFonts w:ascii="Arial" w:hAnsi="Arial" w:hint="default"/>
      </w:rPr>
    </w:lvl>
    <w:lvl w:ilvl="1" w:tplc="8D100FC0">
      <w:start w:val="1"/>
      <w:numFmt w:val="bullet"/>
      <w:lvlText w:val="•"/>
      <w:lvlJc w:val="left"/>
      <w:pPr>
        <w:tabs>
          <w:tab w:val="num" w:pos="1440"/>
        </w:tabs>
        <w:ind w:left="1440" w:hanging="360"/>
      </w:pPr>
      <w:rPr>
        <w:rFonts w:ascii="Arial" w:hAnsi="Arial" w:hint="default"/>
      </w:rPr>
    </w:lvl>
    <w:lvl w:ilvl="2" w:tplc="84145C5A">
      <w:numFmt w:val="bullet"/>
      <w:lvlText w:val="•"/>
      <w:lvlJc w:val="left"/>
      <w:pPr>
        <w:tabs>
          <w:tab w:val="num" w:pos="2160"/>
        </w:tabs>
        <w:ind w:left="2160" w:hanging="360"/>
      </w:pPr>
      <w:rPr>
        <w:rFonts w:ascii="Arial" w:hAnsi="Arial" w:hint="default"/>
      </w:rPr>
    </w:lvl>
    <w:lvl w:ilvl="3" w:tplc="49E2C340" w:tentative="1">
      <w:start w:val="1"/>
      <w:numFmt w:val="bullet"/>
      <w:lvlText w:val="•"/>
      <w:lvlJc w:val="left"/>
      <w:pPr>
        <w:tabs>
          <w:tab w:val="num" w:pos="2880"/>
        </w:tabs>
        <w:ind w:left="2880" w:hanging="360"/>
      </w:pPr>
      <w:rPr>
        <w:rFonts w:ascii="Arial" w:hAnsi="Arial" w:hint="default"/>
      </w:rPr>
    </w:lvl>
    <w:lvl w:ilvl="4" w:tplc="FEB2B0D4" w:tentative="1">
      <w:start w:val="1"/>
      <w:numFmt w:val="bullet"/>
      <w:lvlText w:val="•"/>
      <w:lvlJc w:val="left"/>
      <w:pPr>
        <w:tabs>
          <w:tab w:val="num" w:pos="3600"/>
        </w:tabs>
        <w:ind w:left="3600" w:hanging="360"/>
      </w:pPr>
      <w:rPr>
        <w:rFonts w:ascii="Arial" w:hAnsi="Arial" w:hint="default"/>
      </w:rPr>
    </w:lvl>
    <w:lvl w:ilvl="5" w:tplc="4C54A186" w:tentative="1">
      <w:start w:val="1"/>
      <w:numFmt w:val="bullet"/>
      <w:lvlText w:val="•"/>
      <w:lvlJc w:val="left"/>
      <w:pPr>
        <w:tabs>
          <w:tab w:val="num" w:pos="4320"/>
        </w:tabs>
        <w:ind w:left="4320" w:hanging="360"/>
      </w:pPr>
      <w:rPr>
        <w:rFonts w:ascii="Arial" w:hAnsi="Arial" w:hint="default"/>
      </w:rPr>
    </w:lvl>
    <w:lvl w:ilvl="6" w:tplc="3C9CBF94" w:tentative="1">
      <w:start w:val="1"/>
      <w:numFmt w:val="bullet"/>
      <w:lvlText w:val="•"/>
      <w:lvlJc w:val="left"/>
      <w:pPr>
        <w:tabs>
          <w:tab w:val="num" w:pos="5040"/>
        </w:tabs>
        <w:ind w:left="5040" w:hanging="360"/>
      </w:pPr>
      <w:rPr>
        <w:rFonts w:ascii="Arial" w:hAnsi="Arial" w:hint="default"/>
      </w:rPr>
    </w:lvl>
    <w:lvl w:ilvl="7" w:tplc="394220DE" w:tentative="1">
      <w:start w:val="1"/>
      <w:numFmt w:val="bullet"/>
      <w:lvlText w:val="•"/>
      <w:lvlJc w:val="left"/>
      <w:pPr>
        <w:tabs>
          <w:tab w:val="num" w:pos="5760"/>
        </w:tabs>
        <w:ind w:left="5760" w:hanging="360"/>
      </w:pPr>
      <w:rPr>
        <w:rFonts w:ascii="Arial" w:hAnsi="Arial" w:hint="default"/>
      </w:rPr>
    </w:lvl>
    <w:lvl w:ilvl="8" w:tplc="676C357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2E61B63"/>
    <w:multiLevelType w:val="hybridMultilevel"/>
    <w:tmpl w:val="9B20A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882962"/>
    <w:multiLevelType w:val="hybridMultilevel"/>
    <w:tmpl w:val="93A4A802"/>
    <w:lvl w:ilvl="0" w:tplc="0A5004A6">
      <w:numFmt w:val="bullet"/>
      <w:lvlText w:val="-"/>
      <w:lvlJc w:val="left"/>
      <w:pPr>
        <w:ind w:left="720" w:hanging="360"/>
      </w:pPr>
      <w:rPr>
        <w:rFonts w:ascii="Sylfaen" w:eastAsiaTheme="minorHAns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4E3358"/>
    <w:multiLevelType w:val="hybridMultilevel"/>
    <w:tmpl w:val="F56E244A"/>
    <w:lvl w:ilvl="0" w:tplc="A5C28D3E">
      <w:start w:val="1"/>
      <w:numFmt w:val="bullet"/>
      <w:lvlText w:val="-"/>
      <w:lvlJc w:val="left"/>
      <w:pPr>
        <w:tabs>
          <w:tab w:val="num" w:pos="720"/>
        </w:tabs>
        <w:ind w:left="720" w:hanging="360"/>
      </w:pPr>
      <w:rPr>
        <w:rFonts w:ascii="Times New Roman" w:hAnsi="Times New Roman" w:hint="default"/>
      </w:rPr>
    </w:lvl>
    <w:lvl w:ilvl="1" w:tplc="F6885054" w:tentative="1">
      <w:start w:val="1"/>
      <w:numFmt w:val="bullet"/>
      <w:lvlText w:val="-"/>
      <w:lvlJc w:val="left"/>
      <w:pPr>
        <w:tabs>
          <w:tab w:val="num" w:pos="1440"/>
        </w:tabs>
        <w:ind w:left="1440" w:hanging="360"/>
      </w:pPr>
      <w:rPr>
        <w:rFonts w:ascii="Times New Roman" w:hAnsi="Times New Roman" w:hint="default"/>
      </w:rPr>
    </w:lvl>
    <w:lvl w:ilvl="2" w:tplc="FFECA9C2" w:tentative="1">
      <w:start w:val="1"/>
      <w:numFmt w:val="bullet"/>
      <w:lvlText w:val="-"/>
      <w:lvlJc w:val="left"/>
      <w:pPr>
        <w:tabs>
          <w:tab w:val="num" w:pos="2160"/>
        </w:tabs>
        <w:ind w:left="2160" w:hanging="360"/>
      </w:pPr>
      <w:rPr>
        <w:rFonts w:ascii="Times New Roman" w:hAnsi="Times New Roman" w:hint="default"/>
      </w:rPr>
    </w:lvl>
    <w:lvl w:ilvl="3" w:tplc="E77AB992" w:tentative="1">
      <w:start w:val="1"/>
      <w:numFmt w:val="bullet"/>
      <w:lvlText w:val="-"/>
      <w:lvlJc w:val="left"/>
      <w:pPr>
        <w:tabs>
          <w:tab w:val="num" w:pos="2880"/>
        </w:tabs>
        <w:ind w:left="2880" w:hanging="360"/>
      </w:pPr>
      <w:rPr>
        <w:rFonts w:ascii="Times New Roman" w:hAnsi="Times New Roman" w:hint="default"/>
      </w:rPr>
    </w:lvl>
    <w:lvl w:ilvl="4" w:tplc="BC08ED6C" w:tentative="1">
      <w:start w:val="1"/>
      <w:numFmt w:val="bullet"/>
      <w:lvlText w:val="-"/>
      <w:lvlJc w:val="left"/>
      <w:pPr>
        <w:tabs>
          <w:tab w:val="num" w:pos="3600"/>
        </w:tabs>
        <w:ind w:left="3600" w:hanging="360"/>
      </w:pPr>
      <w:rPr>
        <w:rFonts w:ascii="Times New Roman" w:hAnsi="Times New Roman" w:hint="default"/>
      </w:rPr>
    </w:lvl>
    <w:lvl w:ilvl="5" w:tplc="D5B2AC20" w:tentative="1">
      <w:start w:val="1"/>
      <w:numFmt w:val="bullet"/>
      <w:lvlText w:val="-"/>
      <w:lvlJc w:val="left"/>
      <w:pPr>
        <w:tabs>
          <w:tab w:val="num" w:pos="4320"/>
        </w:tabs>
        <w:ind w:left="4320" w:hanging="360"/>
      </w:pPr>
      <w:rPr>
        <w:rFonts w:ascii="Times New Roman" w:hAnsi="Times New Roman" w:hint="default"/>
      </w:rPr>
    </w:lvl>
    <w:lvl w:ilvl="6" w:tplc="EBE0763E" w:tentative="1">
      <w:start w:val="1"/>
      <w:numFmt w:val="bullet"/>
      <w:lvlText w:val="-"/>
      <w:lvlJc w:val="left"/>
      <w:pPr>
        <w:tabs>
          <w:tab w:val="num" w:pos="5040"/>
        </w:tabs>
        <w:ind w:left="5040" w:hanging="360"/>
      </w:pPr>
      <w:rPr>
        <w:rFonts w:ascii="Times New Roman" w:hAnsi="Times New Roman" w:hint="default"/>
      </w:rPr>
    </w:lvl>
    <w:lvl w:ilvl="7" w:tplc="BF5227F8" w:tentative="1">
      <w:start w:val="1"/>
      <w:numFmt w:val="bullet"/>
      <w:lvlText w:val="-"/>
      <w:lvlJc w:val="left"/>
      <w:pPr>
        <w:tabs>
          <w:tab w:val="num" w:pos="5760"/>
        </w:tabs>
        <w:ind w:left="5760" w:hanging="360"/>
      </w:pPr>
      <w:rPr>
        <w:rFonts w:ascii="Times New Roman" w:hAnsi="Times New Roman" w:hint="default"/>
      </w:rPr>
    </w:lvl>
    <w:lvl w:ilvl="8" w:tplc="AB04501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B9B5EFF"/>
    <w:multiLevelType w:val="hybridMultilevel"/>
    <w:tmpl w:val="7A6C1352"/>
    <w:lvl w:ilvl="0" w:tplc="62001E0E">
      <w:numFmt w:val="bullet"/>
      <w:lvlText w:val="-"/>
      <w:lvlJc w:val="left"/>
      <w:pPr>
        <w:ind w:left="720" w:hanging="360"/>
      </w:pPr>
      <w:rPr>
        <w:rFonts w:ascii="Sylfaen" w:eastAsiaTheme="minorHAns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EB4162"/>
    <w:multiLevelType w:val="hybridMultilevel"/>
    <w:tmpl w:val="22A0CF90"/>
    <w:lvl w:ilvl="0" w:tplc="A5C28D3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866FD3"/>
    <w:multiLevelType w:val="hybridMultilevel"/>
    <w:tmpl w:val="92B6EEF8"/>
    <w:lvl w:ilvl="0" w:tplc="9960872E">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BB754F"/>
    <w:multiLevelType w:val="hybridMultilevel"/>
    <w:tmpl w:val="578856E2"/>
    <w:lvl w:ilvl="0" w:tplc="092C44F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3D21AA9"/>
    <w:multiLevelType w:val="hybridMultilevel"/>
    <w:tmpl w:val="2E3C0A0C"/>
    <w:lvl w:ilvl="0" w:tplc="067037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C04D5B"/>
    <w:multiLevelType w:val="hybridMultilevel"/>
    <w:tmpl w:val="E2C2B74E"/>
    <w:lvl w:ilvl="0" w:tplc="549C466E">
      <w:start w:val="1"/>
      <w:numFmt w:val="bullet"/>
      <w:lvlText w:val="•"/>
      <w:lvlJc w:val="left"/>
      <w:pPr>
        <w:ind w:left="720" w:hanging="360"/>
      </w:pPr>
      <w:rPr>
        <w:rFonts w:ascii="Arial" w:hAnsi="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F05CBA"/>
    <w:multiLevelType w:val="hybridMultilevel"/>
    <w:tmpl w:val="199A71E0"/>
    <w:lvl w:ilvl="0" w:tplc="FA8EDAA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711723"/>
    <w:multiLevelType w:val="hybridMultilevel"/>
    <w:tmpl w:val="C2DAC640"/>
    <w:lvl w:ilvl="0" w:tplc="0094A198">
      <w:start w:val="1"/>
      <w:numFmt w:val="bullet"/>
      <w:lvlText w:val="-"/>
      <w:lvlJc w:val="left"/>
      <w:pPr>
        <w:tabs>
          <w:tab w:val="num" w:pos="720"/>
        </w:tabs>
        <w:ind w:left="720" w:hanging="360"/>
      </w:pPr>
      <w:rPr>
        <w:rFonts w:ascii="Times New Roman" w:hAnsi="Times New Roman" w:hint="default"/>
      </w:rPr>
    </w:lvl>
    <w:lvl w:ilvl="1" w:tplc="C1A449FC" w:tentative="1">
      <w:start w:val="1"/>
      <w:numFmt w:val="bullet"/>
      <w:lvlText w:val="-"/>
      <w:lvlJc w:val="left"/>
      <w:pPr>
        <w:tabs>
          <w:tab w:val="num" w:pos="1440"/>
        </w:tabs>
        <w:ind w:left="1440" w:hanging="360"/>
      </w:pPr>
      <w:rPr>
        <w:rFonts w:ascii="Times New Roman" w:hAnsi="Times New Roman" w:hint="default"/>
      </w:rPr>
    </w:lvl>
    <w:lvl w:ilvl="2" w:tplc="977E439E" w:tentative="1">
      <w:start w:val="1"/>
      <w:numFmt w:val="bullet"/>
      <w:lvlText w:val="-"/>
      <w:lvlJc w:val="left"/>
      <w:pPr>
        <w:tabs>
          <w:tab w:val="num" w:pos="2160"/>
        </w:tabs>
        <w:ind w:left="2160" w:hanging="360"/>
      </w:pPr>
      <w:rPr>
        <w:rFonts w:ascii="Times New Roman" w:hAnsi="Times New Roman" w:hint="default"/>
      </w:rPr>
    </w:lvl>
    <w:lvl w:ilvl="3" w:tplc="57C216D4" w:tentative="1">
      <w:start w:val="1"/>
      <w:numFmt w:val="bullet"/>
      <w:lvlText w:val="-"/>
      <w:lvlJc w:val="left"/>
      <w:pPr>
        <w:tabs>
          <w:tab w:val="num" w:pos="2880"/>
        </w:tabs>
        <w:ind w:left="2880" w:hanging="360"/>
      </w:pPr>
      <w:rPr>
        <w:rFonts w:ascii="Times New Roman" w:hAnsi="Times New Roman" w:hint="default"/>
      </w:rPr>
    </w:lvl>
    <w:lvl w:ilvl="4" w:tplc="27B82698" w:tentative="1">
      <w:start w:val="1"/>
      <w:numFmt w:val="bullet"/>
      <w:lvlText w:val="-"/>
      <w:lvlJc w:val="left"/>
      <w:pPr>
        <w:tabs>
          <w:tab w:val="num" w:pos="3600"/>
        </w:tabs>
        <w:ind w:left="3600" w:hanging="360"/>
      </w:pPr>
      <w:rPr>
        <w:rFonts w:ascii="Times New Roman" w:hAnsi="Times New Roman" w:hint="default"/>
      </w:rPr>
    </w:lvl>
    <w:lvl w:ilvl="5" w:tplc="FE0EF2B0" w:tentative="1">
      <w:start w:val="1"/>
      <w:numFmt w:val="bullet"/>
      <w:lvlText w:val="-"/>
      <w:lvlJc w:val="left"/>
      <w:pPr>
        <w:tabs>
          <w:tab w:val="num" w:pos="4320"/>
        </w:tabs>
        <w:ind w:left="4320" w:hanging="360"/>
      </w:pPr>
      <w:rPr>
        <w:rFonts w:ascii="Times New Roman" w:hAnsi="Times New Roman" w:hint="default"/>
      </w:rPr>
    </w:lvl>
    <w:lvl w:ilvl="6" w:tplc="EB1E9018" w:tentative="1">
      <w:start w:val="1"/>
      <w:numFmt w:val="bullet"/>
      <w:lvlText w:val="-"/>
      <w:lvlJc w:val="left"/>
      <w:pPr>
        <w:tabs>
          <w:tab w:val="num" w:pos="5040"/>
        </w:tabs>
        <w:ind w:left="5040" w:hanging="360"/>
      </w:pPr>
      <w:rPr>
        <w:rFonts w:ascii="Times New Roman" w:hAnsi="Times New Roman" w:hint="default"/>
      </w:rPr>
    </w:lvl>
    <w:lvl w:ilvl="7" w:tplc="84D4442E" w:tentative="1">
      <w:start w:val="1"/>
      <w:numFmt w:val="bullet"/>
      <w:lvlText w:val="-"/>
      <w:lvlJc w:val="left"/>
      <w:pPr>
        <w:tabs>
          <w:tab w:val="num" w:pos="5760"/>
        </w:tabs>
        <w:ind w:left="5760" w:hanging="360"/>
      </w:pPr>
      <w:rPr>
        <w:rFonts w:ascii="Times New Roman" w:hAnsi="Times New Roman" w:hint="default"/>
      </w:rPr>
    </w:lvl>
    <w:lvl w:ilvl="8" w:tplc="EBD83C46"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67B1FD8"/>
    <w:multiLevelType w:val="hybridMultilevel"/>
    <w:tmpl w:val="87845728"/>
    <w:lvl w:ilvl="0" w:tplc="CB7CE0FA">
      <w:start w:val="1"/>
      <w:numFmt w:val="upperLetter"/>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6C251C6"/>
    <w:multiLevelType w:val="hybridMultilevel"/>
    <w:tmpl w:val="1084F63C"/>
    <w:lvl w:ilvl="0" w:tplc="090EA864">
      <w:start w:val="1"/>
      <w:numFmt w:val="decimal"/>
      <w:lvlText w:val="%1."/>
      <w:lvlJc w:val="left"/>
      <w:pPr>
        <w:tabs>
          <w:tab w:val="num" w:pos="720"/>
        </w:tabs>
        <w:ind w:left="720" w:hanging="360"/>
      </w:pPr>
      <w:rPr>
        <w:b/>
      </w:rPr>
    </w:lvl>
    <w:lvl w:ilvl="1" w:tplc="B9161962" w:tentative="1">
      <w:start w:val="1"/>
      <w:numFmt w:val="decimal"/>
      <w:lvlText w:val="%2."/>
      <w:lvlJc w:val="left"/>
      <w:pPr>
        <w:tabs>
          <w:tab w:val="num" w:pos="1440"/>
        </w:tabs>
        <w:ind w:left="1440" w:hanging="360"/>
      </w:pPr>
    </w:lvl>
    <w:lvl w:ilvl="2" w:tplc="474A6612" w:tentative="1">
      <w:start w:val="1"/>
      <w:numFmt w:val="decimal"/>
      <w:lvlText w:val="%3."/>
      <w:lvlJc w:val="left"/>
      <w:pPr>
        <w:tabs>
          <w:tab w:val="num" w:pos="2160"/>
        </w:tabs>
        <w:ind w:left="2160" w:hanging="360"/>
      </w:pPr>
    </w:lvl>
    <w:lvl w:ilvl="3" w:tplc="3D8A25C4" w:tentative="1">
      <w:start w:val="1"/>
      <w:numFmt w:val="decimal"/>
      <w:lvlText w:val="%4."/>
      <w:lvlJc w:val="left"/>
      <w:pPr>
        <w:tabs>
          <w:tab w:val="num" w:pos="2880"/>
        </w:tabs>
        <w:ind w:left="2880" w:hanging="360"/>
      </w:pPr>
    </w:lvl>
    <w:lvl w:ilvl="4" w:tplc="2542BE2E" w:tentative="1">
      <w:start w:val="1"/>
      <w:numFmt w:val="decimal"/>
      <w:lvlText w:val="%5."/>
      <w:lvlJc w:val="left"/>
      <w:pPr>
        <w:tabs>
          <w:tab w:val="num" w:pos="3600"/>
        </w:tabs>
        <w:ind w:left="3600" w:hanging="360"/>
      </w:pPr>
    </w:lvl>
    <w:lvl w:ilvl="5" w:tplc="993C2C20" w:tentative="1">
      <w:start w:val="1"/>
      <w:numFmt w:val="decimal"/>
      <w:lvlText w:val="%6."/>
      <w:lvlJc w:val="left"/>
      <w:pPr>
        <w:tabs>
          <w:tab w:val="num" w:pos="4320"/>
        </w:tabs>
        <w:ind w:left="4320" w:hanging="360"/>
      </w:pPr>
    </w:lvl>
    <w:lvl w:ilvl="6" w:tplc="5518E222" w:tentative="1">
      <w:start w:val="1"/>
      <w:numFmt w:val="decimal"/>
      <w:lvlText w:val="%7."/>
      <w:lvlJc w:val="left"/>
      <w:pPr>
        <w:tabs>
          <w:tab w:val="num" w:pos="5040"/>
        </w:tabs>
        <w:ind w:left="5040" w:hanging="360"/>
      </w:pPr>
    </w:lvl>
    <w:lvl w:ilvl="7" w:tplc="E8FA3CCA" w:tentative="1">
      <w:start w:val="1"/>
      <w:numFmt w:val="decimal"/>
      <w:lvlText w:val="%8."/>
      <w:lvlJc w:val="left"/>
      <w:pPr>
        <w:tabs>
          <w:tab w:val="num" w:pos="5760"/>
        </w:tabs>
        <w:ind w:left="5760" w:hanging="360"/>
      </w:pPr>
    </w:lvl>
    <w:lvl w:ilvl="8" w:tplc="65FA972A" w:tentative="1">
      <w:start w:val="1"/>
      <w:numFmt w:val="decimal"/>
      <w:lvlText w:val="%9."/>
      <w:lvlJc w:val="left"/>
      <w:pPr>
        <w:tabs>
          <w:tab w:val="num" w:pos="6480"/>
        </w:tabs>
        <w:ind w:left="6480" w:hanging="360"/>
      </w:pPr>
    </w:lvl>
  </w:abstractNum>
  <w:abstractNum w:abstractNumId="40" w15:restartNumberingAfterBreak="0">
    <w:nsid w:val="7AFF668A"/>
    <w:multiLevelType w:val="hybridMultilevel"/>
    <w:tmpl w:val="DD4ADC6A"/>
    <w:lvl w:ilvl="0" w:tplc="E8F213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646DC9"/>
    <w:multiLevelType w:val="hybridMultilevel"/>
    <w:tmpl w:val="5E6EF4A2"/>
    <w:lvl w:ilvl="0" w:tplc="D8AE33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D0234C"/>
    <w:multiLevelType w:val="hybridMultilevel"/>
    <w:tmpl w:val="84309806"/>
    <w:lvl w:ilvl="0" w:tplc="549C466E">
      <w:start w:val="1"/>
      <w:numFmt w:val="bullet"/>
      <w:lvlText w:val="•"/>
      <w:lvlJc w:val="left"/>
      <w:pPr>
        <w:ind w:left="720" w:hanging="360"/>
      </w:pPr>
      <w:rPr>
        <w:rFonts w:ascii="Arial" w:hAnsi="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6"/>
  </w:num>
  <w:num w:numId="3">
    <w:abstractNumId w:val="33"/>
  </w:num>
  <w:num w:numId="4">
    <w:abstractNumId w:val="25"/>
  </w:num>
  <w:num w:numId="5">
    <w:abstractNumId w:val="3"/>
  </w:num>
  <w:num w:numId="6">
    <w:abstractNumId w:val="22"/>
  </w:num>
  <w:num w:numId="7">
    <w:abstractNumId w:val="6"/>
  </w:num>
  <w:num w:numId="8">
    <w:abstractNumId w:val="9"/>
  </w:num>
  <w:num w:numId="9">
    <w:abstractNumId w:val="24"/>
  </w:num>
  <w:num w:numId="10">
    <w:abstractNumId w:val="42"/>
  </w:num>
  <w:num w:numId="11">
    <w:abstractNumId w:val="35"/>
  </w:num>
  <w:num w:numId="12">
    <w:abstractNumId w:val="12"/>
  </w:num>
  <w:num w:numId="13">
    <w:abstractNumId w:val="38"/>
  </w:num>
  <w:num w:numId="14">
    <w:abstractNumId w:val="14"/>
  </w:num>
  <w:num w:numId="15">
    <w:abstractNumId w:val="20"/>
  </w:num>
  <w:num w:numId="16">
    <w:abstractNumId w:val="7"/>
  </w:num>
  <w:num w:numId="17">
    <w:abstractNumId w:val="34"/>
  </w:num>
  <w:num w:numId="18">
    <w:abstractNumId w:val="32"/>
  </w:num>
  <w:num w:numId="19">
    <w:abstractNumId w:val="10"/>
  </w:num>
  <w:num w:numId="20">
    <w:abstractNumId w:val="27"/>
  </w:num>
  <w:num w:numId="21">
    <w:abstractNumId w:val="26"/>
  </w:num>
  <w:num w:numId="22">
    <w:abstractNumId w:val="13"/>
  </w:num>
  <w:num w:numId="23">
    <w:abstractNumId w:val="29"/>
  </w:num>
  <w:num w:numId="24">
    <w:abstractNumId w:val="37"/>
  </w:num>
  <w:num w:numId="25">
    <w:abstractNumId w:val="11"/>
  </w:num>
  <w:num w:numId="26">
    <w:abstractNumId w:val="0"/>
  </w:num>
  <w:num w:numId="27">
    <w:abstractNumId w:val="19"/>
  </w:num>
  <w:num w:numId="28">
    <w:abstractNumId w:val="8"/>
  </w:num>
  <w:num w:numId="29">
    <w:abstractNumId w:val="30"/>
  </w:num>
  <w:num w:numId="30">
    <w:abstractNumId w:val="41"/>
  </w:num>
  <w:num w:numId="31">
    <w:abstractNumId w:val="23"/>
  </w:num>
  <w:num w:numId="32">
    <w:abstractNumId w:val="40"/>
  </w:num>
  <w:num w:numId="33">
    <w:abstractNumId w:val="28"/>
  </w:num>
  <w:num w:numId="34">
    <w:abstractNumId w:val="15"/>
  </w:num>
  <w:num w:numId="35">
    <w:abstractNumId w:val="1"/>
  </w:num>
  <w:num w:numId="36">
    <w:abstractNumId w:val="2"/>
  </w:num>
  <w:num w:numId="37">
    <w:abstractNumId w:val="36"/>
  </w:num>
  <w:num w:numId="38">
    <w:abstractNumId w:val="21"/>
  </w:num>
  <w:num w:numId="39">
    <w:abstractNumId w:val="4"/>
  </w:num>
  <w:num w:numId="40">
    <w:abstractNumId w:val="5"/>
  </w:num>
  <w:num w:numId="41">
    <w:abstractNumId w:val="18"/>
  </w:num>
  <w:num w:numId="42">
    <w:abstractNumId w:val="31"/>
  </w:num>
  <w:num w:numId="43">
    <w:abstractNumId w:val="17"/>
    <w:lvlOverride w:ilvl="0"/>
    <w:lvlOverride w:ilvl="1"/>
    <w:lvlOverride w:ilvl="2"/>
    <w:lvlOverride w:ilvl="3"/>
    <w:lvlOverride w:ilvl="4"/>
    <w:lvlOverride w:ilvl="5"/>
    <w:lvlOverride w:ilvl="6"/>
    <w:lvlOverride w:ilvl="7"/>
    <w:lvlOverride w:ilv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hideSpellingErrors/>
  <w:hideGrammaticalError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E26"/>
    <w:rsid w:val="00004E2C"/>
    <w:rsid w:val="00007E45"/>
    <w:rsid w:val="00011269"/>
    <w:rsid w:val="00012565"/>
    <w:rsid w:val="00034A4A"/>
    <w:rsid w:val="00036595"/>
    <w:rsid w:val="0004712A"/>
    <w:rsid w:val="000501F8"/>
    <w:rsid w:val="000543B6"/>
    <w:rsid w:val="00054CA5"/>
    <w:rsid w:val="00057C23"/>
    <w:rsid w:val="00063D3A"/>
    <w:rsid w:val="000640C4"/>
    <w:rsid w:val="000652D6"/>
    <w:rsid w:val="000667AB"/>
    <w:rsid w:val="000705F0"/>
    <w:rsid w:val="0007431F"/>
    <w:rsid w:val="000754F5"/>
    <w:rsid w:val="0007611C"/>
    <w:rsid w:val="00084C31"/>
    <w:rsid w:val="00084CF4"/>
    <w:rsid w:val="000867D4"/>
    <w:rsid w:val="0008769C"/>
    <w:rsid w:val="00090E8F"/>
    <w:rsid w:val="00095BF3"/>
    <w:rsid w:val="00096B9D"/>
    <w:rsid w:val="000A054C"/>
    <w:rsid w:val="000A6E2B"/>
    <w:rsid w:val="000B4B62"/>
    <w:rsid w:val="000C2582"/>
    <w:rsid w:val="000D2D99"/>
    <w:rsid w:val="000D4B25"/>
    <w:rsid w:val="000D51BA"/>
    <w:rsid w:val="000E5841"/>
    <w:rsid w:val="000F29F9"/>
    <w:rsid w:val="000F2DBD"/>
    <w:rsid w:val="000F7398"/>
    <w:rsid w:val="00112A46"/>
    <w:rsid w:val="00113065"/>
    <w:rsid w:val="00115DD4"/>
    <w:rsid w:val="00137F8B"/>
    <w:rsid w:val="00141F8B"/>
    <w:rsid w:val="00143986"/>
    <w:rsid w:val="00150199"/>
    <w:rsid w:val="00160F6B"/>
    <w:rsid w:val="00162930"/>
    <w:rsid w:val="001656DD"/>
    <w:rsid w:val="00171843"/>
    <w:rsid w:val="00174294"/>
    <w:rsid w:val="00176342"/>
    <w:rsid w:val="00177C11"/>
    <w:rsid w:val="001821FD"/>
    <w:rsid w:val="001876AD"/>
    <w:rsid w:val="00192EDA"/>
    <w:rsid w:val="0019300D"/>
    <w:rsid w:val="001A2BDA"/>
    <w:rsid w:val="001A6F0C"/>
    <w:rsid w:val="001B1E8A"/>
    <w:rsid w:val="001B269D"/>
    <w:rsid w:val="001B3661"/>
    <w:rsid w:val="001B4CAC"/>
    <w:rsid w:val="001B5CD5"/>
    <w:rsid w:val="001B7D99"/>
    <w:rsid w:val="001B7EB6"/>
    <w:rsid w:val="001C08BD"/>
    <w:rsid w:val="001C128B"/>
    <w:rsid w:val="001C196C"/>
    <w:rsid w:val="001C3F9C"/>
    <w:rsid w:val="001C654E"/>
    <w:rsid w:val="001D1F71"/>
    <w:rsid w:val="001D3373"/>
    <w:rsid w:val="001D7176"/>
    <w:rsid w:val="001F2824"/>
    <w:rsid w:val="001F7274"/>
    <w:rsid w:val="002013A2"/>
    <w:rsid w:val="00204F53"/>
    <w:rsid w:val="0021237C"/>
    <w:rsid w:val="002154D7"/>
    <w:rsid w:val="00222938"/>
    <w:rsid w:val="002233F8"/>
    <w:rsid w:val="00223B67"/>
    <w:rsid w:val="00225053"/>
    <w:rsid w:val="0022676B"/>
    <w:rsid w:val="00234178"/>
    <w:rsid w:val="0024557D"/>
    <w:rsid w:val="00245C8F"/>
    <w:rsid w:val="002528BC"/>
    <w:rsid w:val="00260BF3"/>
    <w:rsid w:val="00261981"/>
    <w:rsid w:val="00270536"/>
    <w:rsid w:val="002709B8"/>
    <w:rsid w:val="0027543E"/>
    <w:rsid w:val="00275C01"/>
    <w:rsid w:val="0028000A"/>
    <w:rsid w:val="002804F0"/>
    <w:rsid w:val="002815CD"/>
    <w:rsid w:val="002832E8"/>
    <w:rsid w:val="00284BBE"/>
    <w:rsid w:val="002864C7"/>
    <w:rsid w:val="002909A7"/>
    <w:rsid w:val="002917D7"/>
    <w:rsid w:val="0029298D"/>
    <w:rsid w:val="00296E26"/>
    <w:rsid w:val="002B02FF"/>
    <w:rsid w:val="002B37F2"/>
    <w:rsid w:val="002B3FCE"/>
    <w:rsid w:val="002B66AC"/>
    <w:rsid w:val="002B6B16"/>
    <w:rsid w:val="002C12F6"/>
    <w:rsid w:val="002D0025"/>
    <w:rsid w:val="002D3D91"/>
    <w:rsid w:val="002D4231"/>
    <w:rsid w:val="002D5705"/>
    <w:rsid w:val="002E0D76"/>
    <w:rsid w:val="002E0EA9"/>
    <w:rsid w:val="002E1D0E"/>
    <w:rsid w:val="002E327E"/>
    <w:rsid w:val="002E63B8"/>
    <w:rsid w:val="002E6E0A"/>
    <w:rsid w:val="002F26AF"/>
    <w:rsid w:val="002F76D9"/>
    <w:rsid w:val="003029EA"/>
    <w:rsid w:val="00303A66"/>
    <w:rsid w:val="0031446F"/>
    <w:rsid w:val="00317004"/>
    <w:rsid w:val="00321288"/>
    <w:rsid w:val="003218BC"/>
    <w:rsid w:val="00321E08"/>
    <w:rsid w:val="003241C0"/>
    <w:rsid w:val="00333104"/>
    <w:rsid w:val="003366EF"/>
    <w:rsid w:val="0034283F"/>
    <w:rsid w:val="00347C20"/>
    <w:rsid w:val="00352C97"/>
    <w:rsid w:val="00357690"/>
    <w:rsid w:val="00360122"/>
    <w:rsid w:val="0036017C"/>
    <w:rsid w:val="00362EAE"/>
    <w:rsid w:val="00365873"/>
    <w:rsid w:val="003722BA"/>
    <w:rsid w:val="0037238C"/>
    <w:rsid w:val="00374EA8"/>
    <w:rsid w:val="003814BB"/>
    <w:rsid w:val="003A11A3"/>
    <w:rsid w:val="003A1B7C"/>
    <w:rsid w:val="003A42BE"/>
    <w:rsid w:val="003B1550"/>
    <w:rsid w:val="003B2FAA"/>
    <w:rsid w:val="003B4228"/>
    <w:rsid w:val="003C01AA"/>
    <w:rsid w:val="003C0EF0"/>
    <w:rsid w:val="003C3851"/>
    <w:rsid w:val="003D630B"/>
    <w:rsid w:val="003D7F72"/>
    <w:rsid w:val="003E4775"/>
    <w:rsid w:val="003E6E84"/>
    <w:rsid w:val="003F29B3"/>
    <w:rsid w:val="003F3341"/>
    <w:rsid w:val="003F5313"/>
    <w:rsid w:val="003F5F6B"/>
    <w:rsid w:val="003F7AF0"/>
    <w:rsid w:val="004007B8"/>
    <w:rsid w:val="004060B4"/>
    <w:rsid w:val="00412171"/>
    <w:rsid w:val="00413A71"/>
    <w:rsid w:val="004215BE"/>
    <w:rsid w:val="00424DCF"/>
    <w:rsid w:val="0042517F"/>
    <w:rsid w:val="00430B21"/>
    <w:rsid w:val="00432EB4"/>
    <w:rsid w:val="00436335"/>
    <w:rsid w:val="004518DD"/>
    <w:rsid w:val="00454921"/>
    <w:rsid w:val="00456034"/>
    <w:rsid w:val="00460C95"/>
    <w:rsid w:val="0046144B"/>
    <w:rsid w:val="0046308C"/>
    <w:rsid w:val="0047686E"/>
    <w:rsid w:val="0048041F"/>
    <w:rsid w:val="00483503"/>
    <w:rsid w:val="00490231"/>
    <w:rsid w:val="0049484C"/>
    <w:rsid w:val="004A101A"/>
    <w:rsid w:val="004A2BE2"/>
    <w:rsid w:val="004B0A28"/>
    <w:rsid w:val="004B4D2F"/>
    <w:rsid w:val="004B510C"/>
    <w:rsid w:val="004C0441"/>
    <w:rsid w:val="004C1B36"/>
    <w:rsid w:val="004C5AF9"/>
    <w:rsid w:val="004D264D"/>
    <w:rsid w:val="004E63E7"/>
    <w:rsid w:val="004F3D4E"/>
    <w:rsid w:val="004F4E2B"/>
    <w:rsid w:val="004F50F6"/>
    <w:rsid w:val="00511795"/>
    <w:rsid w:val="00513372"/>
    <w:rsid w:val="00513B74"/>
    <w:rsid w:val="0052236A"/>
    <w:rsid w:val="00525120"/>
    <w:rsid w:val="005404D0"/>
    <w:rsid w:val="00542FD6"/>
    <w:rsid w:val="00552CC1"/>
    <w:rsid w:val="00554F0F"/>
    <w:rsid w:val="00561581"/>
    <w:rsid w:val="005647EA"/>
    <w:rsid w:val="00566342"/>
    <w:rsid w:val="00567138"/>
    <w:rsid w:val="005811C7"/>
    <w:rsid w:val="00583331"/>
    <w:rsid w:val="005863A8"/>
    <w:rsid w:val="00591E0C"/>
    <w:rsid w:val="00592ED8"/>
    <w:rsid w:val="00597D8B"/>
    <w:rsid w:val="005A10DD"/>
    <w:rsid w:val="005A3DDD"/>
    <w:rsid w:val="005A6494"/>
    <w:rsid w:val="005A78A5"/>
    <w:rsid w:val="005B4ABA"/>
    <w:rsid w:val="005C290A"/>
    <w:rsid w:val="005D0B82"/>
    <w:rsid w:val="005D1D0D"/>
    <w:rsid w:val="005D25F6"/>
    <w:rsid w:val="005E0C7B"/>
    <w:rsid w:val="005E1B73"/>
    <w:rsid w:val="005E4D5B"/>
    <w:rsid w:val="005E73DF"/>
    <w:rsid w:val="005F314B"/>
    <w:rsid w:val="005F5403"/>
    <w:rsid w:val="005F5553"/>
    <w:rsid w:val="00602655"/>
    <w:rsid w:val="00605626"/>
    <w:rsid w:val="006065E7"/>
    <w:rsid w:val="0060768A"/>
    <w:rsid w:val="0061368C"/>
    <w:rsid w:val="00614C3C"/>
    <w:rsid w:val="00616ADE"/>
    <w:rsid w:val="0062307C"/>
    <w:rsid w:val="00626476"/>
    <w:rsid w:val="00635CE7"/>
    <w:rsid w:val="00642D0F"/>
    <w:rsid w:val="006476B6"/>
    <w:rsid w:val="00657337"/>
    <w:rsid w:val="00661063"/>
    <w:rsid w:val="006634A0"/>
    <w:rsid w:val="00663931"/>
    <w:rsid w:val="00666D58"/>
    <w:rsid w:val="00675780"/>
    <w:rsid w:val="00682543"/>
    <w:rsid w:val="00685278"/>
    <w:rsid w:val="006856AD"/>
    <w:rsid w:val="0068570D"/>
    <w:rsid w:val="00685813"/>
    <w:rsid w:val="00685F28"/>
    <w:rsid w:val="00686F06"/>
    <w:rsid w:val="00691A76"/>
    <w:rsid w:val="00692D88"/>
    <w:rsid w:val="006A4735"/>
    <w:rsid w:val="006A69D6"/>
    <w:rsid w:val="006B64C5"/>
    <w:rsid w:val="006C1A4C"/>
    <w:rsid w:val="006C616C"/>
    <w:rsid w:val="006C705B"/>
    <w:rsid w:val="006C7BF0"/>
    <w:rsid w:val="006E0100"/>
    <w:rsid w:val="006E206B"/>
    <w:rsid w:val="006E48D8"/>
    <w:rsid w:val="006E5835"/>
    <w:rsid w:val="006F00F1"/>
    <w:rsid w:val="006F1466"/>
    <w:rsid w:val="006F1991"/>
    <w:rsid w:val="00701E55"/>
    <w:rsid w:val="007059F6"/>
    <w:rsid w:val="00715E01"/>
    <w:rsid w:val="007166CD"/>
    <w:rsid w:val="0072074C"/>
    <w:rsid w:val="00721A31"/>
    <w:rsid w:val="00722752"/>
    <w:rsid w:val="007231BE"/>
    <w:rsid w:val="007326CD"/>
    <w:rsid w:val="007328C0"/>
    <w:rsid w:val="00736E27"/>
    <w:rsid w:val="00741809"/>
    <w:rsid w:val="00746D89"/>
    <w:rsid w:val="00752E68"/>
    <w:rsid w:val="00765F59"/>
    <w:rsid w:val="00766F2F"/>
    <w:rsid w:val="007750DC"/>
    <w:rsid w:val="007763BD"/>
    <w:rsid w:val="00781552"/>
    <w:rsid w:val="00782321"/>
    <w:rsid w:val="00783E0C"/>
    <w:rsid w:val="00786136"/>
    <w:rsid w:val="0079504C"/>
    <w:rsid w:val="00797660"/>
    <w:rsid w:val="007A0241"/>
    <w:rsid w:val="007A2F0C"/>
    <w:rsid w:val="007B0CD5"/>
    <w:rsid w:val="007B20DA"/>
    <w:rsid w:val="007B30B6"/>
    <w:rsid w:val="007B6663"/>
    <w:rsid w:val="007C21FD"/>
    <w:rsid w:val="007C36A6"/>
    <w:rsid w:val="007D4313"/>
    <w:rsid w:val="007D548C"/>
    <w:rsid w:val="007D6903"/>
    <w:rsid w:val="007D6D4D"/>
    <w:rsid w:val="007D742F"/>
    <w:rsid w:val="007F1686"/>
    <w:rsid w:val="007F2583"/>
    <w:rsid w:val="007F308B"/>
    <w:rsid w:val="007F615F"/>
    <w:rsid w:val="007F683F"/>
    <w:rsid w:val="00814F52"/>
    <w:rsid w:val="00815404"/>
    <w:rsid w:val="00837233"/>
    <w:rsid w:val="00837A9C"/>
    <w:rsid w:val="00841BCC"/>
    <w:rsid w:val="00846E64"/>
    <w:rsid w:val="0085236F"/>
    <w:rsid w:val="0085694A"/>
    <w:rsid w:val="00860A33"/>
    <w:rsid w:val="00861070"/>
    <w:rsid w:val="008617A5"/>
    <w:rsid w:val="00861D1E"/>
    <w:rsid w:val="00863F3C"/>
    <w:rsid w:val="0086608E"/>
    <w:rsid w:val="00871C8C"/>
    <w:rsid w:val="00871CE4"/>
    <w:rsid w:val="008769F4"/>
    <w:rsid w:val="008840AB"/>
    <w:rsid w:val="00887155"/>
    <w:rsid w:val="008878D2"/>
    <w:rsid w:val="00893C70"/>
    <w:rsid w:val="0089629D"/>
    <w:rsid w:val="008A1515"/>
    <w:rsid w:val="008A5389"/>
    <w:rsid w:val="008A59CE"/>
    <w:rsid w:val="008B3409"/>
    <w:rsid w:val="008B60CF"/>
    <w:rsid w:val="008B6816"/>
    <w:rsid w:val="008C22FC"/>
    <w:rsid w:val="008C4BB4"/>
    <w:rsid w:val="008C4FA3"/>
    <w:rsid w:val="008D1C9E"/>
    <w:rsid w:val="008D49BD"/>
    <w:rsid w:val="008D4EE0"/>
    <w:rsid w:val="008D5C19"/>
    <w:rsid w:val="008E284B"/>
    <w:rsid w:val="008E32BF"/>
    <w:rsid w:val="008E3FDC"/>
    <w:rsid w:val="008E4C15"/>
    <w:rsid w:val="008F1802"/>
    <w:rsid w:val="008F2A21"/>
    <w:rsid w:val="008F66E2"/>
    <w:rsid w:val="008F6763"/>
    <w:rsid w:val="008F7733"/>
    <w:rsid w:val="00905AEE"/>
    <w:rsid w:val="00912841"/>
    <w:rsid w:val="0091407D"/>
    <w:rsid w:val="00920FF3"/>
    <w:rsid w:val="00922A76"/>
    <w:rsid w:val="00933027"/>
    <w:rsid w:val="00933371"/>
    <w:rsid w:val="00942E67"/>
    <w:rsid w:val="00947CB5"/>
    <w:rsid w:val="00957806"/>
    <w:rsid w:val="00961A31"/>
    <w:rsid w:val="00965EF0"/>
    <w:rsid w:val="00966666"/>
    <w:rsid w:val="00970046"/>
    <w:rsid w:val="009700F8"/>
    <w:rsid w:val="00975B20"/>
    <w:rsid w:val="00976938"/>
    <w:rsid w:val="00982E8E"/>
    <w:rsid w:val="00985545"/>
    <w:rsid w:val="00992730"/>
    <w:rsid w:val="00994709"/>
    <w:rsid w:val="009A23F9"/>
    <w:rsid w:val="009A317C"/>
    <w:rsid w:val="009A7969"/>
    <w:rsid w:val="009B0FBC"/>
    <w:rsid w:val="009B0FD5"/>
    <w:rsid w:val="009C0B56"/>
    <w:rsid w:val="009C19AA"/>
    <w:rsid w:val="009C6934"/>
    <w:rsid w:val="009D0FB2"/>
    <w:rsid w:val="009D1BC9"/>
    <w:rsid w:val="009D5BE9"/>
    <w:rsid w:val="009D64EA"/>
    <w:rsid w:val="009E60C3"/>
    <w:rsid w:val="009E72FE"/>
    <w:rsid w:val="009F0EAF"/>
    <w:rsid w:val="009F24BB"/>
    <w:rsid w:val="009F5E4E"/>
    <w:rsid w:val="00A04696"/>
    <w:rsid w:val="00A10C2C"/>
    <w:rsid w:val="00A12A43"/>
    <w:rsid w:val="00A13327"/>
    <w:rsid w:val="00A13E85"/>
    <w:rsid w:val="00A22113"/>
    <w:rsid w:val="00A23384"/>
    <w:rsid w:val="00A25AD4"/>
    <w:rsid w:val="00A27DF9"/>
    <w:rsid w:val="00A345E6"/>
    <w:rsid w:val="00A3525C"/>
    <w:rsid w:val="00A40E3C"/>
    <w:rsid w:val="00A41480"/>
    <w:rsid w:val="00A50004"/>
    <w:rsid w:val="00A50EBC"/>
    <w:rsid w:val="00A51DFE"/>
    <w:rsid w:val="00A561BA"/>
    <w:rsid w:val="00A56247"/>
    <w:rsid w:val="00A57773"/>
    <w:rsid w:val="00A6012F"/>
    <w:rsid w:val="00A6181D"/>
    <w:rsid w:val="00A64511"/>
    <w:rsid w:val="00A655CA"/>
    <w:rsid w:val="00A657E9"/>
    <w:rsid w:val="00A669FE"/>
    <w:rsid w:val="00A93CBF"/>
    <w:rsid w:val="00A94FCA"/>
    <w:rsid w:val="00A9704A"/>
    <w:rsid w:val="00A97C2C"/>
    <w:rsid w:val="00AA2828"/>
    <w:rsid w:val="00AA332D"/>
    <w:rsid w:val="00AA395C"/>
    <w:rsid w:val="00AB32AC"/>
    <w:rsid w:val="00AC413E"/>
    <w:rsid w:val="00AD33C9"/>
    <w:rsid w:val="00AD7BF4"/>
    <w:rsid w:val="00AE1B1F"/>
    <w:rsid w:val="00AE3A5D"/>
    <w:rsid w:val="00AE6662"/>
    <w:rsid w:val="00B000F7"/>
    <w:rsid w:val="00B0217B"/>
    <w:rsid w:val="00B111F9"/>
    <w:rsid w:val="00B20E8E"/>
    <w:rsid w:val="00B212C9"/>
    <w:rsid w:val="00B238F7"/>
    <w:rsid w:val="00B24AD4"/>
    <w:rsid w:val="00B24B9E"/>
    <w:rsid w:val="00B25CF0"/>
    <w:rsid w:val="00B25E77"/>
    <w:rsid w:val="00B34B0C"/>
    <w:rsid w:val="00B355A0"/>
    <w:rsid w:val="00B365FC"/>
    <w:rsid w:val="00B50D87"/>
    <w:rsid w:val="00B55C4F"/>
    <w:rsid w:val="00B66251"/>
    <w:rsid w:val="00B73C91"/>
    <w:rsid w:val="00B7667B"/>
    <w:rsid w:val="00B825CE"/>
    <w:rsid w:val="00B94CBD"/>
    <w:rsid w:val="00B96F12"/>
    <w:rsid w:val="00BA34A5"/>
    <w:rsid w:val="00BA49DA"/>
    <w:rsid w:val="00BA7A22"/>
    <w:rsid w:val="00BB004B"/>
    <w:rsid w:val="00BB31DE"/>
    <w:rsid w:val="00BB3D23"/>
    <w:rsid w:val="00BB4521"/>
    <w:rsid w:val="00BB4F5E"/>
    <w:rsid w:val="00BB6AE9"/>
    <w:rsid w:val="00BB6B53"/>
    <w:rsid w:val="00BC027A"/>
    <w:rsid w:val="00BC4EBA"/>
    <w:rsid w:val="00BD1F48"/>
    <w:rsid w:val="00BE3010"/>
    <w:rsid w:val="00BE38A7"/>
    <w:rsid w:val="00BE6733"/>
    <w:rsid w:val="00BE757D"/>
    <w:rsid w:val="00BF436B"/>
    <w:rsid w:val="00BF7FFC"/>
    <w:rsid w:val="00C03A35"/>
    <w:rsid w:val="00C059A1"/>
    <w:rsid w:val="00C1000E"/>
    <w:rsid w:val="00C146C0"/>
    <w:rsid w:val="00C15DAF"/>
    <w:rsid w:val="00C23997"/>
    <w:rsid w:val="00C33506"/>
    <w:rsid w:val="00C46E97"/>
    <w:rsid w:val="00C47673"/>
    <w:rsid w:val="00C51C16"/>
    <w:rsid w:val="00C526FB"/>
    <w:rsid w:val="00C5462E"/>
    <w:rsid w:val="00C56EBC"/>
    <w:rsid w:val="00C61B6B"/>
    <w:rsid w:val="00C63076"/>
    <w:rsid w:val="00C634DA"/>
    <w:rsid w:val="00C7125C"/>
    <w:rsid w:val="00C71E6D"/>
    <w:rsid w:val="00C777BC"/>
    <w:rsid w:val="00C77EA0"/>
    <w:rsid w:val="00C80349"/>
    <w:rsid w:val="00C80831"/>
    <w:rsid w:val="00C8136D"/>
    <w:rsid w:val="00C817CA"/>
    <w:rsid w:val="00C843C8"/>
    <w:rsid w:val="00C85C9C"/>
    <w:rsid w:val="00C861E2"/>
    <w:rsid w:val="00C86CFE"/>
    <w:rsid w:val="00C91AF9"/>
    <w:rsid w:val="00C9221B"/>
    <w:rsid w:val="00C9699E"/>
    <w:rsid w:val="00C97843"/>
    <w:rsid w:val="00C97C64"/>
    <w:rsid w:val="00CA0A24"/>
    <w:rsid w:val="00CA42FA"/>
    <w:rsid w:val="00CB1B8E"/>
    <w:rsid w:val="00CB1CD8"/>
    <w:rsid w:val="00CB4F52"/>
    <w:rsid w:val="00CB6E08"/>
    <w:rsid w:val="00CD0A72"/>
    <w:rsid w:val="00CD4F29"/>
    <w:rsid w:val="00CD59E6"/>
    <w:rsid w:val="00CE08DC"/>
    <w:rsid w:val="00CE238A"/>
    <w:rsid w:val="00CE25C9"/>
    <w:rsid w:val="00CE2C16"/>
    <w:rsid w:val="00CE2EF0"/>
    <w:rsid w:val="00CE4BAB"/>
    <w:rsid w:val="00CE5638"/>
    <w:rsid w:val="00CE6611"/>
    <w:rsid w:val="00CE78F4"/>
    <w:rsid w:val="00CF1D36"/>
    <w:rsid w:val="00CF3B8B"/>
    <w:rsid w:val="00D02F6A"/>
    <w:rsid w:val="00D05D9F"/>
    <w:rsid w:val="00D05EFC"/>
    <w:rsid w:val="00D05FB8"/>
    <w:rsid w:val="00D07E19"/>
    <w:rsid w:val="00D1049B"/>
    <w:rsid w:val="00D14D8C"/>
    <w:rsid w:val="00D174EC"/>
    <w:rsid w:val="00D2048F"/>
    <w:rsid w:val="00D21A00"/>
    <w:rsid w:val="00D26AA3"/>
    <w:rsid w:val="00D27F8E"/>
    <w:rsid w:val="00D30882"/>
    <w:rsid w:val="00D40AC1"/>
    <w:rsid w:val="00D506F6"/>
    <w:rsid w:val="00D50E49"/>
    <w:rsid w:val="00D510C5"/>
    <w:rsid w:val="00D51BAE"/>
    <w:rsid w:val="00D53F1A"/>
    <w:rsid w:val="00D577A0"/>
    <w:rsid w:val="00D60B22"/>
    <w:rsid w:val="00D6104B"/>
    <w:rsid w:val="00D76EE9"/>
    <w:rsid w:val="00D832DE"/>
    <w:rsid w:val="00D92B39"/>
    <w:rsid w:val="00D9301D"/>
    <w:rsid w:val="00D9316B"/>
    <w:rsid w:val="00D977FE"/>
    <w:rsid w:val="00DA08AF"/>
    <w:rsid w:val="00DA1D02"/>
    <w:rsid w:val="00DA1FB3"/>
    <w:rsid w:val="00DB28A4"/>
    <w:rsid w:val="00DB4CC6"/>
    <w:rsid w:val="00DB73E4"/>
    <w:rsid w:val="00DC0C14"/>
    <w:rsid w:val="00DC184F"/>
    <w:rsid w:val="00DC31CA"/>
    <w:rsid w:val="00DC6AC5"/>
    <w:rsid w:val="00DD082C"/>
    <w:rsid w:val="00DD175D"/>
    <w:rsid w:val="00DD45CF"/>
    <w:rsid w:val="00DF24E5"/>
    <w:rsid w:val="00DF280A"/>
    <w:rsid w:val="00DF3BA7"/>
    <w:rsid w:val="00E00D13"/>
    <w:rsid w:val="00E10C6F"/>
    <w:rsid w:val="00E1650E"/>
    <w:rsid w:val="00E1750C"/>
    <w:rsid w:val="00E31219"/>
    <w:rsid w:val="00E3129D"/>
    <w:rsid w:val="00E3175D"/>
    <w:rsid w:val="00E33C52"/>
    <w:rsid w:val="00E36A8F"/>
    <w:rsid w:val="00E4079F"/>
    <w:rsid w:val="00E40B27"/>
    <w:rsid w:val="00E432FE"/>
    <w:rsid w:val="00E44420"/>
    <w:rsid w:val="00E51AB5"/>
    <w:rsid w:val="00E537D1"/>
    <w:rsid w:val="00E53C31"/>
    <w:rsid w:val="00E567BA"/>
    <w:rsid w:val="00E64873"/>
    <w:rsid w:val="00E70384"/>
    <w:rsid w:val="00E81075"/>
    <w:rsid w:val="00E85413"/>
    <w:rsid w:val="00E86084"/>
    <w:rsid w:val="00E93A69"/>
    <w:rsid w:val="00E9786D"/>
    <w:rsid w:val="00E97EB6"/>
    <w:rsid w:val="00EA2F11"/>
    <w:rsid w:val="00EA4B0C"/>
    <w:rsid w:val="00EB1800"/>
    <w:rsid w:val="00EB4A1A"/>
    <w:rsid w:val="00EB7BA8"/>
    <w:rsid w:val="00ED7670"/>
    <w:rsid w:val="00EE0238"/>
    <w:rsid w:val="00EE26CE"/>
    <w:rsid w:val="00EE5F08"/>
    <w:rsid w:val="00EE7A10"/>
    <w:rsid w:val="00EF28AC"/>
    <w:rsid w:val="00EF796D"/>
    <w:rsid w:val="00F045C1"/>
    <w:rsid w:val="00F04F5A"/>
    <w:rsid w:val="00F14CAE"/>
    <w:rsid w:val="00F15966"/>
    <w:rsid w:val="00F17557"/>
    <w:rsid w:val="00F261BD"/>
    <w:rsid w:val="00F300CD"/>
    <w:rsid w:val="00F329F7"/>
    <w:rsid w:val="00F33F83"/>
    <w:rsid w:val="00F37534"/>
    <w:rsid w:val="00F425DE"/>
    <w:rsid w:val="00F443CD"/>
    <w:rsid w:val="00F4662A"/>
    <w:rsid w:val="00F479F9"/>
    <w:rsid w:val="00F572CE"/>
    <w:rsid w:val="00F626FA"/>
    <w:rsid w:val="00F62FA4"/>
    <w:rsid w:val="00F676FB"/>
    <w:rsid w:val="00F67E9E"/>
    <w:rsid w:val="00F721F2"/>
    <w:rsid w:val="00F72394"/>
    <w:rsid w:val="00F73E3B"/>
    <w:rsid w:val="00F75074"/>
    <w:rsid w:val="00F85716"/>
    <w:rsid w:val="00F85E3A"/>
    <w:rsid w:val="00F964EB"/>
    <w:rsid w:val="00F96CB1"/>
    <w:rsid w:val="00F974C1"/>
    <w:rsid w:val="00FA03A6"/>
    <w:rsid w:val="00FA0A40"/>
    <w:rsid w:val="00FA1437"/>
    <w:rsid w:val="00FA4676"/>
    <w:rsid w:val="00FA4FA1"/>
    <w:rsid w:val="00FA7075"/>
    <w:rsid w:val="00FB12CD"/>
    <w:rsid w:val="00FB1907"/>
    <w:rsid w:val="00FD13A8"/>
    <w:rsid w:val="00FD294B"/>
    <w:rsid w:val="00FD58A3"/>
    <w:rsid w:val="00FE07C1"/>
    <w:rsid w:val="00FE1ADE"/>
    <w:rsid w:val="00FF33A8"/>
    <w:rsid w:val="00FF42FE"/>
    <w:rsid w:val="00FF6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CAB26"/>
  <w15:chartTrackingRefBased/>
  <w15:docId w15:val="{BEAB10E7-DE6F-4F93-B3F4-E82292DE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6E26"/>
  </w:style>
  <w:style w:type="paragraph" w:styleId="Heading1">
    <w:name w:val="heading 1"/>
    <w:basedOn w:val="Normal"/>
    <w:next w:val="Normal"/>
    <w:link w:val="Heading1Char"/>
    <w:uiPriority w:val="9"/>
    <w:qFormat/>
    <w:rsid w:val="00296E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6E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96E2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96E2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E2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96E2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96E2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96E26"/>
    <w:rPr>
      <w:rFonts w:asciiTheme="majorHAnsi" w:eastAsiaTheme="majorEastAsia" w:hAnsiTheme="majorHAnsi" w:cstheme="majorBidi"/>
      <w:i/>
      <w:iCs/>
      <w:color w:val="2F5496" w:themeColor="accent1" w:themeShade="BF"/>
    </w:rPr>
  </w:style>
  <w:style w:type="paragraph" w:styleId="ListParagraph">
    <w:name w:val="List Paragraph"/>
    <w:aliases w:val="Chart Title,Numbered Paragraph,Main numbered paragraph,References,Numbered List Paragraph,123 List Paragraph,List Paragraph (numbered (a)),Use Case List Paragraph,Bullets,Liste 1,List Paragraph1,ReferencesCxSpLast,body bullets,Texte Génér"/>
    <w:basedOn w:val="Normal"/>
    <w:link w:val="ListParagraphChar"/>
    <w:uiPriority w:val="34"/>
    <w:qFormat/>
    <w:rsid w:val="00296E26"/>
    <w:pPr>
      <w:ind w:left="720"/>
      <w:contextualSpacing/>
    </w:pPr>
  </w:style>
  <w:style w:type="paragraph" w:styleId="NormalWeb">
    <w:name w:val="Normal (Web)"/>
    <w:basedOn w:val="Normal"/>
    <w:uiPriority w:val="99"/>
    <w:semiHidden/>
    <w:unhideWhenUsed/>
    <w:rsid w:val="00296E2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96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E26"/>
  </w:style>
  <w:style w:type="paragraph" w:styleId="Footer">
    <w:name w:val="footer"/>
    <w:basedOn w:val="Normal"/>
    <w:link w:val="FooterChar"/>
    <w:uiPriority w:val="99"/>
    <w:unhideWhenUsed/>
    <w:rsid w:val="00296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E26"/>
  </w:style>
  <w:style w:type="table" w:styleId="TableGrid">
    <w:name w:val="Table Grid"/>
    <w:basedOn w:val="TableNormal"/>
    <w:uiPriority w:val="39"/>
    <w:rsid w:val="00296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6E26"/>
    <w:pPr>
      <w:autoSpaceDE w:val="0"/>
      <w:autoSpaceDN w:val="0"/>
      <w:adjustRightInd w:val="0"/>
      <w:spacing w:after="0" w:line="240" w:lineRule="auto"/>
    </w:pPr>
    <w:rPr>
      <w:rFonts w:ascii="Garamond" w:hAnsi="Garamond" w:cs="Garamond"/>
      <w:color w:val="000000"/>
      <w:sz w:val="24"/>
      <w:szCs w:val="24"/>
    </w:rPr>
  </w:style>
  <w:style w:type="paragraph" w:styleId="FootnoteText">
    <w:name w:val="footnote text"/>
    <w:aliases w:val="Footnote Text Char Char,Footnote Text Char1 Char,Footnote Text Char Char Char,Footnote Text Char1,Footnote Text Char1 Char1 Char,Footnote Text Char Char Char1 Char,Footnote Text Char1 Char Char Char1 Char,fn Char,fn,ft,f,ADB,single space,A"/>
    <w:basedOn w:val="Normal"/>
    <w:link w:val="FootnoteTextChar"/>
    <w:uiPriority w:val="99"/>
    <w:unhideWhenUsed/>
    <w:qFormat/>
    <w:rsid w:val="00296E26"/>
    <w:pPr>
      <w:spacing w:after="0" w:line="240" w:lineRule="auto"/>
    </w:pPr>
    <w:rPr>
      <w:sz w:val="20"/>
      <w:szCs w:val="20"/>
    </w:rPr>
  </w:style>
  <w:style w:type="character" w:customStyle="1" w:styleId="FootnoteTextChar">
    <w:name w:val="Footnote Text Char"/>
    <w:aliases w:val="Footnote Text Char Char Char1,Footnote Text Char1 Char Char,Footnote Text Char Char Char Char,Footnote Text Char1 Char1,Footnote Text Char1 Char1 Char Char,Footnote Text Char Char Char1 Char Char,fn Char Char,fn Char1,ft Char,f Char"/>
    <w:basedOn w:val="DefaultParagraphFont"/>
    <w:link w:val="FootnoteText"/>
    <w:uiPriority w:val="99"/>
    <w:rsid w:val="00296E26"/>
    <w:rPr>
      <w:sz w:val="20"/>
      <w:szCs w:val="20"/>
    </w:rPr>
  </w:style>
  <w:style w:type="character" w:styleId="FootnoteReference">
    <w:name w:val="footnote reference"/>
    <w:aliases w:val="BVI fnr Car Car Car Car Char Char,ftref,Char Char Char Char Car Char,16 Point,Superscript 6 Point,Error-Fußnotenzeichen5,Error-Fußnotenzeichen6,Error-Fußnotenzeichen3,Footnote Reference1, BVI fnr,Footnote Reference Number,fr"/>
    <w:basedOn w:val="DefaultParagraphFont"/>
    <w:link w:val="BVIfnrCarCarCarCarChar"/>
    <w:unhideWhenUsed/>
    <w:qFormat/>
    <w:rsid w:val="00296E26"/>
    <w:rPr>
      <w:vertAlign w:val="superscript"/>
    </w:rPr>
  </w:style>
  <w:style w:type="character" w:customStyle="1" w:styleId="ListParagraphChar">
    <w:name w:val="List Paragraph Char"/>
    <w:aliases w:val="Chart Title Char,Numbered Paragraph Char,Main numbered paragraph Char,References Char,Numbered List Paragraph Char,123 List Paragraph Char,List Paragraph (numbered (a)) Char,Use Case List Paragraph Char,Bullets Char,Liste 1 Char"/>
    <w:basedOn w:val="DefaultParagraphFont"/>
    <w:link w:val="ListParagraph"/>
    <w:uiPriority w:val="34"/>
    <w:rsid w:val="00296E26"/>
  </w:style>
  <w:style w:type="paragraph" w:customStyle="1" w:styleId="BVIfnrCarCarCarCarChar">
    <w:name w:val="BVI fnr Car Car Car Car Char"/>
    <w:basedOn w:val="Normal"/>
    <w:link w:val="FootnoteReference"/>
    <w:rsid w:val="00296E26"/>
    <w:pPr>
      <w:numPr>
        <w:numId w:val="2"/>
      </w:numPr>
      <w:spacing w:after="0" w:line="240" w:lineRule="auto"/>
    </w:pPr>
    <w:rPr>
      <w:vertAlign w:val="superscript"/>
    </w:rPr>
  </w:style>
  <w:style w:type="character" w:customStyle="1" w:styleId="A2">
    <w:name w:val="A2"/>
    <w:uiPriority w:val="99"/>
    <w:rsid w:val="00296E26"/>
    <w:rPr>
      <w:rFonts w:cs="AvenirNext LT Pro Regular"/>
      <w:color w:val="000000"/>
      <w:sz w:val="22"/>
      <w:szCs w:val="22"/>
    </w:rPr>
  </w:style>
  <w:style w:type="paragraph" w:styleId="NoSpacing">
    <w:name w:val="No Spacing"/>
    <w:uiPriority w:val="1"/>
    <w:qFormat/>
    <w:rsid w:val="00296E26"/>
    <w:pPr>
      <w:spacing w:after="0" w:line="240" w:lineRule="auto"/>
    </w:pPr>
  </w:style>
  <w:style w:type="character" w:styleId="CommentReference">
    <w:name w:val="annotation reference"/>
    <w:basedOn w:val="DefaultParagraphFont"/>
    <w:uiPriority w:val="99"/>
    <w:semiHidden/>
    <w:unhideWhenUsed/>
    <w:rsid w:val="00296E26"/>
    <w:rPr>
      <w:sz w:val="16"/>
      <w:szCs w:val="16"/>
    </w:rPr>
  </w:style>
  <w:style w:type="paragraph" w:styleId="CommentText">
    <w:name w:val="annotation text"/>
    <w:basedOn w:val="Normal"/>
    <w:link w:val="CommentTextChar"/>
    <w:uiPriority w:val="99"/>
    <w:unhideWhenUsed/>
    <w:rsid w:val="00296E26"/>
    <w:pPr>
      <w:spacing w:line="240" w:lineRule="auto"/>
    </w:pPr>
    <w:rPr>
      <w:sz w:val="20"/>
      <w:szCs w:val="20"/>
    </w:rPr>
  </w:style>
  <w:style w:type="character" w:customStyle="1" w:styleId="CommentTextChar">
    <w:name w:val="Comment Text Char"/>
    <w:basedOn w:val="DefaultParagraphFont"/>
    <w:link w:val="CommentText"/>
    <w:uiPriority w:val="99"/>
    <w:rsid w:val="00296E26"/>
    <w:rPr>
      <w:sz w:val="20"/>
      <w:szCs w:val="20"/>
    </w:rPr>
  </w:style>
  <w:style w:type="paragraph" w:styleId="CommentSubject">
    <w:name w:val="annotation subject"/>
    <w:basedOn w:val="CommentText"/>
    <w:next w:val="CommentText"/>
    <w:link w:val="CommentSubjectChar"/>
    <w:uiPriority w:val="99"/>
    <w:semiHidden/>
    <w:unhideWhenUsed/>
    <w:rsid w:val="00296E26"/>
    <w:rPr>
      <w:b/>
      <w:bCs/>
    </w:rPr>
  </w:style>
  <w:style w:type="character" w:customStyle="1" w:styleId="CommentSubjectChar">
    <w:name w:val="Comment Subject Char"/>
    <w:basedOn w:val="CommentTextChar"/>
    <w:link w:val="CommentSubject"/>
    <w:uiPriority w:val="99"/>
    <w:semiHidden/>
    <w:rsid w:val="00296E26"/>
    <w:rPr>
      <w:b/>
      <w:bCs/>
      <w:sz w:val="20"/>
      <w:szCs w:val="20"/>
    </w:rPr>
  </w:style>
  <w:style w:type="paragraph" w:styleId="Revision">
    <w:name w:val="Revision"/>
    <w:hidden/>
    <w:uiPriority w:val="99"/>
    <w:semiHidden/>
    <w:rsid w:val="00296E26"/>
    <w:pPr>
      <w:spacing w:after="0" w:line="240" w:lineRule="auto"/>
    </w:pPr>
  </w:style>
  <w:style w:type="paragraph" w:styleId="BalloonText">
    <w:name w:val="Balloon Text"/>
    <w:basedOn w:val="Normal"/>
    <w:link w:val="BalloonTextChar"/>
    <w:uiPriority w:val="99"/>
    <w:semiHidden/>
    <w:unhideWhenUsed/>
    <w:rsid w:val="00296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E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20222">
      <w:bodyDiv w:val="1"/>
      <w:marLeft w:val="0"/>
      <w:marRight w:val="0"/>
      <w:marTop w:val="0"/>
      <w:marBottom w:val="0"/>
      <w:divBdr>
        <w:top w:val="none" w:sz="0" w:space="0" w:color="auto"/>
        <w:left w:val="none" w:sz="0" w:space="0" w:color="auto"/>
        <w:bottom w:val="none" w:sz="0" w:space="0" w:color="auto"/>
        <w:right w:val="none" w:sz="0" w:space="0" w:color="auto"/>
      </w:divBdr>
      <w:divsChild>
        <w:div w:id="1340932824">
          <w:marLeft w:val="360"/>
          <w:marRight w:val="0"/>
          <w:marTop w:val="200"/>
          <w:marBottom w:val="0"/>
          <w:divBdr>
            <w:top w:val="none" w:sz="0" w:space="0" w:color="auto"/>
            <w:left w:val="none" w:sz="0" w:space="0" w:color="auto"/>
            <w:bottom w:val="none" w:sz="0" w:space="0" w:color="auto"/>
            <w:right w:val="none" w:sz="0" w:space="0" w:color="auto"/>
          </w:divBdr>
        </w:div>
        <w:div w:id="54009265">
          <w:marLeft w:val="1080"/>
          <w:marRight w:val="0"/>
          <w:marTop w:val="100"/>
          <w:marBottom w:val="0"/>
          <w:divBdr>
            <w:top w:val="none" w:sz="0" w:space="0" w:color="auto"/>
            <w:left w:val="none" w:sz="0" w:space="0" w:color="auto"/>
            <w:bottom w:val="none" w:sz="0" w:space="0" w:color="auto"/>
            <w:right w:val="none" w:sz="0" w:space="0" w:color="auto"/>
          </w:divBdr>
        </w:div>
        <w:div w:id="887254551">
          <w:marLeft w:val="1080"/>
          <w:marRight w:val="0"/>
          <w:marTop w:val="100"/>
          <w:marBottom w:val="0"/>
          <w:divBdr>
            <w:top w:val="none" w:sz="0" w:space="0" w:color="auto"/>
            <w:left w:val="none" w:sz="0" w:space="0" w:color="auto"/>
            <w:bottom w:val="none" w:sz="0" w:space="0" w:color="auto"/>
            <w:right w:val="none" w:sz="0" w:space="0" w:color="auto"/>
          </w:divBdr>
        </w:div>
      </w:divsChild>
    </w:div>
    <w:div w:id="77136133">
      <w:bodyDiv w:val="1"/>
      <w:marLeft w:val="0"/>
      <w:marRight w:val="0"/>
      <w:marTop w:val="0"/>
      <w:marBottom w:val="0"/>
      <w:divBdr>
        <w:top w:val="none" w:sz="0" w:space="0" w:color="auto"/>
        <w:left w:val="none" w:sz="0" w:space="0" w:color="auto"/>
        <w:bottom w:val="none" w:sz="0" w:space="0" w:color="auto"/>
        <w:right w:val="none" w:sz="0" w:space="0" w:color="auto"/>
      </w:divBdr>
    </w:div>
    <w:div w:id="243688510">
      <w:bodyDiv w:val="1"/>
      <w:marLeft w:val="0"/>
      <w:marRight w:val="0"/>
      <w:marTop w:val="0"/>
      <w:marBottom w:val="0"/>
      <w:divBdr>
        <w:top w:val="none" w:sz="0" w:space="0" w:color="auto"/>
        <w:left w:val="none" w:sz="0" w:space="0" w:color="auto"/>
        <w:bottom w:val="none" w:sz="0" w:space="0" w:color="auto"/>
        <w:right w:val="none" w:sz="0" w:space="0" w:color="auto"/>
      </w:divBdr>
      <w:divsChild>
        <w:div w:id="1722440420">
          <w:marLeft w:val="1080"/>
          <w:marRight w:val="0"/>
          <w:marTop w:val="100"/>
          <w:marBottom w:val="0"/>
          <w:divBdr>
            <w:top w:val="none" w:sz="0" w:space="0" w:color="auto"/>
            <w:left w:val="none" w:sz="0" w:space="0" w:color="auto"/>
            <w:bottom w:val="none" w:sz="0" w:space="0" w:color="auto"/>
            <w:right w:val="none" w:sz="0" w:space="0" w:color="auto"/>
          </w:divBdr>
        </w:div>
        <w:div w:id="1132671655">
          <w:marLeft w:val="1080"/>
          <w:marRight w:val="0"/>
          <w:marTop w:val="100"/>
          <w:marBottom w:val="0"/>
          <w:divBdr>
            <w:top w:val="none" w:sz="0" w:space="0" w:color="auto"/>
            <w:left w:val="none" w:sz="0" w:space="0" w:color="auto"/>
            <w:bottom w:val="none" w:sz="0" w:space="0" w:color="auto"/>
            <w:right w:val="none" w:sz="0" w:space="0" w:color="auto"/>
          </w:divBdr>
        </w:div>
        <w:div w:id="2121490335">
          <w:marLeft w:val="1800"/>
          <w:marRight w:val="0"/>
          <w:marTop w:val="100"/>
          <w:marBottom w:val="0"/>
          <w:divBdr>
            <w:top w:val="none" w:sz="0" w:space="0" w:color="auto"/>
            <w:left w:val="none" w:sz="0" w:space="0" w:color="auto"/>
            <w:bottom w:val="none" w:sz="0" w:space="0" w:color="auto"/>
            <w:right w:val="none" w:sz="0" w:space="0" w:color="auto"/>
          </w:divBdr>
        </w:div>
        <w:div w:id="1168909456">
          <w:marLeft w:val="1800"/>
          <w:marRight w:val="0"/>
          <w:marTop w:val="100"/>
          <w:marBottom w:val="0"/>
          <w:divBdr>
            <w:top w:val="none" w:sz="0" w:space="0" w:color="auto"/>
            <w:left w:val="none" w:sz="0" w:space="0" w:color="auto"/>
            <w:bottom w:val="none" w:sz="0" w:space="0" w:color="auto"/>
            <w:right w:val="none" w:sz="0" w:space="0" w:color="auto"/>
          </w:divBdr>
        </w:div>
        <w:div w:id="74477159">
          <w:marLeft w:val="1800"/>
          <w:marRight w:val="0"/>
          <w:marTop w:val="100"/>
          <w:marBottom w:val="0"/>
          <w:divBdr>
            <w:top w:val="none" w:sz="0" w:space="0" w:color="auto"/>
            <w:left w:val="none" w:sz="0" w:space="0" w:color="auto"/>
            <w:bottom w:val="none" w:sz="0" w:space="0" w:color="auto"/>
            <w:right w:val="none" w:sz="0" w:space="0" w:color="auto"/>
          </w:divBdr>
        </w:div>
        <w:div w:id="1154952282">
          <w:marLeft w:val="1800"/>
          <w:marRight w:val="0"/>
          <w:marTop w:val="100"/>
          <w:marBottom w:val="0"/>
          <w:divBdr>
            <w:top w:val="none" w:sz="0" w:space="0" w:color="auto"/>
            <w:left w:val="none" w:sz="0" w:space="0" w:color="auto"/>
            <w:bottom w:val="none" w:sz="0" w:space="0" w:color="auto"/>
            <w:right w:val="none" w:sz="0" w:space="0" w:color="auto"/>
          </w:divBdr>
        </w:div>
      </w:divsChild>
    </w:div>
    <w:div w:id="300885656">
      <w:bodyDiv w:val="1"/>
      <w:marLeft w:val="0"/>
      <w:marRight w:val="0"/>
      <w:marTop w:val="0"/>
      <w:marBottom w:val="0"/>
      <w:divBdr>
        <w:top w:val="none" w:sz="0" w:space="0" w:color="auto"/>
        <w:left w:val="none" w:sz="0" w:space="0" w:color="auto"/>
        <w:bottom w:val="none" w:sz="0" w:space="0" w:color="auto"/>
        <w:right w:val="none" w:sz="0" w:space="0" w:color="auto"/>
      </w:divBdr>
    </w:div>
    <w:div w:id="352387710">
      <w:bodyDiv w:val="1"/>
      <w:marLeft w:val="0"/>
      <w:marRight w:val="0"/>
      <w:marTop w:val="0"/>
      <w:marBottom w:val="0"/>
      <w:divBdr>
        <w:top w:val="none" w:sz="0" w:space="0" w:color="auto"/>
        <w:left w:val="none" w:sz="0" w:space="0" w:color="auto"/>
        <w:bottom w:val="none" w:sz="0" w:space="0" w:color="auto"/>
        <w:right w:val="none" w:sz="0" w:space="0" w:color="auto"/>
      </w:divBdr>
      <w:divsChild>
        <w:div w:id="1866166640">
          <w:marLeft w:val="360"/>
          <w:marRight w:val="0"/>
          <w:marTop w:val="200"/>
          <w:marBottom w:val="0"/>
          <w:divBdr>
            <w:top w:val="none" w:sz="0" w:space="0" w:color="auto"/>
            <w:left w:val="none" w:sz="0" w:space="0" w:color="auto"/>
            <w:bottom w:val="none" w:sz="0" w:space="0" w:color="auto"/>
            <w:right w:val="none" w:sz="0" w:space="0" w:color="auto"/>
          </w:divBdr>
        </w:div>
        <w:div w:id="1184320387">
          <w:marLeft w:val="360"/>
          <w:marRight w:val="0"/>
          <w:marTop w:val="200"/>
          <w:marBottom w:val="0"/>
          <w:divBdr>
            <w:top w:val="none" w:sz="0" w:space="0" w:color="auto"/>
            <w:left w:val="none" w:sz="0" w:space="0" w:color="auto"/>
            <w:bottom w:val="none" w:sz="0" w:space="0" w:color="auto"/>
            <w:right w:val="none" w:sz="0" w:space="0" w:color="auto"/>
          </w:divBdr>
        </w:div>
        <w:div w:id="261885059">
          <w:marLeft w:val="360"/>
          <w:marRight w:val="0"/>
          <w:marTop w:val="200"/>
          <w:marBottom w:val="0"/>
          <w:divBdr>
            <w:top w:val="none" w:sz="0" w:space="0" w:color="auto"/>
            <w:left w:val="none" w:sz="0" w:space="0" w:color="auto"/>
            <w:bottom w:val="none" w:sz="0" w:space="0" w:color="auto"/>
            <w:right w:val="none" w:sz="0" w:space="0" w:color="auto"/>
          </w:divBdr>
        </w:div>
      </w:divsChild>
    </w:div>
    <w:div w:id="435296659">
      <w:bodyDiv w:val="1"/>
      <w:marLeft w:val="0"/>
      <w:marRight w:val="0"/>
      <w:marTop w:val="0"/>
      <w:marBottom w:val="0"/>
      <w:divBdr>
        <w:top w:val="none" w:sz="0" w:space="0" w:color="auto"/>
        <w:left w:val="none" w:sz="0" w:space="0" w:color="auto"/>
        <w:bottom w:val="none" w:sz="0" w:space="0" w:color="auto"/>
        <w:right w:val="none" w:sz="0" w:space="0" w:color="auto"/>
      </w:divBdr>
    </w:div>
    <w:div w:id="685594373">
      <w:bodyDiv w:val="1"/>
      <w:marLeft w:val="0"/>
      <w:marRight w:val="0"/>
      <w:marTop w:val="0"/>
      <w:marBottom w:val="0"/>
      <w:divBdr>
        <w:top w:val="none" w:sz="0" w:space="0" w:color="auto"/>
        <w:left w:val="none" w:sz="0" w:space="0" w:color="auto"/>
        <w:bottom w:val="none" w:sz="0" w:space="0" w:color="auto"/>
        <w:right w:val="none" w:sz="0" w:space="0" w:color="auto"/>
      </w:divBdr>
    </w:div>
    <w:div w:id="1157265456">
      <w:bodyDiv w:val="1"/>
      <w:marLeft w:val="0"/>
      <w:marRight w:val="0"/>
      <w:marTop w:val="0"/>
      <w:marBottom w:val="0"/>
      <w:divBdr>
        <w:top w:val="none" w:sz="0" w:space="0" w:color="auto"/>
        <w:left w:val="none" w:sz="0" w:space="0" w:color="auto"/>
        <w:bottom w:val="none" w:sz="0" w:space="0" w:color="auto"/>
        <w:right w:val="none" w:sz="0" w:space="0" w:color="auto"/>
      </w:divBdr>
    </w:div>
    <w:div w:id="1225988709">
      <w:bodyDiv w:val="1"/>
      <w:marLeft w:val="0"/>
      <w:marRight w:val="0"/>
      <w:marTop w:val="0"/>
      <w:marBottom w:val="0"/>
      <w:divBdr>
        <w:top w:val="none" w:sz="0" w:space="0" w:color="auto"/>
        <w:left w:val="none" w:sz="0" w:space="0" w:color="auto"/>
        <w:bottom w:val="none" w:sz="0" w:space="0" w:color="auto"/>
        <w:right w:val="none" w:sz="0" w:space="0" w:color="auto"/>
      </w:divBdr>
    </w:div>
    <w:div w:id="1384065275">
      <w:bodyDiv w:val="1"/>
      <w:marLeft w:val="0"/>
      <w:marRight w:val="0"/>
      <w:marTop w:val="0"/>
      <w:marBottom w:val="0"/>
      <w:divBdr>
        <w:top w:val="none" w:sz="0" w:space="0" w:color="auto"/>
        <w:left w:val="none" w:sz="0" w:space="0" w:color="auto"/>
        <w:bottom w:val="none" w:sz="0" w:space="0" w:color="auto"/>
        <w:right w:val="none" w:sz="0" w:space="0" w:color="auto"/>
      </w:divBdr>
      <w:divsChild>
        <w:div w:id="31730474">
          <w:marLeft w:val="360"/>
          <w:marRight w:val="0"/>
          <w:marTop w:val="200"/>
          <w:marBottom w:val="0"/>
          <w:divBdr>
            <w:top w:val="none" w:sz="0" w:space="0" w:color="auto"/>
            <w:left w:val="none" w:sz="0" w:space="0" w:color="auto"/>
            <w:bottom w:val="none" w:sz="0" w:space="0" w:color="auto"/>
            <w:right w:val="none" w:sz="0" w:space="0" w:color="auto"/>
          </w:divBdr>
        </w:div>
        <w:div w:id="85421462">
          <w:marLeft w:val="1080"/>
          <w:marRight w:val="0"/>
          <w:marTop w:val="100"/>
          <w:marBottom w:val="0"/>
          <w:divBdr>
            <w:top w:val="none" w:sz="0" w:space="0" w:color="auto"/>
            <w:left w:val="none" w:sz="0" w:space="0" w:color="auto"/>
            <w:bottom w:val="none" w:sz="0" w:space="0" w:color="auto"/>
            <w:right w:val="none" w:sz="0" w:space="0" w:color="auto"/>
          </w:divBdr>
        </w:div>
        <w:div w:id="680474234">
          <w:marLeft w:val="1800"/>
          <w:marRight w:val="0"/>
          <w:marTop w:val="100"/>
          <w:marBottom w:val="0"/>
          <w:divBdr>
            <w:top w:val="none" w:sz="0" w:space="0" w:color="auto"/>
            <w:left w:val="none" w:sz="0" w:space="0" w:color="auto"/>
            <w:bottom w:val="none" w:sz="0" w:space="0" w:color="auto"/>
            <w:right w:val="none" w:sz="0" w:space="0" w:color="auto"/>
          </w:divBdr>
        </w:div>
        <w:div w:id="1694070961">
          <w:marLeft w:val="1800"/>
          <w:marRight w:val="0"/>
          <w:marTop w:val="100"/>
          <w:marBottom w:val="0"/>
          <w:divBdr>
            <w:top w:val="none" w:sz="0" w:space="0" w:color="auto"/>
            <w:left w:val="none" w:sz="0" w:space="0" w:color="auto"/>
            <w:bottom w:val="none" w:sz="0" w:space="0" w:color="auto"/>
            <w:right w:val="none" w:sz="0" w:space="0" w:color="auto"/>
          </w:divBdr>
        </w:div>
        <w:div w:id="1758021415">
          <w:marLeft w:val="1080"/>
          <w:marRight w:val="0"/>
          <w:marTop w:val="100"/>
          <w:marBottom w:val="0"/>
          <w:divBdr>
            <w:top w:val="none" w:sz="0" w:space="0" w:color="auto"/>
            <w:left w:val="none" w:sz="0" w:space="0" w:color="auto"/>
            <w:bottom w:val="none" w:sz="0" w:space="0" w:color="auto"/>
            <w:right w:val="none" w:sz="0" w:space="0" w:color="auto"/>
          </w:divBdr>
        </w:div>
        <w:div w:id="1474912464">
          <w:marLeft w:val="1800"/>
          <w:marRight w:val="0"/>
          <w:marTop w:val="100"/>
          <w:marBottom w:val="0"/>
          <w:divBdr>
            <w:top w:val="none" w:sz="0" w:space="0" w:color="auto"/>
            <w:left w:val="none" w:sz="0" w:space="0" w:color="auto"/>
            <w:bottom w:val="none" w:sz="0" w:space="0" w:color="auto"/>
            <w:right w:val="none" w:sz="0" w:space="0" w:color="auto"/>
          </w:divBdr>
        </w:div>
        <w:div w:id="1863392440">
          <w:marLeft w:val="1800"/>
          <w:marRight w:val="0"/>
          <w:marTop w:val="100"/>
          <w:marBottom w:val="0"/>
          <w:divBdr>
            <w:top w:val="none" w:sz="0" w:space="0" w:color="auto"/>
            <w:left w:val="none" w:sz="0" w:space="0" w:color="auto"/>
            <w:bottom w:val="none" w:sz="0" w:space="0" w:color="auto"/>
            <w:right w:val="none" w:sz="0" w:space="0" w:color="auto"/>
          </w:divBdr>
        </w:div>
        <w:div w:id="816845784">
          <w:marLeft w:val="1800"/>
          <w:marRight w:val="0"/>
          <w:marTop w:val="100"/>
          <w:marBottom w:val="0"/>
          <w:divBdr>
            <w:top w:val="none" w:sz="0" w:space="0" w:color="auto"/>
            <w:left w:val="none" w:sz="0" w:space="0" w:color="auto"/>
            <w:bottom w:val="none" w:sz="0" w:space="0" w:color="auto"/>
            <w:right w:val="none" w:sz="0" w:space="0" w:color="auto"/>
          </w:divBdr>
        </w:div>
      </w:divsChild>
    </w:div>
    <w:div w:id="1619413031">
      <w:bodyDiv w:val="1"/>
      <w:marLeft w:val="0"/>
      <w:marRight w:val="0"/>
      <w:marTop w:val="0"/>
      <w:marBottom w:val="0"/>
      <w:divBdr>
        <w:top w:val="none" w:sz="0" w:space="0" w:color="auto"/>
        <w:left w:val="none" w:sz="0" w:space="0" w:color="auto"/>
        <w:bottom w:val="none" w:sz="0" w:space="0" w:color="auto"/>
        <w:right w:val="none" w:sz="0" w:space="0" w:color="auto"/>
      </w:divBdr>
      <w:divsChild>
        <w:div w:id="1679622950">
          <w:marLeft w:val="360"/>
          <w:marRight w:val="0"/>
          <w:marTop w:val="200"/>
          <w:marBottom w:val="0"/>
          <w:divBdr>
            <w:top w:val="none" w:sz="0" w:space="0" w:color="auto"/>
            <w:left w:val="none" w:sz="0" w:space="0" w:color="auto"/>
            <w:bottom w:val="none" w:sz="0" w:space="0" w:color="auto"/>
            <w:right w:val="none" w:sz="0" w:space="0" w:color="auto"/>
          </w:divBdr>
        </w:div>
        <w:div w:id="2058432030">
          <w:marLeft w:val="360"/>
          <w:marRight w:val="0"/>
          <w:marTop w:val="200"/>
          <w:marBottom w:val="0"/>
          <w:divBdr>
            <w:top w:val="none" w:sz="0" w:space="0" w:color="auto"/>
            <w:left w:val="none" w:sz="0" w:space="0" w:color="auto"/>
            <w:bottom w:val="none" w:sz="0" w:space="0" w:color="auto"/>
            <w:right w:val="none" w:sz="0" w:space="0" w:color="auto"/>
          </w:divBdr>
        </w:div>
        <w:div w:id="208301325">
          <w:marLeft w:val="360"/>
          <w:marRight w:val="0"/>
          <w:marTop w:val="200"/>
          <w:marBottom w:val="0"/>
          <w:divBdr>
            <w:top w:val="none" w:sz="0" w:space="0" w:color="auto"/>
            <w:left w:val="none" w:sz="0" w:space="0" w:color="auto"/>
            <w:bottom w:val="none" w:sz="0" w:space="0" w:color="auto"/>
            <w:right w:val="none" w:sz="0" w:space="0" w:color="auto"/>
          </w:divBdr>
        </w:div>
        <w:div w:id="250894220">
          <w:marLeft w:val="360"/>
          <w:marRight w:val="0"/>
          <w:marTop w:val="200"/>
          <w:marBottom w:val="0"/>
          <w:divBdr>
            <w:top w:val="none" w:sz="0" w:space="0" w:color="auto"/>
            <w:left w:val="none" w:sz="0" w:space="0" w:color="auto"/>
            <w:bottom w:val="none" w:sz="0" w:space="0" w:color="auto"/>
            <w:right w:val="none" w:sz="0" w:space="0" w:color="auto"/>
          </w:divBdr>
        </w:div>
        <w:div w:id="1502429057">
          <w:marLeft w:val="360"/>
          <w:marRight w:val="0"/>
          <w:marTop w:val="200"/>
          <w:marBottom w:val="0"/>
          <w:divBdr>
            <w:top w:val="none" w:sz="0" w:space="0" w:color="auto"/>
            <w:left w:val="none" w:sz="0" w:space="0" w:color="auto"/>
            <w:bottom w:val="none" w:sz="0" w:space="0" w:color="auto"/>
            <w:right w:val="none" w:sz="0" w:space="0" w:color="auto"/>
          </w:divBdr>
        </w:div>
      </w:divsChild>
    </w:div>
    <w:div w:id="1657954539">
      <w:bodyDiv w:val="1"/>
      <w:marLeft w:val="0"/>
      <w:marRight w:val="0"/>
      <w:marTop w:val="0"/>
      <w:marBottom w:val="0"/>
      <w:divBdr>
        <w:top w:val="none" w:sz="0" w:space="0" w:color="auto"/>
        <w:left w:val="none" w:sz="0" w:space="0" w:color="auto"/>
        <w:bottom w:val="none" w:sz="0" w:space="0" w:color="auto"/>
        <w:right w:val="none" w:sz="0" w:space="0" w:color="auto"/>
      </w:divBdr>
      <w:divsChild>
        <w:div w:id="438187020">
          <w:marLeft w:val="360"/>
          <w:marRight w:val="0"/>
          <w:marTop w:val="200"/>
          <w:marBottom w:val="0"/>
          <w:divBdr>
            <w:top w:val="none" w:sz="0" w:space="0" w:color="auto"/>
            <w:left w:val="none" w:sz="0" w:space="0" w:color="auto"/>
            <w:bottom w:val="none" w:sz="0" w:space="0" w:color="auto"/>
            <w:right w:val="none" w:sz="0" w:space="0" w:color="auto"/>
          </w:divBdr>
        </w:div>
        <w:div w:id="537207033">
          <w:marLeft w:val="360"/>
          <w:marRight w:val="0"/>
          <w:marTop w:val="200"/>
          <w:marBottom w:val="0"/>
          <w:divBdr>
            <w:top w:val="none" w:sz="0" w:space="0" w:color="auto"/>
            <w:left w:val="none" w:sz="0" w:space="0" w:color="auto"/>
            <w:bottom w:val="none" w:sz="0" w:space="0" w:color="auto"/>
            <w:right w:val="none" w:sz="0" w:space="0" w:color="auto"/>
          </w:divBdr>
        </w:div>
        <w:div w:id="1931356075">
          <w:marLeft w:val="360"/>
          <w:marRight w:val="0"/>
          <w:marTop w:val="200"/>
          <w:marBottom w:val="0"/>
          <w:divBdr>
            <w:top w:val="none" w:sz="0" w:space="0" w:color="auto"/>
            <w:left w:val="none" w:sz="0" w:space="0" w:color="auto"/>
            <w:bottom w:val="none" w:sz="0" w:space="0" w:color="auto"/>
            <w:right w:val="none" w:sz="0" w:space="0" w:color="auto"/>
          </w:divBdr>
        </w:div>
      </w:divsChild>
    </w:div>
    <w:div w:id="1742100754">
      <w:bodyDiv w:val="1"/>
      <w:marLeft w:val="0"/>
      <w:marRight w:val="0"/>
      <w:marTop w:val="0"/>
      <w:marBottom w:val="0"/>
      <w:divBdr>
        <w:top w:val="none" w:sz="0" w:space="0" w:color="auto"/>
        <w:left w:val="none" w:sz="0" w:space="0" w:color="auto"/>
        <w:bottom w:val="none" w:sz="0" w:space="0" w:color="auto"/>
        <w:right w:val="none" w:sz="0" w:space="0" w:color="auto"/>
      </w:divBdr>
    </w:div>
    <w:div w:id="1771463472">
      <w:bodyDiv w:val="1"/>
      <w:marLeft w:val="0"/>
      <w:marRight w:val="0"/>
      <w:marTop w:val="0"/>
      <w:marBottom w:val="0"/>
      <w:divBdr>
        <w:top w:val="none" w:sz="0" w:space="0" w:color="auto"/>
        <w:left w:val="none" w:sz="0" w:space="0" w:color="auto"/>
        <w:bottom w:val="none" w:sz="0" w:space="0" w:color="auto"/>
        <w:right w:val="none" w:sz="0" w:space="0" w:color="auto"/>
      </w:divBdr>
      <w:divsChild>
        <w:div w:id="118500194">
          <w:marLeft w:val="446"/>
          <w:marRight w:val="0"/>
          <w:marTop w:val="0"/>
          <w:marBottom w:val="0"/>
          <w:divBdr>
            <w:top w:val="none" w:sz="0" w:space="0" w:color="auto"/>
            <w:left w:val="none" w:sz="0" w:space="0" w:color="auto"/>
            <w:bottom w:val="none" w:sz="0" w:space="0" w:color="auto"/>
            <w:right w:val="none" w:sz="0" w:space="0" w:color="auto"/>
          </w:divBdr>
        </w:div>
      </w:divsChild>
    </w:div>
    <w:div w:id="1929654552">
      <w:bodyDiv w:val="1"/>
      <w:marLeft w:val="0"/>
      <w:marRight w:val="0"/>
      <w:marTop w:val="0"/>
      <w:marBottom w:val="0"/>
      <w:divBdr>
        <w:top w:val="none" w:sz="0" w:space="0" w:color="auto"/>
        <w:left w:val="none" w:sz="0" w:space="0" w:color="auto"/>
        <w:bottom w:val="none" w:sz="0" w:space="0" w:color="auto"/>
        <w:right w:val="none" w:sz="0" w:space="0" w:color="auto"/>
      </w:divBdr>
    </w:div>
    <w:div w:id="2056004211">
      <w:bodyDiv w:val="1"/>
      <w:marLeft w:val="0"/>
      <w:marRight w:val="0"/>
      <w:marTop w:val="0"/>
      <w:marBottom w:val="0"/>
      <w:divBdr>
        <w:top w:val="none" w:sz="0" w:space="0" w:color="auto"/>
        <w:left w:val="none" w:sz="0" w:space="0" w:color="auto"/>
        <w:bottom w:val="none" w:sz="0" w:space="0" w:color="auto"/>
        <w:right w:val="none" w:sz="0" w:space="0" w:color="auto"/>
      </w:divBdr>
      <w:divsChild>
        <w:div w:id="1713797535">
          <w:marLeft w:val="360"/>
          <w:marRight w:val="0"/>
          <w:marTop w:val="200"/>
          <w:marBottom w:val="0"/>
          <w:divBdr>
            <w:top w:val="none" w:sz="0" w:space="0" w:color="auto"/>
            <w:left w:val="none" w:sz="0" w:space="0" w:color="auto"/>
            <w:bottom w:val="none" w:sz="0" w:space="0" w:color="auto"/>
            <w:right w:val="none" w:sz="0" w:space="0" w:color="auto"/>
          </w:divBdr>
        </w:div>
        <w:div w:id="365643014">
          <w:marLeft w:val="360"/>
          <w:marRight w:val="0"/>
          <w:marTop w:val="200"/>
          <w:marBottom w:val="0"/>
          <w:divBdr>
            <w:top w:val="none" w:sz="0" w:space="0" w:color="auto"/>
            <w:left w:val="none" w:sz="0" w:space="0" w:color="auto"/>
            <w:bottom w:val="none" w:sz="0" w:space="0" w:color="auto"/>
            <w:right w:val="none" w:sz="0" w:space="0" w:color="auto"/>
          </w:divBdr>
        </w:div>
        <w:div w:id="2075394895">
          <w:marLeft w:val="360"/>
          <w:marRight w:val="0"/>
          <w:marTop w:val="200"/>
          <w:marBottom w:val="0"/>
          <w:divBdr>
            <w:top w:val="none" w:sz="0" w:space="0" w:color="auto"/>
            <w:left w:val="none" w:sz="0" w:space="0" w:color="auto"/>
            <w:bottom w:val="none" w:sz="0" w:space="0" w:color="auto"/>
            <w:right w:val="none" w:sz="0" w:space="0" w:color="auto"/>
          </w:divBdr>
        </w:div>
        <w:div w:id="405152628">
          <w:marLeft w:val="360"/>
          <w:marRight w:val="0"/>
          <w:marTop w:val="200"/>
          <w:marBottom w:val="0"/>
          <w:divBdr>
            <w:top w:val="none" w:sz="0" w:space="0" w:color="auto"/>
            <w:left w:val="none" w:sz="0" w:space="0" w:color="auto"/>
            <w:bottom w:val="none" w:sz="0" w:space="0" w:color="auto"/>
            <w:right w:val="none" w:sz="0" w:space="0" w:color="auto"/>
          </w:divBdr>
        </w:div>
        <w:div w:id="1973972939">
          <w:marLeft w:val="360"/>
          <w:marRight w:val="0"/>
          <w:marTop w:val="200"/>
          <w:marBottom w:val="0"/>
          <w:divBdr>
            <w:top w:val="none" w:sz="0" w:space="0" w:color="auto"/>
            <w:left w:val="none" w:sz="0" w:space="0" w:color="auto"/>
            <w:bottom w:val="none" w:sz="0" w:space="0" w:color="auto"/>
            <w:right w:val="none" w:sz="0" w:space="0" w:color="auto"/>
          </w:divBdr>
        </w:div>
      </w:divsChild>
    </w:div>
    <w:div w:id="214087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1.xml"/><Relationship Id="rId18" Type="http://schemas.openxmlformats.org/officeDocument/2006/relationships/chart" Target="charts/chart2.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emf"/><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fontTable" Target="fontTable.xml"/><Relationship Id="rId27" Type="http://schemas.openxmlformats.org/officeDocument/2006/relationships/customXml" Target="../customXml/item5.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WB307520\Desktop\FCV%20Jobs%20Strategies\Iraq\PPT%20inpu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WB307520\Desktop\FCV%20Jobs%20Strategies\Iraq\HH%20sector%20employment%20share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a:t>Iraq - cereal production and imports</a:t>
            </a:r>
          </a:p>
        </c:rich>
      </c:tx>
      <c:layout>
        <c:manualLayout>
          <c:xMode val="edge"/>
          <c:yMode val="edge"/>
          <c:x val="0.14160231294476064"/>
          <c:y val="2.5518341307814992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Cereals!$P$10</c:f>
              <c:strCache>
                <c:ptCount val="1"/>
                <c:pt idx="0">
                  <c:v>Domestic production</c:v>
                </c:pt>
              </c:strCache>
            </c:strRef>
          </c:tx>
          <c:spPr>
            <a:solidFill>
              <a:schemeClr val="accent1"/>
            </a:solidFill>
            <a:ln>
              <a:noFill/>
            </a:ln>
            <a:effectLst/>
          </c:spPr>
          <c:invertIfNegative val="0"/>
          <c:cat>
            <c:strRef>
              <c:f>Cereals!$O$11:$O$13</c:f>
              <c:strCache>
                <c:ptCount val="3"/>
                <c:pt idx="0">
                  <c:v>Average 2011-15</c:v>
                </c:pt>
                <c:pt idx="1">
                  <c:v>2015</c:v>
                </c:pt>
                <c:pt idx="2">
                  <c:v>2016 estimate</c:v>
                </c:pt>
              </c:strCache>
            </c:strRef>
          </c:cat>
          <c:val>
            <c:numRef>
              <c:f>Cereals!$P$11:$P$13</c:f>
              <c:numCache>
                <c:formatCode>General</c:formatCode>
                <c:ptCount val="3"/>
                <c:pt idx="0">
                  <c:v>4424</c:v>
                </c:pt>
                <c:pt idx="1">
                  <c:v>4368</c:v>
                </c:pt>
                <c:pt idx="2">
                  <c:v>4289</c:v>
                </c:pt>
              </c:numCache>
            </c:numRef>
          </c:val>
          <c:extLst>
            <c:ext xmlns:c16="http://schemas.microsoft.com/office/drawing/2014/chart" uri="{C3380CC4-5D6E-409C-BE32-E72D297353CC}">
              <c16:uniqueId val="{00000000-B1CE-47C8-B805-933D35EE0454}"/>
            </c:ext>
          </c:extLst>
        </c:ser>
        <c:ser>
          <c:idx val="1"/>
          <c:order val="1"/>
          <c:tx>
            <c:strRef>
              <c:f>Cereals!$Q$10</c:f>
              <c:strCache>
                <c:ptCount val="1"/>
                <c:pt idx="0">
                  <c:v>Imports</c:v>
                </c:pt>
              </c:strCache>
            </c:strRef>
          </c:tx>
          <c:spPr>
            <a:solidFill>
              <a:schemeClr val="accent2"/>
            </a:solidFill>
            <a:ln>
              <a:noFill/>
            </a:ln>
            <a:effectLst/>
          </c:spPr>
          <c:invertIfNegative val="0"/>
          <c:cat>
            <c:strRef>
              <c:f>Cereals!$O$11:$O$13</c:f>
              <c:strCache>
                <c:ptCount val="3"/>
                <c:pt idx="0">
                  <c:v>Average 2011-15</c:v>
                </c:pt>
                <c:pt idx="1">
                  <c:v>2015</c:v>
                </c:pt>
                <c:pt idx="2">
                  <c:v>2016 estimate</c:v>
                </c:pt>
              </c:strCache>
            </c:strRef>
          </c:cat>
          <c:val>
            <c:numRef>
              <c:f>Cereals!$Q$11:$Q$13</c:f>
              <c:numCache>
                <c:formatCode>General</c:formatCode>
                <c:ptCount val="3"/>
                <c:pt idx="0">
                  <c:v>4867</c:v>
                </c:pt>
                <c:pt idx="1">
                  <c:v>4540</c:v>
                </c:pt>
                <c:pt idx="2">
                  <c:v>4540</c:v>
                </c:pt>
              </c:numCache>
            </c:numRef>
          </c:val>
          <c:extLst>
            <c:ext xmlns:c16="http://schemas.microsoft.com/office/drawing/2014/chart" uri="{C3380CC4-5D6E-409C-BE32-E72D297353CC}">
              <c16:uniqueId val="{00000001-B1CE-47C8-B805-933D35EE0454}"/>
            </c:ext>
          </c:extLst>
        </c:ser>
        <c:dLbls>
          <c:showLegendKey val="0"/>
          <c:showVal val="0"/>
          <c:showCatName val="0"/>
          <c:showSerName val="0"/>
          <c:showPercent val="0"/>
          <c:showBubbleSize val="0"/>
        </c:dLbls>
        <c:gapWidth val="219"/>
        <c:overlap val="-27"/>
        <c:axId val="129411712"/>
        <c:axId val="129417600"/>
      </c:barChart>
      <c:catAx>
        <c:axId val="129411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417600"/>
        <c:crosses val="autoZero"/>
        <c:auto val="1"/>
        <c:lblAlgn val="ctr"/>
        <c:lblOffset val="100"/>
        <c:noMultiLvlLbl val="0"/>
      </c:catAx>
      <c:valAx>
        <c:axId val="12941760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1,000 tonnes</a:t>
                </a:r>
              </a:p>
            </c:rich>
          </c:tx>
          <c:layout>
            <c:manualLayout>
              <c:xMode val="edge"/>
              <c:yMode val="edge"/>
              <c:x val="2.7478344562078923E-2"/>
              <c:y val="0.2247492747617074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411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clean!$C$68</c:f>
              <c:strCache>
                <c:ptCount val="1"/>
                <c:pt idx="0">
                  <c:v>Jobs</c:v>
                </c:pt>
              </c:strCache>
            </c:strRef>
          </c:tx>
          <c:spPr>
            <a:solidFill>
              <a:schemeClr val="accent1"/>
            </a:solidFill>
            <a:ln>
              <a:noFill/>
            </a:ln>
            <a:effectLst/>
          </c:spPr>
          <c:invertIfNegative val="0"/>
          <c:cat>
            <c:strRef>
              <c:f>clean!$B$69:$B$78</c:f>
              <c:strCache>
                <c:ptCount val="10"/>
                <c:pt idx="0">
                  <c:v>Commerce and retail</c:v>
                </c:pt>
                <c:pt idx="1">
                  <c:v>Agriculture &amp; fishing</c:v>
                </c:pt>
                <c:pt idx="2">
                  <c:v>Construction</c:v>
                </c:pt>
                <c:pt idx="3">
                  <c:v>Transport, storage &amp; communication</c:v>
                </c:pt>
                <c:pt idx="4">
                  <c:v>Manufacturing</c:v>
                </c:pt>
                <c:pt idx="5">
                  <c:v>Other services</c:v>
                </c:pt>
                <c:pt idx="6">
                  <c:v>Finance, insurance &amp; professional services</c:v>
                </c:pt>
                <c:pt idx="7">
                  <c:v>Mining &amp; quarrying</c:v>
                </c:pt>
                <c:pt idx="8">
                  <c:v>Utilities</c:v>
                </c:pt>
                <c:pt idx="9">
                  <c:v>Public administration, health &amp; education</c:v>
                </c:pt>
              </c:strCache>
            </c:strRef>
          </c:cat>
          <c:val>
            <c:numRef>
              <c:f>clean!$C$69:$C$78</c:f>
              <c:numCache>
                <c:formatCode>_(* #,##0_);_(* \(#,##0\);_(* "-"??_);_(@_)</c:formatCode>
                <c:ptCount val="10"/>
                <c:pt idx="0">
                  <c:v>629541</c:v>
                </c:pt>
                <c:pt idx="1">
                  <c:v>444419</c:v>
                </c:pt>
                <c:pt idx="2">
                  <c:v>685994</c:v>
                </c:pt>
                <c:pt idx="3">
                  <c:v>446798</c:v>
                </c:pt>
                <c:pt idx="4">
                  <c:v>346281</c:v>
                </c:pt>
                <c:pt idx="5">
                  <c:v>142634</c:v>
                </c:pt>
                <c:pt idx="6">
                  <c:v>557001</c:v>
                </c:pt>
                <c:pt idx="7">
                  <c:v>56431</c:v>
                </c:pt>
                <c:pt idx="8">
                  <c:v>92062</c:v>
                </c:pt>
                <c:pt idx="9">
                  <c:v>1012214</c:v>
                </c:pt>
              </c:numCache>
            </c:numRef>
          </c:val>
          <c:extLst>
            <c:ext xmlns:c16="http://schemas.microsoft.com/office/drawing/2014/chart" uri="{C3380CC4-5D6E-409C-BE32-E72D297353CC}">
              <c16:uniqueId val="{00000000-6C16-43C8-BAF3-A6435D367887}"/>
            </c:ext>
          </c:extLst>
        </c:ser>
        <c:dLbls>
          <c:showLegendKey val="0"/>
          <c:showVal val="0"/>
          <c:showCatName val="0"/>
          <c:showSerName val="0"/>
          <c:showPercent val="0"/>
          <c:showBubbleSize val="0"/>
        </c:dLbls>
        <c:gapWidth val="219"/>
        <c:axId val="463860296"/>
        <c:axId val="463858728"/>
      </c:barChart>
      <c:lineChart>
        <c:grouping val="standard"/>
        <c:varyColors val="0"/>
        <c:ser>
          <c:idx val="1"/>
          <c:order val="1"/>
          <c:tx>
            <c:strRef>
              <c:f>clean!$E$68</c:f>
              <c:strCache>
                <c:ptCount val="1"/>
                <c:pt idx="0">
                  <c:v>% private (right hand axis)</c:v>
                </c:pt>
              </c:strCache>
            </c:strRef>
          </c:tx>
          <c:spPr>
            <a:ln w="28575" cap="rnd">
              <a:solidFill>
                <a:schemeClr val="accent2"/>
              </a:solidFill>
              <a:round/>
            </a:ln>
            <a:effectLst/>
          </c:spPr>
          <c:marker>
            <c:symbol val="none"/>
          </c:marker>
          <c:cat>
            <c:strRef>
              <c:f>clean!$B$69:$B$78</c:f>
              <c:strCache>
                <c:ptCount val="10"/>
                <c:pt idx="0">
                  <c:v>Commerce and retail</c:v>
                </c:pt>
                <c:pt idx="1">
                  <c:v>Agriculture &amp; fishing</c:v>
                </c:pt>
                <c:pt idx="2">
                  <c:v>Construction</c:v>
                </c:pt>
                <c:pt idx="3">
                  <c:v>Transport, storage &amp; communication</c:v>
                </c:pt>
                <c:pt idx="4">
                  <c:v>Manufacturing</c:v>
                </c:pt>
                <c:pt idx="5">
                  <c:v>Other services</c:v>
                </c:pt>
                <c:pt idx="6">
                  <c:v>Finance, insurance &amp; professional services</c:v>
                </c:pt>
                <c:pt idx="7">
                  <c:v>Mining &amp; quarrying</c:v>
                </c:pt>
                <c:pt idx="8">
                  <c:v>Utilities</c:v>
                </c:pt>
                <c:pt idx="9">
                  <c:v>Public administration, health &amp; education</c:v>
                </c:pt>
              </c:strCache>
            </c:strRef>
          </c:cat>
          <c:val>
            <c:numRef>
              <c:f>clean!$E$69:$E$78</c:f>
              <c:numCache>
                <c:formatCode>0%</c:formatCode>
                <c:ptCount val="10"/>
                <c:pt idx="0">
                  <c:v>0.96133055670718826</c:v>
                </c:pt>
                <c:pt idx="1">
                  <c:v>0.92803412995393986</c:v>
                </c:pt>
                <c:pt idx="2">
                  <c:v>0.92430546039761285</c:v>
                </c:pt>
                <c:pt idx="3">
                  <c:v>0.80400986575588962</c:v>
                </c:pt>
                <c:pt idx="4">
                  <c:v>0.67810535374450231</c:v>
                </c:pt>
                <c:pt idx="5">
                  <c:v>0.52476267930507459</c:v>
                </c:pt>
                <c:pt idx="6">
                  <c:v>0.49269749964542253</c:v>
                </c:pt>
                <c:pt idx="7">
                  <c:v>0.23807836118445536</c:v>
                </c:pt>
                <c:pt idx="8">
                  <c:v>0.1926636397210576</c:v>
                </c:pt>
                <c:pt idx="9">
                  <c:v>3.3376341366548989E-2</c:v>
                </c:pt>
              </c:numCache>
            </c:numRef>
          </c:val>
          <c:smooth val="0"/>
          <c:extLst>
            <c:ext xmlns:c16="http://schemas.microsoft.com/office/drawing/2014/chart" uri="{C3380CC4-5D6E-409C-BE32-E72D297353CC}">
              <c16:uniqueId val="{00000001-6C16-43C8-BAF3-A6435D367887}"/>
            </c:ext>
          </c:extLst>
        </c:ser>
        <c:dLbls>
          <c:showLegendKey val="0"/>
          <c:showVal val="0"/>
          <c:showCatName val="0"/>
          <c:showSerName val="0"/>
          <c:showPercent val="0"/>
          <c:showBubbleSize val="0"/>
        </c:dLbls>
        <c:marker val="1"/>
        <c:smooth val="0"/>
        <c:axId val="463868136"/>
        <c:axId val="463867744"/>
      </c:lineChart>
      <c:catAx>
        <c:axId val="463860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3858728"/>
        <c:crosses val="autoZero"/>
        <c:auto val="1"/>
        <c:lblAlgn val="ctr"/>
        <c:lblOffset val="100"/>
        <c:noMultiLvlLbl val="0"/>
      </c:catAx>
      <c:valAx>
        <c:axId val="463858728"/>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3860296"/>
        <c:crosses val="autoZero"/>
        <c:crossBetween val="between"/>
      </c:valAx>
      <c:valAx>
        <c:axId val="463867744"/>
        <c:scaling>
          <c:orientation val="minMax"/>
          <c:max val="1"/>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3868136"/>
        <c:crosses val="max"/>
        <c:crossBetween val="between"/>
        <c:majorUnit val="0.2"/>
      </c:valAx>
      <c:catAx>
        <c:axId val="463868136"/>
        <c:scaling>
          <c:orientation val="minMax"/>
        </c:scaling>
        <c:delete val="1"/>
        <c:axPos val="b"/>
        <c:numFmt formatCode="General" sourceLinked="1"/>
        <c:majorTickMark val="out"/>
        <c:minorTickMark val="none"/>
        <c:tickLblPos val="nextTo"/>
        <c:crossAx val="46386774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6DD6AAD207E30B48BFDFCDD0C7C3A38B" ma:contentTypeVersion="3" ma:contentTypeDescription="" ma:contentTypeScope="" ma:versionID="90a4cf8938f931f6b23946f1141af438">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Authors xmlns="b99a068c-3844-4a16-badd-77233eea0529">000307520:Jan von der Goltz:jvondergoltz@worldbankgroup.org;</DocAuthors>
    <Authors xmlns="b99a068c-3844-4a16-badd-77233eea0529">
      <UserInfo>
        <DisplayName>i:0#.w|wb\wb307520</DisplayName>
        <AccountId>10082</AccountId>
        <AccountType/>
      </UserInfo>
      <UserInfo>
        <DisplayName/>
        <AccountId xsi:nil="true"/>
        <AccountType/>
      </UserInfo>
    </Authors>
    <Cordis_x0020_ID xmlns="b99a068c-3844-4a16-badd-77233eea0529" xsi:nil="true"/>
    <Stage xmlns="b99a068c-3844-4a16-badd-77233eea0529">IMP</Stage>
    <PolicyExceptions xmlns="b99a068c-3844-4a16-badd-77233eea0529" xsi:nil="true"/>
    <IsTemplate xmlns="b99a068c-3844-4a16-badd-77233eea0529">false</IsTemplate>
    <HasUserUploaded xmlns="b99a068c-3844-4a16-badd-77233eea0529">true</HasUserUploaded>
    <DocumentDate xmlns="b99a068c-3844-4a16-badd-77233eea0529">2018-06-15T04:00:00+00:00</DocumentDate>
    <WBDocType xmlns="b99a068c-3844-4a16-badd-77233eea0529">Report</WBDocType>
    <SecurityClassification xmlns="b99a068c-3844-4a16-badd-77233eea0529">Public</SecurityClassification>
    <DeliverableID xmlns="b99a068c-3844-4a16-badd-77233eea0529">DLV0219391</DeliverableID>
    <ProjectID xmlns="b99a068c-3844-4a16-badd-77233eea0529">P164135</ProjectID>
    <Task_x0020_ID xmlns="b99a068c-3844-4a16-badd-77233eea0529" xsi:nil="true"/>
    <Package xmlns="b99a068c-3844-4a16-badd-77233eea0529">true</Package>
    <TemplateDocVersion xmlns="b99a068c-3844-4a16-badd-77233eea0529" xsi:nil="true"/>
    <SequenceNum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 xsi:nil="true"/>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5.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CFB716E8-264B-40E0-A1FF-1FB014823655}"/>
</file>

<file path=customXml/itemProps2.xml><?xml version="1.0" encoding="utf-8"?>
<ds:datastoreItem xmlns:ds="http://schemas.openxmlformats.org/officeDocument/2006/customXml" ds:itemID="{E282D94F-8701-49AD-B195-20380FC2AFB0}"/>
</file>

<file path=customXml/itemProps3.xml><?xml version="1.0" encoding="utf-8"?>
<ds:datastoreItem xmlns:ds="http://schemas.openxmlformats.org/officeDocument/2006/customXml" ds:itemID="{26394539-5FB1-4782-9E99-03BC382537B5}"/>
</file>

<file path=customXml/itemProps4.xml><?xml version="1.0" encoding="utf-8"?>
<ds:datastoreItem xmlns:ds="http://schemas.openxmlformats.org/officeDocument/2006/customXml" ds:itemID="{4EFC5881-EA8E-4BD9-A9E4-05A60360081F}"/>
</file>

<file path=customXml/itemProps5.xml><?xml version="1.0" encoding="utf-8"?>
<ds:datastoreItem xmlns:ds="http://schemas.openxmlformats.org/officeDocument/2006/customXml" ds:itemID="{AD3E3BEC-69C5-4FFB-ADFC-8565CBCA37A1}"/>
</file>

<file path=docProps/app.xml><?xml version="1.0" encoding="utf-8"?>
<Properties xmlns="http://schemas.openxmlformats.org/officeDocument/2006/extended-properties" xmlns:vt="http://schemas.openxmlformats.org/officeDocument/2006/docPropsVTypes">
  <Template>Normal.dotm</Template>
  <TotalTime>0</TotalTime>
  <Pages>28</Pages>
  <Words>10090</Words>
  <Characters>57517</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Jobs in Iraq - a primer on job creation in the short-term</dc:title>
  <dc:subject/>
  <dc:creator>Vandana Chandra</dc:creator>
  <cp:keywords/>
  <dc:description/>
  <cp:lastModifiedBy>Jan von der Goltz</cp:lastModifiedBy>
  <cp:revision>2</cp:revision>
  <cp:lastPrinted>2018-06-07T13:42:00Z</cp:lastPrinted>
  <dcterms:created xsi:type="dcterms:W3CDTF">2018-06-15T10:21:00Z</dcterms:created>
  <dcterms:modified xsi:type="dcterms:W3CDTF">2018-06-15T10:21:00Z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0x01010054E0FEF4951F9D49A6F48A35419983C7006DD6AAD207E30B48BFDFCDD0C7C3A38B</vt:lpwstr>
  </property>
  <property fmtid="{D5CDD505-2E9C-101B-9397-08002B2CF9AE}" pid="5" name="RatedBy">
    <vt:lpwstr/>
  </property>
  <property fmtid="{D5CDD505-2E9C-101B-9397-08002B2CF9AE}" pid="7" name="LikedBy">
    <vt:lpwstr/>
  </property>
</Properties>
</file>