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r w:rsidR="00BD12E0" w:rsidRPr="00BD12E0">
        <w:t>AB7127</w:t>
      </w:r>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2"/>
        <w:gridCol w:w="6764"/>
      </w:tblGrid>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3532" w:type="pct"/>
            <w:tcBorders>
              <w:top w:val="single" w:sz="4" w:space="0" w:color="auto"/>
              <w:left w:val="single" w:sz="4" w:space="0" w:color="auto"/>
              <w:bottom w:val="single" w:sz="4" w:space="0" w:color="auto"/>
              <w:right w:val="single" w:sz="4" w:space="0" w:color="auto"/>
            </w:tcBorders>
          </w:tcPr>
          <w:p w:rsidR="00A706FA" w:rsidRDefault="00435E12">
            <w:bookmarkStart w:id="1" w:name="PROJECTNAME"/>
            <w:r>
              <w:t>N</w:t>
            </w:r>
            <w:r w:rsidR="00A5723A">
              <w:t>iger</w:t>
            </w:r>
            <w:r>
              <w:t xml:space="preserve"> - Transport Sector Program </w:t>
            </w:r>
            <w:r w:rsidR="00972A1F">
              <w:t xml:space="preserve">Support Project </w:t>
            </w:r>
            <w:r>
              <w:t>Addit</w:t>
            </w:r>
            <w:r w:rsidR="008E6A61">
              <w:t>ional</w:t>
            </w:r>
            <w:r>
              <w:t xml:space="preserve"> Fin</w:t>
            </w:r>
            <w:bookmarkEnd w:id="1"/>
            <w:r w:rsidR="00554D26">
              <w:t>ancing</w:t>
            </w:r>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3532" w:type="pct"/>
            <w:tcBorders>
              <w:top w:val="single" w:sz="4" w:space="0" w:color="auto"/>
              <w:left w:val="single" w:sz="4" w:space="0" w:color="auto"/>
              <w:bottom w:val="single" w:sz="4" w:space="0" w:color="auto"/>
              <w:right w:val="single" w:sz="4" w:space="0" w:color="auto"/>
            </w:tcBorders>
          </w:tcPr>
          <w:p w:rsidR="00A706FA" w:rsidRDefault="00435E12">
            <w:bookmarkStart w:id="2" w:name="REGION"/>
            <w:r>
              <w:t>AFRICA</w:t>
            </w:r>
            <w:bookmarkEnd w:id="2"/>
          </w:p>
        </w:tc>
      </w:tr>
      <w:tr w:rsidR="003C46AE" w:rsidTr="002B4E63">
        <w:tc>
          <w:tcPr>
            <w:tcW w:w="1468" w:type="pct"/>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Country</w:t>
            </w:r>
          </w:p>
        </w:tc>
        <w:tc>
          <w:tcPr>
            <w:tcW w:w="3532" w:type="pct"/>
            <w:tcBorders>
              <w:top w:val="single" w:sz="4" w:space="0" w:color="auto"/>
              <w:left w:val="single" w:sz="4" w:space="0" w:color="auto"/>
              <w:bottom w:val="single" w:sz="4" w:space="0" w:color="auto"/>
              <w:right w:val="single" w:sz="4" w:space="0" w:color="auto"/>
            </w:tcBorders>
          </w:tcPr>
          <w:p w:rsidR="003C46AE" w:rsidRDefault="00435E12">
            <w:bookmarkStart w:id="3" w:name="COUNTRY_NAME"/>
            <w:r>
              <w:t>Niger</w:t>
            </w:r>
            <w:bookmarkEnd w:id="3"/>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3532" w:type="pct"/>
            <w:tcBorders>
              <w:top w:val="single" w:sz="4" w:space="0" w:color="auto"/>
              <w:left w:val="single" w:sz="4" w:space="0" w:color="auto"/>
              <w:bottom w:val="single" w:sz="4" w:space="0" w:color="auto"/>
              <w:right w:val="single" w:sz="4" w:space="0" w:color="auto"/>
            </w:tcBorders>
          </w:tcPr>
          <w:p w:rsidR="00A706FA" w:rsidRDefault="004F4577" w:rsidP="00232E47">
            <w:bookmarkStart w:id="4" w:name="SEC_SHORT_NAME"/>
            <w:r>
              <w:t>Rural and Inter-Urban Roads and Highways (8</w:t>
            </w:r>
            <w:r w:rsidR="00232E47">
              <w:t>1</w:t>
            </w:r>
            <w:r>
              <w:t>%); Central government administration (1</w:t>
            </w:r>
            <w:r w:rsidR="00232E47">
              <w:t>9</w:t>
            </w:r>
            <w:r>
              <w:t>%)</w:t>
            </w:r>
            <w:bookmarkEnd w:id="4"/>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3532" w:type="pct"/>
            <w:tcBorders>
              <w:top w:val="single" w:sz="4" w:space="0" w:color="auto"/>
              <w:left w:val="single" w:sz="4" w:space="0" w:color="auto"/>
              <w:bottom w:val="single" w:sz="4" w:space="0" w:color="auto"/>
              <w:right w:val="single" w:sz="4" w:space="0" w:color="auto"/>
            </w:tcBorders>
          </w:tcPr>
          <w:p w:rsidR="00A706FA" w:rsidRDefault="00435E12">
            <w:bookmarkStart w:id="5" w:name="PROJECTCODE"/>
            <w:r>
              <w:t>P131107</w:t>
            </w:r>
            <w:bookmarkEnd w:id="5"/>
          </w:p>
        </w:tc>
      </w:tr>
      <w:tr w:rsidR="003C46AE" w:rsidTr="002B4E63">
        <w:tc>
          <w:tcPr>
            <w:tcW w:w="1468" w:type="pct"/>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Parent Project ID</w:t>
            </w:r>
          </w:p>
        </w:tc>
        <w:tc>
          <w:tcPr>
            <w:tcW w:w="3532" w:type="pct"/>
            <w:tcBorders>
              <w:top w:val="single" w:sz="4" w:space="0" w:color="auto"/>
              <w:left w:val="single" w:sz="4" w:space="0" w:color="auto"/>
              <w:bottom w:val="single" w:sz="4" w:space="0" w:color="auto"/>
              <w:right w:val="single" w:sz="4" w:space="0" w:color="auto"/>
            </w:tcBorders>
          </w:tcPr>
          <w:p w:rsidR="003C46AE" w:rsidRDefault="007F3221">
            <w:r w:rsidRPr="007F3221">
              <w:t>P101434</w:t>
            </w:r>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3532" w:type="pct"/>
            <w:tcBorders>
              <w:top w:val="single" w:sz="4" w:space="0" w:color="auto"/>
              <w:left w:val="single" w:sz="4" w:space="0" w:color="auto"/>
              <w:bottom w:val="single" w:sz="4" w:space="0" w:color="auto"/>
              <w:right w:val="single" w:sz="4" w:space="0" w:color="auto"/>
            </w:tcBorders>
          </w:tcPr>
          <w:p w:rsidR="00A706FA" w:rsidRDefault="003076D5">
            <w:bookmarkStart w:id="6" w:name="BORROWERNAME"/>
            <w:r>
              <w:t>REPUBLIC</w:t>
            </w:r>
            <w:r w:rsidR="00435E12">
              <w:t xml:space="preserve"> OF NIGER</w:t>
            </w:r>
            <w:bookmarkEnd w:id="6"/>
          </w:p>
        </w:tc>
      </w:tr>
      <w:tr w:rsidR="00A706FA" w:rsidTr="002B4E63">
        <w:trPr>
          <w:trHeight w:val="140"/>
        </w:trPr>
        <w:tc>
          <w:tcPr>
            <w:tcW w:w="1468" w:type="pct"/>
            <w:tcBorders>
              <w:top w:val="single" w:sz="4" w:space="0" w:color="auto"/>
              <w:left w:val="single" w:sz="4" w:space="0" w:color="auto"/>
              <w:bottom w:val="nil"/>
              <w:right w:val="single" w:sz="4" w:space="0" w:color="auto"/>
            </w:tcBorders>
          </w:tcPr>
          <w:p w:rsidR="00A706FA" w:rsidRDefault="00A706FA" w:rsidP="00CA31E8">
            <w:r w:rsidRPr="004F4577">
              <w:rPr>
                <w:b/>
              </w:rPr>
              <w:t xml:space="preserve">Implementing </w:t>
            </w:r>
            <w:r w:rsidRPr="00CA31E8">
              <w:rPr>
                <w:rStyle w:val="Strong"/>
              </w:rPr>
              <w:t>Agency</w:t>
            </w:r>
          </w:p>
        </w:tc>
        <w:tc>
          <w:tcPr>
            <w:tcW w:w="3532" w:type="pct"/>
            <w:tcBorders>
              <w:top w:val="single" w:sz="4" w:space="0" w:color="auto"/>
              <w:left w:val="single" w:sz="4" w:space="0" w:color="auto"/>
              <w:bottom w:val="nil"/>
              <w:right w:val="single" w:sz="4" w:space="0" w:color="auto"/>
            </w:tcBorders>
          </w:tcPr>
          <w:p w:rsidR="00972A1F" w:rsidRPr="00972A1F" w:rsidRDefault="0050765D" w:rsidP="00972A1F">
            <w:bookmarkStart w:id="7" w:name="IMPLEMENTINGAGENCY"/>
            <w:bookmarkEnd w:id="7"/>
            <w:r w:rsidRPr="00F549B5">
              <w:t>Program Coordination Unit</w:t>
            </w:r>
            <w:r w:rsidRPr="00F549B5">
              <w:rPr>
                <w:i/>
                <w:iCs/>
              </w:rPr>
              <w:t xml:space="preserve"> </w:t>
            </w:r>
            <w:r w:rsidRPr="00F549B5">
              <w:rPr>
                <w:iCs/>
              </w:rPr>
              <w:t>(</w:t>
            </w:r>
            <w:r w:rsidR="00972A1F" w:rsidRPr="00972A1F">
              <w:t>CC/PST</w:t>
            </w:r>
            <w:r>
              <w:t>)</w:t>
            </w:r>
          </w:p>
          <w:p w:rsidR="00972A1F" w:rsidRPr="00972A1F" w:rsidRDefault="00972A1F" w:rsidP="00972A1F">
            <w:r w:rsidRPr="00972A1F">
              <w:t>Niamey</w:t>
            </w:r>
          </w:p>
          <w:p w:rsidR="00972A1F" w:rsidRPr="00972A1F" w:rsidRDefault="00972A1F" w:rsidP="00972A1F">
            <w:r w:rsidRPr="00972A1F">
              <w:t>Niger</w:t>
            </w:r>
          </w:p>
          <w:p w:rsidR="00972A1F" w:rsidRPr="00972A1F" w:rsidRDefault="00972A1F" w:rsidP="00972A1F">
            <w:r w:rsidRPr="00972A1F">
              <w:t>Tel: (227-20) 735-438</w:t>
            </w:r>
            <w:r w:rsidRPr="00972A1F">
              <w:tab/>
              <w:t>Fax: (227-20) 732-191</w:t>
            </w:r>
          </w:p>
          <w:p w:rsidR="00A706FA" w:rsidRDefault="00972A1F" w:rsidP="00972A1F">
            <w:r w:rsidRPr="00972A1F">
              <w:t>pri@intnet.ne</w:t>
            </w:r>
          </w:p>
        </w:tc>
      </w:tr>
      <w:tr w:rsidR="00A706FA" w:rsidTr="002B4E63">
        <w:trPr>
          <w:trHeight w:val="285"/>
        </w:trPr>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3532" w:type="pct"/>
            <w:tcBorders>
              <w:top w:val="single" w:sz="4" w:space="0" w:color="auto"/>
              <w:left w:val="single" w:sz="4" w:space="0" w:color="auto"/>
              <w:bottom w:val="single" w:sz="4" w:space="0" w:color="auto"/>
              <w:right w:val="single" w:sz="4" w:space="0" w:color="auto"/>
            </w:tcBorders>
          </w:tcPr>
          <w:p w:rsidR="00A706FA" w:rsidRDefault="00A706FA">
            <w:r>
              <w:t>[</w:t>
            </w:r>
            <w:bookmarkStart w:id="8" w:name="ENVCAT_A"/>
            <w:r>
              <w:t xml:space="preserve"> </w:t>
            </w:r>
            <w:bookmarkEnd w:id="8"/>
            <w:r>
              <w:t>] A   [</w:t>
            </w:r>
            <w:bookmarkStart w:id="9" w:name="ENVCAT_B"/>
            <w:r w:rsidR="00435E12">
              <w:t>X</w:t>
            </w:r>
            <w:bookmarkEnd w:id="9"/>
            <w:r>
              <w:t>] B   [</w:t>
            </w:r>
            <w:bookmarkStart w:id="10" w:name="ENVCAT_C"/>
            <w:r>
              <w:t xml:space="preserve"> </w:t>
            </w:r>
            <w:bookmarkEnd w:id="10"/>
            <w:r>
              <w:t>] C   [</w:t>
            </w:r>
            <w:bookmarkStart w:id="11" w:name="ENVCAT_FI"/>
            <w:r>
              <w:t xml:space="preserve"> </w:t>
            </w:r>
            <w:bookmarkEnd w:id="11"/>
            <w:r>
              <w:t>] FI   [</w:t>
            </w:r>
            <w:bookmarkStart w:id="12" w:name="ENVCAT_TBD"/>
            <w:r>
              <w:t xml:space="preserve"> </w:t>
            </w:r>
            <w:bookmarkEnd w:id="12"/>
            <w:r>
              <w:t>] TBD (to be determined)</w:t>
            </w:r>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3532" w:type="pct"/>
            <w:tcBorders>
              <w:top w:val="single" w:sz="4" w:space="0" w:color="auto"/>
              <w:left w:val="single" w:sz="4" w:space="0" w:color="auto"/>
              <w:bottom w:val="single" w:sz="4" w:space="0" w:color="auto"/>
              <w:right w:val="single" w:sz="4" w:space="0" w:color="auto"/>
            </w:tcBorders>
          </w:tcPr>
          <w:p w:rsidR="00A706FA" w:rsidRDefault="00A5723A" w:rsidP="007220D4">
            <w:r>
              <w:t>February 14, 2013</w:t>
            </w:r>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3532" w:type="pct"/>
            <w:tcBorders>
              <w:top w:val="single" w:sz="4" w:space="0" w:color="auto"/>
              <w:left w:val="single" w:sz="4" w:space="0" w:color="auto"/>
              <w:bottom w:val="single" w:sz="4" w:space="0" w:color="auto"/>
              <w:right w:val="single" w:sz="4" w:space="0" w:color="auto"/>
            </w:tcBorders>
          </w:tcPr>
          <w:p w:rsidR="00A706FA" w:rsidRDefault="003710E3" w:rsidP="007D0490">
            <w:bookmarkStart w:id="13" w:name="APPRAISALDATE"/>
            <w:r>
              <w:t>January</w:t>
            </w:r>
            <w:r w:rsidR="00E02C42">
              <w:t xml:space="preserve"> 10</w:t>
            </w:r>
            <w:r w:rsidR="00435E12">
              <w:t>, 201</w:t>
            </w:r>
            <w:bookmarkEnd w:id="13"/>
            <w:r>
              <w:t>3</w:t>
            </w:r>
          </w:p>
        </w:tc>
      </w:tr>
      <w:tr w:rsidR="00A706FA" w:rsidTr="002B4E63">
        <w:tc>
          <w:tcPr>
            <w:tcW w:w="1468" w:type="pct"/>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3532" w:type="pct"/>
            <w:tcBorders>
              <w:top w:val="single" w:sz="4" w:space="0" w:color="auto"/>
              <w:left w:val="single" w:sz="4" w:space="0" w:color="auto"/>
              <w:bottom w:val="single" w:sz="4" w:space="0" w:color="auto"/>
              <w:right w:val="single" w:sz="4" w:space="0" w:color="auto"/>
            </w:tcBorders>
          </w:tcPr>
          <w:p w:rsidR="00A706FA" w:rsidRDefault="003710E3" w:rsidP="00A5723A">
            <w:bookmarkStart w:id="14" w:name="BOARDAPPROVALDATE"/>
            <w:r>
              <w:t xml:space="preserve">March </w:t>
            </w:r>
            <w:r w:rsidR="00A5723A">
              <w:t>21</w:t>
            </w:r>
            <w:r w:rsidR="00435E12">
              <w:t>, 201</w:t>
            </w:r>
            <w:bookmarkEnd w:id="14"/>
            <w:r>
              <w:t>3</w:t>
            </w:r>
          </w:p>
        </w:tc>
      </w:tr>
    </w:tbl>
    <w:p w:rsidR="00A706FA" w:rsidRDefault="00A706FA"/>
    <w:p w:rsidR="00A706FA" w:rsidRPr="003C596C" w:rsidRDefault="006B597B" w:rsidP="003710E3">
      <w:pPr>
        <w:numPr>
          <w:ilvl w:val="0"/>
          <w:numId w:val="6"/>
        </w:numPr>
        <w:tabs>
          <w:tab w:val="clear" w:pos="720"/>
          <w:tab w:val="num" w:pos="360"/>
        </w:tabs>
        <w:ind w:left="360"/>
        <w:rPr>
          <w:b/>
        </w:rPr>
      </w:pPr>
      <w:bookmarkStart w:id="15" w:name="CountrySectorBackground"/>
      <w:r>
        <w:rPr>
          <w:b/>
        </w:rPr>
        <w:t>Country and Sector Background</w:t>
      </w:r>
    </w:p>
    <w:p w:rsidR="004D39A1" w:rsidRDefault="004D39A1" w:rsidP="003710E3">
      <w:pPr>
        <w:rPr>
          <w:b/>
        </w:rPr>
      </w:pPr>
    </w:p>
    <w:p w:rsidR="003710E3" w:rsidRPr="000103E2" w:rsidRDefault="003710E3" w:rsidP="003710E3">
      <w:pPr>
        <w:pStyle w:val="paranumb"/>
        <w:numPr>
          <w:ilvl w:val="1"/>
          <w:numId w:val="7"/>
        </w:numPr>
        <w:tabs>
          <w:tab w:val="clear" w:pos="1440"/>
          <w:tab w:val="num" w:pos="900"/>
        </w:tabs>
        <w:spacing w:after="0"/>
        <w:ind w:left="0" w:firstLine="0"/>
      </w:pPr>
      <w:r w:rsidRPr="000103E2">
        <w:t xml:space="preserve">Niger is </w:t>
      </w:r>
      <w:r>
        <w:t xml:space="preserve">one of the world’s poorest and least developed countries, </w:t>
      </w:r>
      <w:r w:rsidRPr="000103E2">
        <w:t xml:space="preserve">ranked 186 out of 187 countries on </w:t>
      </w:r>
      <w:r w:rsidRPr="00C53F93">
        <w:rPr>
          <w:color w:val="000000" w:themeColor="text1"/>
        </w:rPr>
        <w:t>Unit</w:t>
      </w:r>
      <w:r>
        <w:rPr>
          <w:color w:val="000000" w:themeColor="text1"/>
        </w:rPr>
        <w:t>ed Nations Development Program</w:t>
      </w:r>
      <w:r w:rsidRPr="00C53F93">
        <w:rPr>
          <w:color w:val="000000" w:themeColor="text1"/>
        </w:rPr>
        <w:t xml:space="preserve"> </w:t>
      </w:r>
      <w:r>
        <w:rPr>
          <w:color w:val="000000" w:themeColor="text1"/>
        </w:rPr>
        <w:t>(</w:t>
      </w:r>
      <w:r w:rsidRPr="000103E2">
        <w:t>UNDP</w:t>
      </w:r>
      <w:r>
        <w:t>)</w:t>
      </w:r>
      <w:r w:rsidRPr="000103E2">
        <w:t xml:space="preserve"> Human Development Index</w:t>
      </w:r>
      <w:r>
        <w:t xml:space="preserve"> of 2011. The </w:t>
      </w:r>
      <w:r w:rsidRPr="000103E2">
        <w:t xml:space="preserve">average real </w:t>
      </w:r>
      <w:r w:rsidRPr="000103E2">
        <w:rPr>
          <w:bCs/>
        </w:rPr>
        <w:t>gross domestic product</w:t>
      </w:r>
      <w:r w:rsidRPr="000103E2">
        <w:t xml:space="preserve"> (GDP) growth rate for the 2009-2011 period </w:t>
      </w:r>
      <w:r>
        <w:t>was about 3.1 percent due to poor climatic conditions</w:t>
      </w:r>
      <w:r w:rsidRPr="000103E2">
        <w:t xml:space="preserve">. About 80 percent of the population </w:t>
      </w:r>
      <w:r>
        <w:t xml:space="preserve">live in rural areas and </w:t>
      </w:r>
      <w:r w:rsidRPr="000103E2">
        <w:t xml:space="preserve">derive their livelihoods from agriculture and livestock. </w:t>
      </w:r>
      <w:r>
        <w:t xml:space="preserve">The main drivers of economic growth are agriculture, mining, and more recently, the oil sector.  </w:t>
      </w:r>
      <w:r w:rsidRPr="000103E2">
        <w:t xml:space="preserve">Despite periodic setbacks due to droughts, conflict in the sub-region, and political instability, </w:t>
      </w:r>
      <w:r>
        <w:t>a</w:t>
      </w:r>
      <w:r w:rsidRPr="000103E2">
        <w:t xml:space="preserve">verage </w:t>
      </w:r>
      <w:r>
        <w:t xml:space="preserve">real </w:t>
      </w:r>
      <w:r w:rsidRPr="000103E2">
        <w:t xml:space="preserve">per capita GDP growth has been positive since 2000, </w:t>
      </w:r>
      <w:r>
        <w:t xml:space="preserve">reversing </w:t>
      </w:r>
      <w:r w:rsidRPr="000103E2">
        <w:t xml:space="preserve">falling </w:t>
      </w:r>
      <w:r>
        <w:t xml:space="preserve">real </w:t>
      </w:r>
      <w:r w:rsidRPr="000103E2">
        <w:t>per capita GDP during the 1990</w:t>
      </w:r>
      <w:r w:rsidR="009E788B">
        <w:t>’</w:t>
      </w:r>
      <w:r w:rsidRPr="000103E2">
        <w:t xml:space="preserve">s. </w:t>
      </w:r>
    </w:p>
    <w:p w:rsidR="003710E3" w:rsidRPr="000103E2" w:rsidRDefault="003710E3" w:rsidP="003710E3">
      <w:pPr>
        <w:pStyle w:val="paranumb"/>
        <w:numPr>
          <w:ilvl w:val="0"/>
          <w:numId w:val="0"/>
        </w:numPr>
        <w:spacing w:after="0"/>
      </w:pPr>
    </w:p>
    <w:p w:rsidR="003710E3" w:rsidRDefault="003710E3" w:rsidP="003710E3">
      <w:pPr>
        <w:pStyle w:val="paranumb"/>
        <w:numPr>
          <w:ilvl w:val="1"/>
          <w:numId w:val="7"/>
        </w:numPr>
        <w:tabs>
          <w:tab w:val="clear" w:pos="1440"/>
          <w:tab w:val="num" w:pos="900"/>
        </w:tabs>
        <w:spacing w:after="0"/>
        <w:ind w:left="0" w:firstLine="0"/>
      </w:pPr>
      <w:r w:rsidRPr="000103E2">
        <w:t xml:space="preserve">Niger is a very large (1,267,000 square km) land locked country with a rapidly increasing population of about 16 million </w:t>
      </w:r>
      <w:r>
        <w:t>(</w:t>
      </w:r>
      <w:r w:rsidRPr="005800CE">
        <w:t xml:space="preserve">growing at </w:t>
      </w:r>
      <w:r>
        <w:t>about 3.3</w:t>
      </w:r>
      <w:r w:rsidR="00465F7B">
        <w:t xml:space="preserve"> percent</w:t>
      </w:r>
      <w:r>
        <w:t xml:space="preserve"> per annum</w:t>
      </w:r>
      <w:r w:rsidR="00465F7B">
        <w:t>;</w:t>
      </w:r>
      <w:r>
        <w:t xml:space="preserve"> one of the highest population growth rates in the world) </w:t>
      </w:r>
      <w:r w:rsidRPr="000103E2">
        <w:t>which is very unevenly distributed due to the large desert areas in the north of the country. This means that the travel distance</w:t>
      </w:r>
      <w:r>
        <w:t>s</w:t>
      </w:r>
      <w:r w:rsidRPr="000103E2">
        <w:t xml:space="preserve"> between major cities can reach 1,500 km. Therefore, due to the need to connect the major population centers of the country, the government faces </w:t>
      </w:r>
      <w:r>
        <w:t xml:space="preserve">major </w:t>
      </w:r>
      <w:r w:rsidRPr="000103E2">
        <w:t xml:space="preserve">road rehabilitation and maintenance needs. </w:t>
      </w:r>
      <w:r>
        <w:t>T</w:t>
      </w:r>
      <w:r w:rsidRPr="000103E2">
        <w:t xml:space="preserve">ransport infrastructure </w:t>
      </w:r>
      <w:r>
        <w:t>is</w:t>
      </w:r>
      <w:r w:rsidRPr="000103E2">
        <w:t xml:space="preserve"> in a poor condition and </w:t>
      </w:r>
      <w:r>
        <w:t xml:space="preserve">the </w:t>
      </w:r>
      <w:r w:rsidRPr="000103E2">
        <w:t>road</w:t>
      </w:r>
      <w:r>
        <w:t xml:space="preserve"> </w:t>
      </w:r>
      <w:r w:rsidRPr="000103E2">
        <w:t xml:space="preserve">network needs to be rehabilitated and expanded to support the country’s economic development. </w:t>
      </w:r>
    </w:p>
    <w:p w:rsidR="003710E3" w:rsidRDefault="003710E3" w:rsidP="003710E3"/>
    <w:p w:rsidR="003710E3" w:rsidRDefault="003710E3" w:rsidP="003710E3">
      <w:pPr>
        <w:pStyle w:val="paranumb"/>
        <w:numPr>
          <w:ilvl w:val="1"/>
          <w:numId w:val="7"/>
        </w:numPr>
        <w:tabs>
          <w:tab w:val="clear" w:pos="1440"/>
          <w:tab w:val="num" w:pos="900"/>
        </w:tabs>
        <w:spacing w:after="0"/>
        <w:ind w:left="0" w:firstLine="0"/>
      </w:pPr>
      <w:r w:rsidRPr="000103E2">
        <w:t xml:space="preserve">The country has limited resources for investment in the transport sector. In this context, the country </w:t>
      </w:r>
      <w:r>
        <w:t xml:space="preserve">continues to rely </w:t>
      </w:r>
      <w:r w:rsidRPr="000103E2">
        <w:t>on d</w:t>
      </w:r>
      <w:r>
        <w:t>evelopment partner</w:t>
      </w:r>
      <w:r w:rsidRPr="000103E2">
        <w:t xml:space="preserve"> support to rehabilitate its road network. In </w:t>
      </w:r>
      <w:r w:rsidRPr="000103E2">
        <w:lastRenderedPageBreak/>
        <w:t xml:space="preserve">2007-2008, </w:t>
      </w:r>
      <w:r>
        <w:t>the</w:t>
      </w:r>
      <w:r w:rsidRPr="000103E2">
        <w:t xml:space="preserve"> </w:t>
      </w:r>
      <w:r>
        <w:t>original project</w:t>
      </w:r>
      <w:r w:rsidRPr="000103E2">
        <w:t xml:space="preserve"> was designed to help the country respond to the significant needs </w:t>
      </w:r>
      <w:r>
        <w:t xml:space="preserve">required to </w:t>
      </w:r>
      <w:r w:rsidRPr="000103E2">
        <w:t>maint</w:t>
      </w:r>
      <w:r>
        <w:t xml:space="preserve">ain </w:t>
      </w:r>
      <w:r w:rsidRPr="000103E2">
        <w:t>and rehabilitat</w:t>
      </w:r>
      <w:r>
        <w:t>e the road netwo</w:t>
      </w:r>
      <w:r w:rsidR="00465F7B">
        <w:t>rk</w:t>
      </w:r>
      <w:r>
        <w:t xml:space="preserve"> (</w:t>
      </w:r>
      <w:r w:rsidR="00465F7B">
        <w:t>t</w:t>
      </w:r>
      <w:r>
        <w:t xml:space="preserve">he maintenance needs were quantified at about </w:t>
      </w:r>
      <w:r w:rsidRPr="000103E2">
        <w:t xml:space="preserve">US$30 million a year </w:t>
      </w:r>
      <w:r>
        <w:t xml:space="preserve">for the core road network and at about </w:t>
      </w:r>
      <w:r w:rsidRPr="000103E2">
        <w:t>US$52 million a year</w:t>
      </w:r>
      <w:r>
        <w:t xml:space="preserve"> for the whole road network</w:t>
      </w:r>
      <w:r w:rsidR="00465F7B" w:rsidRPr="000103E2">
        <w:t>)</w:t>
      </w:r>
      <w:r>
        <w:t>.</w:t>
      </w:r>
    </w:p>
    <w:p w:rsidR="00A625DC" w:rsidRDefault="00A625DC" w:rsidP="003710E3">
      <w:pPr>
        <w:rPr>
          <w:b/>
        </w:rPr>
      </w:pPr>
    </w:p>
    <w:p w:rsidR="008922B2" w:rsidRPr="00EE2D2C" w:rsidRDefault="008922B2" w:rsidP="003710E3">
      <w:pPr>
        <w:pStyle w:val="paranumb"/>
        <w:numPr>
          <w:ilvl w:val="1"/>
          <w:numId w:val="7"/>
        </w:numPr>
        <w:tabs>
          <w:tab w:val="clear" w:pos="1440"/>
          <w:tab w:val="num" w:pos="900"/>
        </w:tabs>
        <w:spacing w:after="0"/>
        <w:ind w:left="0" w:firstLine="0"/>
        <w:rPr>
          <w:bCs/>
        </w:rPr>
      </w:pPr>
      <w:r w:rsidRPr="00EE2D2C">
        <w:rPr>
          <w:bCs/>
        </w:rPr>
        <w:t xml:space="preserve">The </w:t>
      </w:r>
      <w:r w:rsidR="00465F7B" w:rsidRPr="000103E2">
        <w:t>Transport Sector Program Support Project (</w:t>
      </w:r>
      <w:r w:rsidR="00465F7B">
        <w:t xml:space="preserve">TSPSP, </w:t>
      </w:r>
      <w:proofErr w:type="spellStart"/>
      <w:r w:rsidR="00465F7B" w:rsidRPr="00452F99">
        <w:rPr>
          <w:i/>
        </w:rPr>
        <w:t>Projet</w:t>
      </w:r>
      <w:proofErr w:type="spellEnd"/>
      <w:r w:rsidR="00465F7B" w:rsidRPr="00452F99">
        <w:rPr>
          <w:i/>
        </w:rPr>
        <w:t xml:space="preserve"> </w:t>
      </w:r>
      <w:proofErr w:type="spellStart"/>
      <w:r w:rsidR="00465F7B" w:rsidRPr="00452F99">
        <w:rPr>
          <w:i/>
        </w:rPr>
        <w:t>d’Appui</w:t>
      </w:r>
      <w:proofErr w:type="spellEnd"/>
      <w:r w:rsidR="00465F7B" w:rsidRPr="00452F99">
        <w:rPr>
          <w:i/>
        </w:rPr>
        <w:t xml:space="preserve"> au </w:t>
      </w:r>
      <w:proofErr w:type="spellStart"/>
      <w:r w:rsidR="00465F7B" w:rsidRPr="00452F99">
        <w:rPr>
          <w:i/>
        </w:rPr>
        <w:t>Programme</w:t>
      </w:r>
      <w:proofErr w:type="spellEnd"/>
      <w:r w:rsidR="00465F7B" w:rsidRPr="00452F99">
        <w:rPr>
          <w:i/>
        </w:rPr>
        <w:t xml:space="preserve"> </w:t>
      </w:r>
      <w:proofErr w:type="spellStart"/>
      <w:r w:rsidR="00465F7B" w:rsidRPr="00452F99">
        <w:rPr>
          <w:i/>
        </w:rPr>
        <w:t>Sectoriel</w:t>
      </w:r>
      <w:proofErr w:type="spellEnd"/>
      <w:r w:rsidR="00465F7B" w:rsidRPr="00452F99">
        <w:rPr>
          <w:i/>
        </w:rPr>
        <w:t xml:space="preserve"> des Transports, PAPST</w:t>
      </w:r>
      <w:r w:rsidR="00465F7B">
        <w:t xml:space="preserve">, P101434 </w:t>
      </w:r>
      <w:r w:rsidR="00465F7B" w:rsidRPr="000103E2">
        <w:t xml:space="preserve">IDA </w:t>
      </w:r>
      <w:r w:rsidR="00465F7B" w:rsidRPr="004974A7">
        <w:t>Grant</w:t>
      </w:r>
      <w:r w:rsidR="00465F7B" w:rsidRPr="000103E2">
        <w:t xml:space="preserve"> H378-NE</w:t>
      </w:r>
      <w:r w:rsidR="00465F7B">
        <w:t>)</w:t>
      </w:r>
      <w:r w:rsidRPr="00EE2D2C">
        <w:rPr>
          <w:bCs/>
        </w:rPr>
        <w:t xml:space="preserve"> was approved on April 29, 2008 and became effective on September 10, 2008. The original financing amount was of SDR (Special Drawing Rights) 18 million, equivalent to US$30 million in a form of a grant. The </w:t>
      </w:r>
      <w:r w:rsidR="00E004E5">
        <w:rPr>
          <w:bCs/>
        </w:rPr>
        <w:t xml:space="preserve">original </w:t>
      </w:r>
      <w:r w:rsidRPr="00EE2D2C">
        <w:rPr>
          <w:bCs/>
        </w:rPr>
        <w:t xml:space="preserve">closing date of the project </w:t>
      </w:r>
      <w:r w:rsidR="00E004E5">
        <w:rPr>
          <w:bCs/>
        </w:rPr>
        <w:t>was</w:t>
      </w:r>
      <w:r w:rsidRPr="00EE2D2C">
        <w:rPr>
          <w:bCs/>
        </w:rPr>
        <w:t xml:space="preserve"> December 15, 201</w:t>
      </w:r>
      <w:r w:rsidR="00E004E5">
        <w:rPr>
          <w:bCs/>
        </w:rPr>
        <w:t>2</w:t>
      </w:r>
      <w:r w:rsidRPr="00EE2D2C">
        <w:rPr>
          <w:bCs/>
        </w:rPr>
        <w:t xml:space="preserve">. </w:t>
      </w:r>
    </w:p>
    <w:p w:rsidR="008922B2" w:rsidRPr="00EE2D2C" w:rsidRDefault="008922B2" w:rsidP="00317792">
      <w:pPr>
        <w:pStyle w:val="MainParanoChapter"/>
        <w:tabs>
          <w:tab w:val="num" w:pos="360"/>
        </w:tabs>
        <w:spacing w:after="0"/>
        <w:ind w:left="360" w:hanging="360"/>
        <w:jc w:val="both"/>
        <w:outlineLvl w:val="9"/>
        <w:rPr>
          <w:bCs/>
        </w:rPr>
      </w:pPr>
    </w:p>
    <w:p w:rsidR="00F94B7A" w:rsidRPr="00F94B7A" w:rsidRDefault="008922B2" w:rsidP="00F94B7A">
      <w:pPr>
        <w:pStyle w:val="paranumb"/>
        <w:numPr>
          <w:ilvl w:val="1"/>
          <w:numId w:val="7"/>
        </w:numPr>
        <w:tabs>
          <w:tab w:val="clear" w:pos="1440"/>
          <w:tab w:val="num" w:pos="900"/>
        </w:tabs>
        <w:spacing w:after="0"/>
        <w:ind w:left="0" w:firstLine="0"/>
        <w:rPr>
          <w:bCs/>
        </w:rPr>
      </w:pPr>
      <w:r w:rsidRPr="00F94B7A">
        <w:rPr>
          <w:bCs/>
        </w:rPr>
        <w:t xml:space="preserve">A financing gap has arisen during the implementation of the project due to higher than expected road works bid prices. The </w:t>
      </w:r>
      <w:r w:rsidR="0020054C" w:rsidRPr="00F94B7A">
        <w:rPr>
          <w:bCs/>
        </w:rPr>
        <w:t>p</w:t>
      </w:r>
      <w:r w:rsidRPr="00F94B7A">
        <w:rPr>
          <w:bCs/>
        </w:rPr>
        <w:t>roposed Additional Financing (AF) wil</w:t>
      </w:r>
      <w:r w:rsidR="006967E1" w:rsidRPr="00F94B7A">
        <w:rPr>
          <w:bCs/>
        </w:rPr>
        <w:t>l allow the completion of all</w:t>
      </w:r>
      <w:r w:rsidRPr="00F94B7A">
        <w:rPr>
          <w:bCs/>
        </w:rPr>
        <w:t xml:space="preserve"> the rural roads (about 1,056 km) that were initially planned for financing under the original project and necessary for the full achievement of the Project Development Objectives (PDOs). </w:t>
      </w:r>
      <w:r w:rsidR="003710E3" w:rsidRPr="00F94B7A">
        <w:rPr>
          <w:bCs/>
        </w:rPr>
        <w:t>A</w:t>
      </w:r>
      <w:r w:rsidRPr="00F94B7A">
        <w:rPr>
          <w:bCs/>
        </w:rPr>
        <w:t xml:space="preserve">bout 750 km (71 percent) out of 1056 km </w:t>
      </w:r>
      <w:r w:rsidR="003710E3" w:rsidRPr="00F94B7A">
        <w:rPr>
          <w:bCs/>
        </w:rPr>
        <w:t>has been</w:t>
      </w:r>
      <w:r w:rsidRPr="00F94B7A">
        <w:rPr>
          <w:bCs/>
        </w:rPr>
        <w:t xml:space="preserve"> executed by </w:t>
      </w:r>
      <w:r w:rsidR="003710E3" w:rsidRPr="00F94B7A">
        <w:rPr>
          <w:bCs/>
        </w:rPr>
        <w:t>the original project</w:t>
      </w:r>
      <w:r w:rsidRPr="00F94B7A">
        <w:rPr>
          <w:bCs/>
        </w:rPr>
        <w:t>. The gap of road length is estimated at 306 km</w:t>
      </w:r>
      <w:r w:rsidR="00B26B3D" w:rsidRPr="00F94B7A">
        <w:rPr>
          <w:bCs/>
        </w:rPr>
        <w:t>;</w:t>
      </w:r>
      <w:r w:rsidRPr="00F94B7A">
        <w:rPr>
          <w:bCs/>
        </w:rPr>
        <w:t xml:space="preserve"> an additional financing is then proposed to fill the gap. </w:t>
      </w:r>
      <w:r w:rsidR="00F94B7A" w:rsidRPr="000103E2">
        <w:t xml:space="preserve">The content of the proposed AF is compliant with the PDO of the </w:t>
      </w:r>
      <w:r w:rsidR="00F94B7A">
        <w:t>TSPSP</w:t>
      </w:r>
      <w:r w:rsidR="00F94B7A" w:rsidRPr="000103E2">
        <w:t xml:space="preserve"> and with the country’s Poverty Reduction Strategy Paper (PSRP) and IDA’s Country Assistance Strategy (CAS) </w:t>
      </w:r>
      <w:r w:rsidR="009E788B">
        <w:t>of the period of 2010-2012</w:t>
      </w:r>
      <w:r w:rsidR="00F94B7A" w:rsidRPr="000103E2">
        <w:t>.</w:t>
      </w:r>
    </w:p>
    <w:p w:rsidR="00A706FA" w:rsidRDefault="00A706FA" w:rsidP="00317792">
      <w:pPr>
        <w:tabs>
          <w:tab w:val="num" w:pos="360"/>
        </w:tabs>
        <w:ind w:left="360" w:hanging="360"/>
      </w:pPr>
    </w:p>
    <w:bookmarkEnd w:id="15"/>
    <w:p w:rsidR="00A706FA" w:rsidRPr="003C596C" w:rsidRDefault="00A706FA" w:rsidP="00621A9D">
      <w:pPr>
        <w:numPr>
          <w:ilvl w:val="0"/>
          <w:numId w:val="6"/>
        </w:numPr>
        <w:tabs>
          <w:tab w:val="clear" w:pos="720"/>
          <w:tab w:val="num" w:pos="360"/>
        </w:tabs>
        <w:ind w:left="360"/>
        <w:rPr>
          <w:b/>
        </w:rPr>
      </w:pPr>
      <w:r w:rsidRPr="003C596C">
        <w:rPr>
          <w:b/>
        </w:rPr>
        <w:t>Objectives</w:t>
      </w:r>
      <w:bookmarkStart w:id="16" w:name="Objectives"/>
    </w:p>
    <w:p w:rsidR="00621A9D" w:rsidRDefault="00621A9D" w:rsidP="003C596C"/>
    <w:p w:rsidR="008922B2" w:rsidRPr="00EE2D2C" w:rsidRDefault="008922B2" w:rsidP="003710E3">
      <w:pPr>
        <w:pStyle w:val="paranumb"/>
        <w:numPr>
          <w:ilvl w:val="1"/>
          <w:numId w:val="7"/>
        </w:numPr>
        <w:tabs>
          <w:tab w:val="clear" w:pos="1440"/>
          <w:tab w:val="num" w:pos="900"/>
        </w:tabs>
        <w:spacing w:after="0"/>
        <w:ind w:left="0" w:firstLine="0"/>
        <w:rPr>
          <w:bCs/>
        </w:rPr>
      </w:pPr>
      <w:r w:rsidRPr="00EE2D2C">
        <w:rPr>
          <w:bCs/>
        </w:rPr>
        <w:t>The PDO</w:t>
      </w:r>
      <w:r>
        <w:rPr>
          <w:bCs/>
        </w:rPr>
        <w:t>s</w:t>
      </w:r>
      <w:r w:rsidRPr="00EE2D2C">
        <w:rPr>
          <w:bCs/>
        </w:rPr>
        <w:t xml:space="preserve"> are to: (</w:t>
      </w:r>
      <w:proofErr w:type="spellStart"/>
      <w:r w:rsidRPr="00EE2D2C">
        <w:rPr>
          <w:bCs/>
        </w:rPr>
        <w:t>i</w:t>
      </w:r>
      <w:proofErr w:type="spellEnd"/>
      <w:r w:rsidRPr="00EE2D2C">
        <w:rPr>
          <w:bCs/>
        </w:rPr>
        <w:t xml:space="preserve">) improve the physical access of rural population to markets and services on selected unpaved sections of the </w:t>
      </w:r>
      <w:r w:rsidR="00E02C42">
        <w:rPr>
          <w:bCs/>
        </w:rPr>
        <w:t xml:space="preserve">Recipient’s </w:t>
      </w:r>
      <w:r w:rsidRPr="00EE2D2C">
        <w:rPr>
          <w:bCs/>
        </w:rPr>
        <w:t xml:space="preserve">national road network; and (ii) strengthen the </w:t>
      </w:r>
      <w:r w:rsidR="00E02C42">
        <w:rPr>
          <w:bCs/>
        </w:rPr>
        <w:t xml:space="preserve">Recipient’s </w:t>
      </w:r>
      <w:r w:rsidRPr="00EE2D2C">
        <w:rPr>
          <w:bCs/>
        </w:rPr>
        <w:t>institutional framework, management and implementation of road maintenance in Niger.</w:t>
      </w:r>
    </w:p>
    <w:p w:rsidR="00A706FA" w:rsidRDefault="00A706FA"/>
    <w:bookmarkEnd w:id="16"/>
    <w:p w:rsidR="00A706FA" w:rsidRPr="003C596C" w:rsidRDefault="00A706FA" w:rsidP="00621A9D">
      <w:pPr>
        <w:numPr>
          <w:ilvl w:val="0"/>
          <w:numId w:val="6"/>
        </w:numPr>
        <w:tabs>
          <w:tab w:val="clear" w:pos="720"/>
          <w:tab w:val="num" w:pos="360"/>
        </w:tabs>
        <w:ind w:left="360"/>
        <w:rPr>
          <w:b/>
        </w:rPr>
      </w:pPr>
      <w:r w:rsidRPr="003C596C">
        <w:rPr>
          <w:b/>
        </w:rPr>
        <w:t>Rationale for Bank Involvement</w:t>
      </w:r>
      <w:bookmarkStart w:id="17" w:name="RationaleBankInvolvement"/>
    </w:p>
    <w:p w:rsidR="00621A9D" w:rsidRDefault="00621A9D" w:rsidP="00621A9D"/>
    <w:p w:rsidR="00F94B7A" w:rsidRDefault="00F94B7A" w:rsidP="003710E3">
      <w:pPr>
        <w:pStyle w:val="paranumb"/>
        <w:numPr>
          <w:ilvl w:val="1"/>
          <w:numId w:val="7"/>
        </w:numPr>
        <w:tabs>
          <w:tab w:val="clear" w:pos="1440"/>
          <w:tab w:val="num" w:pos="900"/>
        </w:tabs>
        <w:spacing w:after="0"/>
        <w:ind w:left="0" w:firstLine="0"/>
      </w:pPr>
      <w:r w:rsidRPr="00724A09">
        <w:t>The</w:t>
      </w:r>
      <w:r w:rsidRPr="00724A09">
        <w:rPr>
          <w:bCs/>
        </w:rPr>
        <w:t xml:space="preserve"> </w:t>
      </w:r>
      <w:r>
        <w:rPr>
          <w:bCs/>
        </w:rPr>
        <w:t>p</w:t>
      </w:r>
      <w:r w:rsidRPr="00724A09">
        <w:rPr>
          <w:bCs/>
        </w:rPr>
        <w:t xml:space="preserve">roposed </w:t>
      </w:r>
      <w:r w:rsidRPr="00724A09">
        <w:t>AF is requ</w:t>
      </w:r>
      <w:r>
        <w:t xml:space="preserve">ired </w:t>
      </w:r>
      <w:r w:rsidRPr="00724A09">
        <w:t xml:space="preserve">to finance the </w:t>
      </w:r>
      <w:r>
        <w:t xml:space="preserve">unanticipated </w:t>
      </w:r>
      <w:r w:rsidRPr="00724A09">
        <w:t xml:space="preserve">cost overrun </w:t>
      </w:r>
      <w:r>
        <w:t>in implementing Component A of the project caused by higher than expected road works costs</w:t>
      </w:r>
      <w:r w:rsidRPr="00F10F3D">
        <w:t>.</w:t>
      </w:r>
      <w:r w:rsidRPr="00724A09">
        <w:t xml:space="preserve"> </w:t>
      </w:r>
      <w:r>
        <w:t>While t</w:t>
      </w:r>
      <w:r w:rsidRPr="00724A09">
        <w:t xml:space="preserve">he </w:t>
      </w:r>
      <w:r w:rsidR="00465F7B" w:rsidRPr="00465F7B">
        <w:t>TSPSP</w:t>
      </w:r>
      <w:r w:rsidRPr="00DA040D">
        <w:t xml:space="preserve"> </w:t>
      </w:r>
      <w:r w:rsidRPr="00724A09">
        <w:t xml:space="preserve">is well on track in terms of physical execution of activities, disbursement, and most of the results indicators, the project </w:t>
      </w:r>
      <w:r>
        <w:t>could</w:t>
      </w:r>
      <w:r w:rsidRPr="00724A09">
        <w:t xml:space="preserve"> not </w:t>
      </w:r>
      <w:r>
        <w:t>fund</w:t>
      </w:r>
      <w:r w:rsidRPr="00724A09">
        <w:t xml:space="preserve"> the proposed number of km initially planned for periodic maintenance (about 1,056 km)</w:t>
      </w:r>
      <w:r>
        <w:t xml:space="preserve"> </w:t>
      </w:r>
      <w:r w:rsidRPr="00724A09">
        <w:t>impact</w:t>
      </w:r>
      <w:r>
        <w:t>ing</w:t>
      </w:r>
      <w:r w:rsidRPr="00724A09">
        <w:t xml:space="preserve"> the achievement of the PDO. The costs overruns </w:t>
      </w:r>
      <w:r>
        <w:t>were due to:</w:t>
      </w:r>
      <w:r w:rsidRPr="00724A09">
        <w:t xml:space="preserve"> </w:t>
      </w:r>
      <w:r>
        <w:t xml:space="preserve">(a) </w:t>
      </w:r>
      <w:r w:rsidRPr="00724A09">
        <w:t>higher than anticipated bid prices for the road maintenance works contracts</w:t>
      </w:r>
      <w:r>
        <w:t>,</w:t>
      </w:r>
      <w:r w:rsidRPr="00724A09">
        <w:t xml:space="preserve"> compared to the original Project Appraisal Document (PAD) estimates</w:t>
      </w:r>
      <w:r>
        <w:t xml:space="preserve"> (35 percent more), caused by an increase in the price of petroleum products and road construction costs throughout Sub-Saharan Africa; </w:t>
      </w:r>
      <w:r w:rsidRPr="00BE6A6D">
        <w:t>and (</w:t>
      </w:r>
      <w:r>
        <w:t>b</w:t>
      </w:r>
      <w:r w:rsidRPr="00BE6A6D">
        <w:t>) additional critical works performed during execution</w:t>
      </w:r>
      <w:r w:rsidRPr="00C03B73">
        <w:t xml:space="preserve"> of contracts</w:t>
      </w:r>
      <w:r w:rsidRPr="00BE6A6D">
        <w:t>, caused by the heavy floods of 2009.</w:t>
      </w:r>
      <w:r w:rsidRPr="000103E2">
        <w:t xml:space="preserve"> </w:t>
      </w:r>
    </w:p>
    <w:p w:rsidR="00F94B7A" w:rsidRDefault="00F94B7A" w:rsidP="00F94B7A">
      <w:pPr>
        <w:pStyle w:val="paranumb"/>
        <w:numPr>
          <w:ilvl w:val="0"/>
          <w:numId w:val="0"/>
        </w:numPr>
        <w:spacing w:after="0"/>
      </w:pPr>
    </w:p>
    <w:p w:rsidR="00E02C42" w:rsidRDefault="00E02C42" w:rsidP="003710E3">
      <w:pPr>
        <w:pStyle w:val="paranumb"/>
        <w:numPr>
          <w:ilvl w:val="1"/>
          <w:numId w:val="7"/>
        </w:numPr>
        <w:tabs>
          <w:tab w:val="clear" w:pos="1440"/>
          <w:tab w:val="num" w:pos="900"/>
        </w:tabs>
        <w:spacing w:after="0"/>
        <w:ind w:left="0" w:firstLine="0"/>
      </w:pPr>
      <w:r w:rsidRPr="000103E2">
        <w:t xml:space="preserve"> The activity that will be covered under the proposed AF is the periodic maintenance of the remaining road length</w:t>
      </w:r>
      <w:r>
        <w:t xml:space="preserve"> belonging to the unpaved national road network</w:t>
      </w:r>
      <w:r w:rsidRPr="000103E2">
        <w:t xml:space="preserve">. </w:t>
      </w:r>
      <w:r>
        <w:t>About</w:t>
      </w:r>
      <w:r w:rsidRPr="000103E2">
        <w:t xml:space="preserve"> 750</w:t>
      </w:r>
      <w:r w:rsidR="004F4577">
        <w:t xml:space="preserve"> </w:t>
      </w:r>
      <w:r w:rsidRPr="000103E2">
        <w:t xml:space="preserve">km of roads have already been successfully maintained </w:t>
      </w:r>
      <w:r>
        <w:t>under the original project, while</w:t>
      </w:r>
      <w:r w:rsidRPr="000103E2">
        <w:t xml:space="preserve"> the remaining 306 km of roads are expected to be maintained</w:t>
      </w:r>
      <w:r>
        <w:t xml:space="preserve"> under the proposed AF</w:t>
      </w:r>
      <w:r w:rsidR="0020054C">
        <w:t>.</w:t>
      </w:r>
    </w:p>
    <w:p w:rsidR="008922B2" w:rsidRPr="0015735C" w:rsidRDefault="008922B2" w:rsidP="004D39A1">
      <w:pPr>
        <w:pStyle w:val="MainParanoChapter"/>
        <w:spacing w:after="0"/>
        <w:jc w:val="both"/>
        <w:outlineLvl w:val="9"/>
        <w:rPr>
          <w:szCs w:val="20"/>
        </w:rPr>
      </w:pPr>
    </w:p>
    <w:p w:rsidR="002B4E63" w:rsidRPr="00515775" w:rsidRDefault="008922B2" w:rsidP="00317792">
      <w:pPr>
        <w:pStyle w:val="paranumb"/>
        <w:numPr>
          <w:ilvl w:val="1"/>
          <w:numId w:val="7"/>
        </w:numPr>
        <w:tabs>
          <w:tab w:val="clear" w:pos="1440"/>
          <w:tab w:val="num" w:pos="900"/>
        </w:tabs>
        <w:spacing w:after="0"/>
        <w:ind w:left="0" w:firstLine="0"/>
        <w:rPr>
          <w:szCs w:val="20"/>
        </w:rPr>
      </w:pPr>
      <w:r w:rsidRPr="00515775">
        <w:rPr>
          <w:szCs w:val="20"/>
        </w:rPr>
        <w:lastRenderedPageBreak/>
        <w:t>The project has taken a prudent allocation and attribution strategy of roads work by phasing it to enable a realistic estimate of work costs during its implementation. The second phase of roads civil works execution has been shortened in terms of advertisement and contract award to address the funds shortage and the challenge of roads deterioration between the bids launch and the actual works execution. Nevertheless, the cost</w:t>
      </w:r>
      <w:r w:rsidR="00B26B3D" w:rsidRPr="00515775">
        <w:rPr>
          <w:szCs w:val="20"/>
        </w:rPr>
        <w:t xml:space="preserve"> increase has been unavoidable</w:t>
      </w:r>
      <w:r w:rsidR="00E02C42" w:rsidRPr="00515775">
        <w:rPr>
          <w:szCs w:val="20"/>
        </w:rPr>
        <w:t>.</w:t>
      </w:r>
      <w:r w:rsidR="00B26B3D" w:rsidRPr="00515775">
        <w:rPr>
          <w:szCs w:val="20"/>
        </w:rPr>
        <w:t xml:space="preserve"> The</w:t>
      </w:r>
      <w:r w:rsidR="00B26B3D" w:rsidRPr="00515775">
        <w:rPr>
          <w:bCs/>
        </w:rPr>
        <w:t xml:space="preserve"> Proposed </w:t>
      </w:r>
      <w:r w:rsidRPr="00515775">
        <w:rPr>
          <w:szCs w:val="20"/>
        </w:rPr>
        <w:t xml:space="preserve">AF will enable the project to fully achieve the objectives of Component A (Periodic maintenance and spot rehabilitation of unpaved roads) of the original project and to fund some additional activities to support institutional strengthening through </w:t>
      </w:r>
      <w:r w:rsidR="00F95E9C" w:rsidRPr="00515775">
        <w:rPr>
          <w:szCs w:val="20"/>
        </w:rPr>
        <w:t xml:space="preserve">Component </w:t>
      </w:r>
      <w:r w:rsidRPr="00515775">
        <w:rPr>
          <w:szCs w:val="20"/>
        </w:rPr>
        <w:t xml:space="preserve">B. </w:t>
      </w:r>
      <w:r w:rsidR="00515775">
        <w:t xml:space="preserve">The original project </w:t>
      </w:r>
      <w:r w:rsidR="00515775" w:rsidRPr="000103E2">
        <w:t xml:space="preserve">closing date </w:t>
      </w:r>
      <w:r w:rsidR="00515775">
        <w:t>was extended to</w:t>
      </w:r>
      <w:r w:rsidR="00515775" w:rsidRPr="000103E2">
        <w:t xml:space="preserve"> December 15, 201</w:t>
      </w:r>
      <w:r w:rsidR="00515775">
        <w:t>3 to allow completion of roads works</w:t>
      </w:r>
      <w:r w:rsidR="00515775" w:rsidRPr="000103E2">
        <w:t>.</w:t>
      </w:r>
      <w:r w:rsidR="00515775">
        <w:t xml:space="preserve"> The AF will close on December 15, 2015.</w:t>
      </w:r>
    </w:p>
    <w:p w:rsidR="00515775" w:rsidRPr="00515775" w:rsidRDefault="00515775" w:rsidP="00515775">
      <w:pPr>
        <w:pStyle w:val="paranumb"/>
        <w:numPr>
          <w:ilvl w:val="0"/>
          <w:numId w:val="0"/>
        </w:numPr>
        <w:spacing w:after="0"/>
        <w:rPr>
          <w:szCs w:val="20"/>
        </w:rPr>
      </w:pPr>
    </w:p>
    <w:p w:rsidR="00515775" w:rsidRDefault="008922B2" w:rsidP="00515775">
      <w:pPr>
        <w:pStyle w:val="MainParanoChapter"/>
        <w:numPr>
          <w:ilvl w:val="1"/>
          <w:numId w:val="7"/>
        </w:numPr>
        <w:tabs>
          <w:tab w:val="clear" w:pos="1440"/>
          <w:tab w:val="num" w:pos="720"/>
          <w:tab w:val="num" w:pos="900"/>
        </w:tabs>
        <w:spacing w:after="0"/>
        <w:ind w:left="0" w:firstLine="0"/>
        <w:jc w:val="both"/>
        <w:outlineLvl w:val="9"/>
      </w:pPr>
      <w:r w:rsidRPr="00515775">
        <w:rPr>
          <w:szCs w:val="20"/>
        </w:rPr>
        <w:t xml:space="preserve">With the </w:t>
      </w:r>
      <w:r w:rsidR="00AB2B2B" w:rsidRPr="00515775">
        <w:rPr>
          <w:szCs w:val="20"/>
        </w:rPr>
        <w:t xml:space="preserve">proposed </w:t>
      </w:r>
      <w:r w:rsidRPr="00515775">
        <w:rPr>
          <w:szCs w:val="20"/>
        </w:rPr>
        <w:t xml:space="preserve">AF, the project will remain economically viable. </w:t>
      </w:r>
      <w:r w:rsidR="00515775">
        <w:t>F</w:t>
      </w:r>
      <w:r w:rsidR="00515775" w:rsidRPr="000103E2">
        <w:t xml:space="preserve">or the proposed road section covered </w:t>
      </w:r>
      <w:r w:rsidR="00515775">
        <w:t>by</w:t>
      </w:r>
      <w:r w:rsidR="00515775" w:rsidRPr="000103E2">
        <w:t xml:space="preserve"> the </w:t>
      </w:r>
      <w:r w:rsidR="00515775">
        <w:t xml:space="preserve">proposed </w:t>
      </w:r>
      <w:r w:rsidR="00515775" w:rsidRPr="000103E2">
        <w:t>AF</w:t>
      </w:r>
      <w:r w:rsidR="00515775">
        <w:t>, t</w:t>
      </w:r>
      <w:r w:rsidR="00515775" w:rsidRPr="000103E2">
        <w:t xml:space="preserve">he evaluation showed that all the five sections have an IRR equal or higher than 12 percent. The one with an </w:t>
      </w:r>
      <w:r w:rsidR="00465F7B" w:rsidRPr="000103E2">
        <w:t>Internal Rate of Return</w:t>
      </w:r>
      <w:r w:rsidR="00515775" w:rsidRPr="000103E2">
        <w:t xml:space="preserve"> of 12 percent</w:t>
      </w:r>
      <w:r w:rsidR="00515775">
        <w:t xml:space="preserve"> (</w:t>
      </w:r>
      <w:proofErr w:type="spellStart"/>
      <w:r w:rsidR="00515775" w:rsidRPr="0021605C">
        <w:rPr>
          <w:sz w:val="22"/>
          <w:szCs w:val="22"/>
        </w:rPr>
        <w:t>Tessaoua-Gabaouri-Korghom</w:t>
      </w:r>
      <w:proofErr w:type="spellEnd"/>
      <w:r w:rsidR="00515775" w:rsidRPr="0021605C">
        <w:rPr>
          <w:sz w:val="22"/>
          <w:szCs w:val="22"/>
        </w:rPr>
        <w:t xml:space="preserve"> (47 km)</w:t>
      </w:r>
      <w:r w:rsidR="00515775">
        <w:t>)</w:t>
      </w:r>
      <w:r w:rsidR="00515775" w:rsidRPr="000103E2">
        <w:t xml:space="preserve"> is a short road section with low traffic volume; this section has been selected for reason of opening up access </w:t>
      </w:r>
      <w:r w:rsidR="00515775">
        <w:t>to</w:t>
      </w:r>
      <w:r w:rsidR="00515775" w:rsidRPr="000103E2">
        <w:t xml:space="preserve"> a large number of people, thus bringing significant socio-economic benefits.</w:t>
      </w:r>
    </w:p>
    <w:p w:rsidR="00515775" w:rsidRPr="00515775" w:rsidRDefault="00515775" w:rsidP="00515775">
      <w:pPr>
        <w:pStyle w:val="paranumb"/>
        <w:numPr>
          <w:ilvl w:val="0"/>
          <w:numId w:val="0"/>
        </w:numPr>
        <w:tabs>
          <w:tab w:val="num" w:pos="900"/>
        </w:tabs>
        <w:spacing w:after="0"/>
      </w:pPr>
    </w:p>
    <w:p w:rsidR="00515775" w:rsidRPr="000103E2" w:rsidRDefault="008922B2" w:rsidP="00515775">
      <w:pPr>
        <w:pStyle w:val="paranumb"/>
        <w:numPr>
          <w:ilvl w:val="1"/>
          <w:numId w:val="7"/>
        </w:numPr>
        <w:tabs>
          <w:tab w:val="clear" w:pos="1440"/>
          <w:tab w:val="num" w:pos="720"/>
          <w:tab w:val="num" w:pos="900"/>
        </w:tabs>
        <w:spacing w:after="0"/>
        <w:ind w:left="0" w:firstLine="0"/>
      </w:pPr>
      <w:r w:rsidRPr="00515775">
        <w:rPr>
          <w:szCs w:val="20"/>
        </w:rPr>
        <w:t xml:space="preserve">With respect to the safeguards, </w:t>
      </w:r>
      <w:r w:rsidR="00515775">
        <w:rPr>
          <w:szCs w:val="20"/>
        </w:rPr>
        <w:t>t</w:t>
      </w:r>
      <w:r w:rsidR="00515775" w:rsidRPr="00515775">
        <w:rPr>
          <w:rFonts w:eastAsiaTheme="minorHAnsi"/>
          <w:color w:val="000000"/>
        </w:rPr>
        <w:t>he proposed AF, like the original project, is classified as Category B indicating that the environmental and social impacts are likely to be small-scale, site-specific and thus manageable at an acceptable level. The proposed civil works activities are similar in type and impact to what has already been funded under the original project. The Bank has triggered a new safeguard policy (Physical Cultural Resources (OP/BP 4.11) in addition to the two already triggered for the original project (Environmental Assessment (OP/BP 4.01) and Involuntary Resettlement (OP/BP 4.12). The ESMPs for those road segments that affect physical cultural resources will include appropriate mitigation measures.</w:t>
      </w:r>
    </w:p>
    <w:p w:rsidR="00515775" w:rsidRPr="000103E2" w:rsidRDefault="00515775" w:rsidP="00515775">
      <w:pPr>
        <w:tabs>
          <w:tab w:val="num" w:pos="720"/>
        </w:tabs>
      </w:pPr>
    </w:p>
    <w:p w:rsidR="00515775" w:rsidRDefault="00515775" w:rsidP="00515775">
      <w:pPr>
        <w:pStyle w:val="MainParanoChapter"/>
        <w:numPr>
          <w:ilvl w:val="1"/>
          <w:numId w:val="7"/>
        </w:numPr>
        <w:tabs>
          <w:tab w:val="clear" w:pos="1440"/>
        </w:tabs>
        <w:spacing w:after="0"/>
        <w:ind w:left="0" w:firstLine="0"/>
        <w:jc w:val="both"/>
        <w:outlineLvl w:val="9"/>
        <w:rPr>
          <w:sz w:val="22"/>
          <w:szCs w:val="22"/>
        </w:rPr>
      </w:pPr>
      <w:r>
        <w:rPr>
          <w:rFonts w:eastAsiaTheme="minorHAnsi"/>
          <w:color w:val="000000"/>
        </w:rPr>
        <w:t>The Environmental Impact Assessment (EIA), including the Environmental and Social Management Plan (ESMP) covering 13 sections of earth roads in five regions (</w:t>
      </w:r>
      <w:proofErr w:type="spellStart"/>
      <w:r>
        <w:rPr>
          <w:rFonts w:eastAsiaTheme="minorHAnsi"/>
          <w:color w:val="000000"/>
        </w:rPr>
        <w:t>Dosso</w:t>
      </w:r>
      <w:proofErr w:type="spellEnd"/>
      <w:r>
        <w:rPr>
          <w:rFonts w:eastAsiaTheme="minorHAnsi"/>
          <w:color w:val="000000"/>
        </w:rPr>
        <w:t xml:space="preserve">, </w:t>
      </w:r>
      <w:proofErr w:type="spellStart"/>
      <w:r>
        <w:rPr>
          <w:rFonts w:eastAsiaTheme="minorHAnsi"/>
          <w:color w:val="000000"/>
        </w:rPr>
        <w:t>Tillaberi</w:t>
      </w:r>
      <w:proofErr w:type="spellEnd"/>
      <w:r>
        <w:rPr>
          <w:rFonts w:eastAsiaTheme="minorHAnsi"/>
          <w:color w:val="000000"/>
        </w:rPr>
        <w:t xml:space="preserve">, </w:t>
      </w:r>
      <w:proofErr w:type="spellStart"/>
      <w:r>
        <w:rPr>
          <w:rFonts w:eastAsiaTheme="minorHAnsi"/>
          <w:color w:val="000000"/>
        </w:rPr>
        <w:t>Tahoua</w:t>
      </w:r>
      <w:proofErr w:type="spellEnd"/>
      <w:r>
        <w:rPr>
          <w:rFonts w:eastAsiaTheme="minorHAnsi"/>
          <w:color w:val="000000"/>
        </w:rPr>
        <w:t xml:space="preserve">, </w:t>
      </w:r>
      <w:proofErr w:type="spellStart"/>
      <w:r>
        <w:rPr>
          <w:rFonts w:eastAsiaTheme="minorHAnsi"/>
          <w:color w:val="000000"/>
        </w:rPr>
        <w:t>Maradi</w:t>
      </w:r>
      <w:proofErr w:type="spellEnd"/>
      <w:r>
        <w:rPr>
          <w:rFonts w:eastAsiaTheme="minorHAnsi"/>
          <w:color w:val="000000"/>
        </w:rPr>
        <w:t xml:space="preserve"> and </w:t>
      </w:r>
      <w:proofErr w:type="spellStart"/>
      <w:r>
        <w:rPr>
          <w:rFonts w:eastAsiaTheme="minorHAnsi"/>
          <w:color w:val="000000"/>
        </w:rPr>
        <w:t>Zinder</w:t>
      </w:r>
      <w:proofErr w:type="spellEnd"/>
      <w:r>
        <w:rPr>
          <w:rFonts w:eastAsiaTheme="minorHAnsi"/>
          <w:color w:val="000000"/>
        </w:rPr>
        <w:t xml:space="preserve">), and the Resettlement Policy Framework (RPF) of the original project, prepared and disclosed in-country and at the </w:t>
      </w:r>
      <w:r w:rsidR="00CF24CD">
        <w:rPr>
          <w:rFonts w:eastAsiaTheme="minorHAnsi"/>
          <w:color w:val="000000"/>
        </w:rPr>
        <w:t xml:space="preserve">World </w:t>
      </w:r>
      <w:r>
        <w:rPr>
          <w:rFonts w:eastAsiaTheme="minorHAnsi"/>
          <w:color w:val="000000"/>
        </w:rPr>
        <w:t xml:space="preserve">Bank’s </w:t>
      </w:r>
      <w:proofErr w:type="spellStart"/>
      <w:r>
        <w:rPr>
          <w:rFonts w:eastAsiaTheme="minorHAnsi"/>
          <w:color w:val="000000"/>
        </w:rPr>
        <w:t>Infoshop</w:t>
      </w:r>
      <w:proofErr w:type="spellEnd"/>
      <w:r>
        <w:rPr>
          <w:rFonts w:eastAsiaTheme="minorHAnsi"/>
          <w:color w:val="000000"/>
        </w:rPr>
        <w:t xml:space="preserve"> on December 31, 2007 and January 4, 2008, respectively, still apply since the proposed AF covers the same roads that were originally included under the project. An Abbreviated </w:t>
      </w:r>
      <w:r w:rsidR="00465F7B" w:rsidRPr="000103E2">
        <w:t>Resettlement Action Plans</w:t>
      </w:r>
      <w:r w:rsidR="00465F7B">
        <w:rPr>
          <w:rFonts w:eastAsiaTheme="minorHAnsi"/>
          <w:color w:val="000000"/>
        </w:rPr>
        <w:t xml:space="preserve"> </w:t>
      </w:r>
      <w:r w:rsidR="008A17CE">
        <w:rPr>
          <w:rFonts w:eastAsiaTheme="minorHAnsi"/>
          <w:color w:val="000000"/>
        </w:rPr>
        <w:t>(</w:t>
      </w:r>
      <w:r>
        <w:rPr>
          <w:rFonts w:eastAsiaTheme="minorHAnsi"/>
          <w:color w:val="000000"/>
        </w:rPr>
        <w:t>RAP</w:t>
      </w:r>
      <w:r w:rsidR="008A17CE">
        <w:rPr>
          <w:rFonts w:eastAsiaTheme="minorHAnsi"/>
          <w:color w:val="000000"/>
        </w:rPr>
        <w:t>)</w:t>
      </w:r>
      <w:r>
        <w:rPr>
          <w:rFonts w:eastAsiaTheme="minorHAnsi"/>
          <w:color w:val="000000"/>
        </w:rPr>
        <w:t xml:space="preserve"> acceptable to the Bank was prepared for the </w:t>
      </w:r>
      <w:proofErr w:type="spellStart"/>
      <w:r>
        <w:rPr>
          <w:rFonts w:eastAsiaTheme="minorHAnsi"/>
          <w:color w:val="000000"/>
        </w:rPr>
        <w:t>Balleyara-Banibangou</w:t>
      </w:r>
      <w:proofErr w:type="spellEnd"/>
      <w:r>
        <w:rPr>
          <w:rFonts w:eastAsiaTheme="minorHAnsi"/>
          <w:color w:val="000000"/>
        </w:rPr>
        <w:t xml:space="preserve"> road segment in August 2010, where four people were compensated for loss of land and assets. The Social Impact Assessment (SIA) conducted on 2007 updated for the five roads sections of the proposed AF in October 2012, was reviewed, cleared and disclosed by the Bank </w:t>
      </w:r>
      <w:r w:rsidRPr="002706C4">
        <w:rPr>
          <w:rFonts w:eastAsiaTheme="minorHAnsi"/>
          <w:color w:val="000000"/>
        </w:rPr>
        <w:t>on January 9, 2013</w:t>
      </w:r>
      <w:r>
        <w:rPr>
          <w:rFonts w:eastAsiaTheme="minorHAnsi"/>
          <w:color w:val="000000"/>
        </w:rPr>
        <w:t xml:space="preserve">. Following are the roads sections concerned: </w:t>
      </w:r>
      <w:proofErr w:type="spellStart"/>
      <w:r w:rsidRPr="00D72026">
        <w:t>Balleyara</w:t>
      </w:r>
      <w:proofErr w:type="spellEnd"/>
      <w:r w:rsidRPr="00D72026">
        <w:t xml:space="preserve"> (PK 98+600 RN25 )-</w:t>
      </w:r>
      <w:proofErr w:type="spellStart"/>
      <w:r w:rsidRPr="00D72026">
        <w:t>Tabla-Loga</w:t>
      </w:r>
      <w:proofErr w:type="spellEnd"/>
      <w:r w:rsidRPr="00D72026">
        <w:t xml:space="preserve"> (40 km), </w:t>
      </w:r>
      <w:proofErr w:type="spellStart"/>
      <w:r w:rsidRPr="00D72026">
        <w:t>Dogonkiria-Bagaroua</w:t>
      </w:r>
      <w:proofErr w:type="spellEnd"/>
      <w:r w:rsidRPr="00D72026">
        <w:t xml:space="preserve"> (66 km), </w:t>
      </w:r>
      <w:proofErr w:type="spellStart"/>
      <w:r w:rsidRPr="00D72026">
        <w:t>Maradi-Madarounfa-Frontière</w:t>
      </w:r>
      <w:proofErr w:type="spellEnd"/>
      <w:r w:rsidRPr="00D72026">
        <w:t xml:space="preserve"> </w:t>
      </w:r>
      <w:proofErr w:type="spellStart"/>
      <w:r w:rsidRPr="00D72026">
        <w:t>Nigéria</w:t>
      </w:r>
      <w:proofErr w:type="spellEnd"/>
      <w:r w:rsidRPr="00D72026">
        <w:t xml:space="preserve"> (54 km), </w:t>
      </w:r>
      <w:proofErr w:type="spellStart"/>
      <w:r w:rsidRPr="00D72026">
        <w:t>Tessaoua-Gabaouri-Korghom</w:t>
      </w:r>
      <w:proofErr w:type="spellEnd"/>
      <w:r w:rsidRPr="00D72026">
        <w:t xml:space="preserve"> (47 km) and </w:t>
      </w:r>
      <w:proofErr w:type="spellStart"/>
      <w:r w:rsidRPr="00D72026">
        <w:t>Kellé-Gouré</w:t>
      </w:r>
      <w:proofErr w:type="spellEnd"/>
      <w:r w:rsidRPr="00D72026">
        <w:t xml:space="preserve"> (99 km) subdivided into two  sections (RN11 PK7-RN34 PK61 (</w:t>
      </w:r>
      <w:proofErr w:type="spellStart"/>
      <w:r w:rsidRPr="00D72026">
        <w:t>Kellé-Gouré</w:t>
      </w:r>
      <w:proofErr w:type="spellEnd"/>
      <w:r w:rsidRPr="00D72026">
        <w:t>) (61 km) and RN34 PK61-RN34 PK 121 (</w:t>
      </w:r>
      <w:proofErr w:type="spellStart"/>
      <w:r w:rsidRPr="00D72026">
        <w:t>Kellé-Gouré</w:t>
      </w:r>
      <w:proofErr w:type="spellEnd"/>
      <w:r w:rsidRPr="00D72026">
        <w:t>) (38 km)).</w:t>
      </w:r>
    </w:p>
    <w:p w:rsidR="00515775" w:rsidRDefault="00515775" w:rsidP="00515775">
      <w:pPr>
        <w:jc w:val="both"/>
        <w:rPr>
          <w:rFonts w:eastAsiaTheme="minorHAnsi"/>
          <w:color w:val="000000"/>
        </w:rPr>
      </w:pPr>
    </w:p>
    <w:p w:rsidR="00515775" w:rsidRDefault="00515775" w:rsidP="00515775">
      <w:pPr>
        <w:pStyle w:val="paranumb"/>
        <w:numPr>
          <w:ilvl w:val="1"/>
          <w:numId w:val="7"/>
        </w:numPr>
        <w:tabs>
          <w:tab w:val="clear" w:pos="1440"/>
          <w:tab w:val="num" w:pos="900"/>
        </w:tabs>
        <w:spacing w:after="0"/>
        <w:ind w:left="0" w:firstLine="0"/>
        <w:rPr>
          <w:szCs w:val="20"/>
        </w:rPr>
      </w:pPr>
      <w:r>
        <w:rPr>
          <w:rFonts w:eastAsiaTheme="minorHAnsi"/>
          <w:color w:val="000000"/>
        </w:rPr>
        <w:t xml:space="preserve">The SIA concluded that there would be no need to displace and compensate people within a strip of 10 meters of each side of the road on the respective road sections. Nevertheless, the assessment identified some negative impacts on population during the roads rehabilitation works, and proposed correctives measures (through Social Impact Mitigation Action Plans) to be </w:t>
      </w:r>
      <w:r>
        <w:rPr>
          <w:rFonts w:eastAsiaTheme="minorHAnsi"/>
          <w:color w:val="000000"/>
        </w:rPr>
        <w:lastRenderedPageBreak/>
        <w:t xml:space="preserve">taken in order to protect population from the spread of </w:t>
      </w:r>
      <w:r>
        <w:t>Human Immunodeficiency Virus/Acquired Immunodeficiency Syndrome (HIV/AIDS)</w:t>
      </w:r>
      <w:r>
        <w:rPr>
          <w:rFonts w:eastAsiaTheme="minorHAnsi"/>
          <w:color w:val="000000"/>
        </w:rPr>
        <w:t xml:space="preserve">, dust and accidents, and to sensitize the local population employed by contractors for non-qualified works. These measures have been priced and will be included in the bidding documents. </w:t>
      </w:r>
      <w:r w:rsidRPr="002706C4">
        <w:rPr>
          <w:rFonts w:eastAsiaTheme="minorHAnsi"/>
          <w:color w:val="000000"/>
        </w:rPr>
        <w:t xml:space="preserve">An SIA prepared in May 2012 for the </w:t>
      </w:r>
      <w:proofErr w:type="spellStart"/>
      <w:r w:rsidRPr="002706C4">
        <w:rPr>
          <w:rFonts w:eastAsiaTheme="minorHAnsi"/>
          <w:color w:val="000000"/>
        </w:rPr>
        <w:t>Kelle-Gouré</w:t>
      </w:r>
      <w:proofErr w:type="spellEnd"/>
      <w:r w:rsidRPr="002706C4">
        <w:rPr>
          <w:rFonts w:eastAsiaTheme="minorHAnsi"/>
          <w:color w:val="000000"/>
        </w:rPr>
        <w:t xml:space="preserve"> road section (Phase 2 of the road works) found that 15 people were compensated for loss of land and assets; a social audit will follow up with the Project</w:t>
      </w:r>
      <w:r>
        <w:rPr>
          <w:rFonts w:eastAsiaTheme="minorHAnsi"/>
          <w:color w:val="000000"/>
        </w:rPr>
        <w:t xml:space="preserve"> </w:t>
      </w:r>
      <w:r w:rsidRPr="002706C4">
        <w:rPr>
          <w:rFonts w:eastAsiaTheme="minorHAnsi"/>
          <w:color w:val="000000"/>
        </w:rPr>
        <w:t>Affected People (PAPs) and government to confirm that the compensation process is satisfactory.</w:t>
      </w:r>
      <w:r>
        <w:rPr>
          <w:rFonts w:eastAsiaTheme="minorHAnsi"/>
          <w:color w:val="000000"/>
        </w:rPr>
        <w:t xml:space="preserve"> The EIA including ESMP also updated in October 2012, was reviewed, cleared and disclosed by the Bank on </w:t>
      </w:r>
      <w:r w:rsidRPr="002706C4">
        <w:rPr>
          <w:rFonts w:eastAsiaTheme="minorHAnsi"/>
          <w:color w:val="000000"/>
        </w:rPr>
        <w:t>January 9, 2013</w:t>
      </w:r>
      <w:r>
        <w:rPr>
          <w:rFonts w:eastAsiaTheme="minorHAnsi"/>
          <w:color w:val="000000"/>
        </w:rPr>
        <w:t>.</w:t>
      </w:r>
    </w:p>
    <w:p w:rsidR="00515775" w:rsidRDefault="00515775" w:rsidP="00515775">
      <w:pPr>
        <w:pStyle w:val="paranumb"/>
        <w:numPr>
          <w:ilvl w:val="0"/>
          <w:numId w:val="0"/>
        </w:numPr>
        <w:spacing w:after="0"/>
        <w:rPr>
          <w:szCs w:val="20"/>
        </w:rPr>
      </w:pPr>
    </w:p>
    <w:p w:rsidR="008922B2" w:rsidRDefault="008922B2" w:rsidP="003710E3">
      <w:pPr>
        <w:pStyle w:val="paranumb"/>
        <w:numPr>
          <w:ilvl w:val="1"/>
          <w:numId w:val="7"/>
        </w:numPr>
        <w:tabs>
          <w:tab w:val="clear" w:pos="1440"/>
          <w:tab w:val="num" w:pos="900"/>
        </w:tabs>
        <w:spacing w:after="0"/>
        <w:ind w:left="0" w:firstLine="0"/>
        <w:rPr>
          <w:szCs w:val="20"/>
        </w:rPr>
      </w:pPr>
      <w:r w:rsidRPr="0015735C">
        <w:rPr>
          <w:szCs w:val="20"/>
        </w:rPr>
        <w:t xml:space="preserve"> The results framework and monitoring system will remain the same a</w:t>
      </w:r>
      <w:r w:rsidR="00B26B3D">
        <w:rPr>
          <w:szCs w:val="20"/>
        </w:rPr>
        <w:t>s in the original project. This</w:t>
      </w:r>
      <w:r w:rsidR="00B26B3D" w:rsidRPr="00EE2D2C">
        <w:rPr>
          <w:bCs/>
        </w:rPr>
        <w:t xml:space="preserve"> </w:t>
      </w:r>
      <w:r w:rsidR="0020054C">
        <w:rPr>
          <w:bCs/>
        </w:rPr>
        <w:t>p</w:t>
      </w:r>
      <w:r w:rsidR="00B26B3D">
        <w:rPr>
          <w:bCs/>
        </w:rPr>
        <w:t xml:space="preserve">roposed </w:t>
      </w:r>
      <w:r w:rsidRPr="0015735C">
        <w:rPr>
          <w:szCs w:val="20"/>
        </w:rPr>
        <w:t xml:space="preserve">AF will not slow </w:t>
      </w:r>
      <w:r w:rsidR="00465F7B" w:rsidRPr="00465F7B">
        <w:rPr>
          <w:szCs w:val="20"/>
        </w:rPr>
        <w:t>TSPSP</w:t>
      </w:r>
      <w:r w:rsidRPr="0015735C">
        <w:rPr>
          <w:szCs w:val="20"/>
        </w:rPr>
        <w:t xml:space="preserve"> project implementation.</w:t>
      </w:r>
      <w:r w:rsidR="003E356A">
        <w:rPr>
          <w:szCs w:val="20"/>
        </w:rPr>
        <w:t xml:space="preserve"> Nevertheless, it is planned to extend the original closing date to allow full completion of the civil works under execution.</w:t>
      </w:r>
    </w:p>
    <w:p w:rsidR="008E6A61" w:rsidRPr="0015735C" w:rsidRDefault="008E6A61" w:rsidP="004D39A1">
      <w:pPr>
        <w:pStyle w:val="MainParanoChapter"/>
        <w:spacing w:after="0"/>
        <w:jc w:val="both"/>
        <w:outlineLvl w:val="9"/>
        <w:rPr>
          <w:szCs w:val="20"/>
        </w:rPr>
      </w:pPr>
    </w:p>
    <w:bookmarkEnd w:id="17"/>
    <w:p w:rsidR="009B708C" w:rsidRPr="003C596C" w:rsidRDefault="00A706FA" w:rsidP="00621A9D">
      <w:pPr>
        <w:numPr>
          <w:ilvl w:val="0"/>
          <w:numId w:val="6"/>
        </w:numPr>
        <w:tabs>
          <w:tab w:val="clear" w:pos="720"/>
          <w:tab w:val="num" w:pos="360"/>
        </w:tabs>
        <w:ind w:left="0" w:firstLine="0"/>
        <w:rPr>
          <w:b/>
        </w:rPr>
      </w:pPr>
      <w:r w:rsidRPr="003C596C">
        <w:rPr>
          <w:b/>
        </w:rPr>
        <w:t>Description</w:t>
      </w:r>
      <w:bookmarkStart w:id="18" w:name="Description"/>
    </w:p>
    <w:p w:rsidR="00621A9D" w:rsidRDefault="00621A9D" w:rsidP="00621A9D"/>
    <w:p w:rsidR="009B708C" w:rsidRPr="0015735C" w:rsidRDefault="009B708C" w:rsidP="003710E3">
      <w:pPr>
        <w:pStyle w:val="paranumb"/>
        <w:numPr>
          <w:ilvl w:val="1"/>
          <w:numId w:val="7"/>
        </w:numPr>
        <w:tabs>
          <w:tab w:val="clear" w:pos="1440"/>
          <w:tab w:val="num" w:pos="900"/>
        </w:tabs>
        <w:spacing w:after="0"/>
        <w:ind w:left="0" w:firstLine="0"/>
        <w:rPr>
          <w:szCs w:val="20"/>
        </w:rPr>
      </w:pPr>
      <w:r w:rsidRPr="0015735C">
        <w:rPr>
          <w:szCs w:val="20"/>
        </w:rPr>
        <w:t xml:space="preserve">The proposed AF activities are </w:t>
      </w:r>
      <w:r w:rsidR="00F549B5">
        <w:rPr>
          <w:szCs w:val="20"/>
        </w:rPr>
        <w:t xml:space="preserve">consistent with </w:t>
      </w:r>
      <w:r w:rsidRPr="0015735C">
        <w:rPr>
          <w:szCs w:val="20"/>
        </w:rPr>
        <w:t xml:space="preserve">the original project and </w:t>
      </w:r>
      <w:r w:rsidR="00F549B5">
        <w:rPr>
          <w:szCs w:val="20"/>
        </w:rPr>
        <w:t xml:space="preserve">are as follows:  </w:t>
      </w:r>
    </w:p>
    <w:p w:rsidR="009B708C" w:rsidRPr="0015735C" w:rsidRDefault="009B708C" w:rsidP="004D39A1">
      <w:pPr>
        <w:pStyle w:val="MainParanoChapter"/>
        <w:spacing w:after="0"/>
        <w:jc w:val="both"/>
        <w:outlineLvl w:val="9"/>
        <w:rPr>
          <w:szCs w:val="20"/>
        </w:rPr>
      </w:pPr>
    </w:p>
    <w:p w:rsidR="009B708C" w:rsidRPr="0015735C" w:rsidRDefault="009B708C" w:rsidP="004D39A1">
      <w:pPr>
        <w:pStyle w:val="MainParanoChapter"/>
        <w:spacing w:after="0"/>
        <w:jc w:val="both"/>
        <w:outlineLvl w:val="9"/>
        <w:rPr>
          <w:szCs w:val="20"/>
        </w:rPr>
      </w:pPr>
      <w:r w:rsidRPr="009E788B">
        <w:rPr>
          <w:szCs w:val="20"/>
          <w:u w:val="single"/>
        </w:rPr>
        <w:t>Component A</w:t>
      </w:r>
      <w:r w:rsidRPr="009E788B">
        <w:rPr>
          <w:szCs w:val="20"/>
        </w:rPr>
        <w:t>:</w:t>
      </w:r>
      <w:r w:rsidR="002E7B58">
        <w:rPr>
          <w:b/>
          <w:i/>
          <w:szCs w:val="20"/>
        </w:rPr>
        <w:t xml:space="preserve"> Periodic maintenance and </w:t>
      </w:r>
      <w:r w:rsidRPr="0015735C">
        <w:rPr>
          <w:b/>
          <w:i/>
          <w:szCs w:val="20"/>
        </w:rPr>
        <w:t>rehabilitation of unpaved roads (about US$</w:t>
      </w:r>
      <w:r w:rsidR="005F507D">
        <w:rPr>
          <w:b/>
          <w:i/>
          <w:szCs w:val="20"/>
        </w:rPr>
        <w:t>15.95</w:t>
      </w:r>
      <w:r w:rsidRPr="0015735C">
        <w:rPr>
          <w:b/>
          <w:i/>
          <w:szCs w:val="20"/>
        </w:rPr>
        <w:t xml:space="preserve"> million).</w:t>
      </w:r>
      <w:r w:rsidRPr="0015735C">
        <w:rPr>
          <w:szCs w:val="20"/>
        </w:rPr>
        <w:t xml:space="preserve"> This component includes: (</w:t>
      </w:r>
      <w:r w:rsidR="00054DD2">
        <w:rPr>
          <w:szCs w:val="20"/>
        </w:rPr>
        <w:t>a</w:t>
      </w:r>
      <w:r w:rsidRPr="0015735C">
        <w:rPr>
          <w:szCs w:val="20"/>
        </w:rPr>
        <w:t xml:space="preserve">) </w:t>
      </w:r>
      <w:r w:rsidR="00F549B5">
        <w:rPr>
          <w:szCs w:val="20"/>
        </w:rPr>
        <w:t>implementation</w:t>
      </w:r>
      <w:r w:rsidRPr="0015735C">
        <w:rPr>
          <w:szCs w:val="20"/>
        </w:rPr>
        <w:t xml:space="preserve"> of </w:t>
      </w:r>
      <w:r w:rsidR="00F549B5">
        <w:rPr>
          <w:szCs w:val="20"/>
        </w:rPr>
        <w:t xml:space="preserve">periodic </w:t>
      </w:r>
      <w:r w:rsidRPr="0015735C">
        <w:rPr>
          <w:szCs w:val="20"/>
        </w:rPr>
        <w:t>maintenance and rehabilitation civil works on about 306 km of key roads; (</w:t>
      </w:r>
      <w:r w:rsidR="00054DD2">
        <w:rPr>
          <w:szCs w:val="20"/>
        </w:rPr>
        <w:t>b</w:t>
      </w:r>
      <w:r w:rsidRPr="0015735C">
        <w:rPr>
          <w:szCs w:val="20"/>
        </w:rPr>
        <w:t>) supervision consultancy services for the road works; and (</w:t>
      </w:r>
      <w:r w:rsidR="00AB2B2B">
        <w:rPr>
          <w:szCs w:val="20"/>
        </w:rPr>
        <w:t>c</w:t>
      </w:r>
      <w:r w:rsidRPr="0015735C">
        <w:rPr>
          <w:szCs w:val="20"/>
        </w:rPr>
        <w:t xml:space="preserve">) technical audits; </w:t>
      </w:r>
    </w:p>
    <w:p w:rsidR="009B708C" w:rsidRPr="0015735C" w:rsidRDefault="009B708C" w:rsidP="004D39A1">
      <w:pPr>
        <w:pStyle w:val="MainParanoChapter"/>
        <w:spacing w:after="0"/>
        <w:jc w:val="both"/>
        <w:outlineLvl w:val="9"/>
        <w:rPr>
          <w:szCs w:val="20"/>
        </w:rPr>
      </w:pPr>
    </w:p>
    <w:p w:rsidR="009B708C" w:rsidRDefault="009B708C" w:rsidP="006967E1">
      <w:pPr>
        <w:jc w:val="both"/>
        <w:rPr>
          <w:bCs/>
          <w:szCs w:val="20"/>
        </w:rPr>
      </w:pPr>
      <w:r w:rsidRPr="009E788B">
        <w:rPr>
          <w:szCs w:val="20"/>
          <w:u w:val="single"/>
        </w:rPr>
        <w:t>Component B</w:t>
      </w:r>
      <w:r w:rsidRPr="009E788B">
        <w:rPr>
          <w:szCs w:val="20"/>
        </w:rPr>
        <w:t>:</w:t>
      </w:r>
      <w:r w:rsidRPr="0015735C">
        <w:rPr>
          <w:b/>
          <w:i/>
          <w:szCs w:val="20"/>
        </w:rPr>
        <w:t xml:space="preserve"> Institutional support to the main transport sector players through provision of capacity building and assistance in management and execution of road maintenance activities (about US$</w:t>
      </w:r>
      <w:r w:rsidR="005F507D">
        <w:rPr>
          <w:b/>
          <w:i/>
          <w:szCs w:val="20"/>
        </w:rPr>
        <w:t>3.55</w:t>
      </w:r>
      <w:r w:rsidRPr="0015735C">
        <w:rPr>
          <w:b/>
          <w:i/>
          <w:szCs w:val="20"/>
        </w:rPr>
        <w:t xml:space="preserve"> million).</w:t>
      </w:r>
      <w:r w:rsidR="004F4577">
        <w:rPr>
          <w:szCs w:val="20"/>
        </w:rPr>
        <w:t xml:space="preserve"> </w:t>
      </w:r>
      <w:r w:rsidR="005F507D" w:rsidRPr="000103E2">
        <w:t xml:space="preserve">This component supports Component A by improving the management and sustainability of road maintenance. The specific activities will complete those achieved under the original project, and include the following: (a) technical assistance for capacity building in the </w:t>
      </w:r>
      <w:r w:rsidR="009E44F5" w:rsidRPr="000103E2">
        <w:t>M</w:t>
      </w:r>
      <w:r w:rsidR="009E44F5">
        <w:t>inistr</w:t>
      </w:r>
      <w:r w:rsidR="003624CA">
        <w:t>ies</w:t>
      </w:r>
      <w:r w:rsidR="009E44F5">
        <w:t xml:space="preserve"> of </w:t>
      </w:r>
      <w:r w:rsidR="009E44F5" w:rsidRPr="000103E2">
        <w:t>E</w:t>
      </w:r>
      <w:r w:rsidR="009E44F5">
        <w:t xml:space="preserve">quipment </w:t>
      </w:r>
      <w:r w:rsidR="003624CA">
        <w:t xml:space="preserve">and Transport </w:t>
      </w:r>
      <w:r w:rsidR="009E44F5">
        <w:t xml:space="preserve">and </w:t>
      </w:r>
      <w:r w:rsidR="003624CA">
        <w:t xml:space="preserve">their </w:t>
      </w:r>
      <w:r w:rsidR="009E44F5">
        <w:t>departments</w:t>
      </w:r>
      <w:r w:rsidR="007D3E7C">
        <w:t>:</w:t>
      </w:r>
      <w:r w:rsidR="009E44F5">
        <w:t xml:space="preserve"> </w:t>
      </w:r>
      <w:r w:rsidR="004F6E2D" w:rsidRPr="000D6B3C">
        <w:rPr>
          <w:i/>
        </w:rPr>
        <w:t>DEP</w:t>
      </w:r>
      <w:r w:rsidR="004F6E2D">
        <w:t xml:space="preserve"> </w:t>
      </w:r>
      <w:r w:rsidR="009E44F5">
        <w:t>(</w:t>
      </w:r>
      <w:r w:rsidR="009E44F5" w:rsidRPr="009F7B67">
        <w:t>Directorate of Studies and Programs</w:t>
      </w:r>
      <w:r w:rsidR="004F6E2D">
        <w:t xml:space="preserve">, </w:t>
      </w:r>
      <w:r w:rsidR="009E44F5" w:rsidRPr="000D6B3C">
        <w:rPr>
          <w:i/>
        </w:rPr>
        <w:t xml:space="preserve">Direction des Etudes et de </w:t>
      </w:r>
      <w:proofErr w:type="spellStart"/>
      <w:r w:rsidR="009E44F5" w:rsidRPr="000D6B3C">
        <w:rPr>
          <w:i/>
        </w:rPr>
        <w:t>planification</w:t>
      </w:r>
      <w:proofErr w:type="spellEnd"/>
      <w:r w:rsidR="004F6E2D">
        <w:rPr>
          <w:i/>
        </w:rPr>
        <w:t>)</w:t>
      </w:r>
      <w:r w:rsidR="003624CA">
        <w:t>;</w:t>
      </w:r>
      <w:r w:rsidR="009E44F5">
        <w:t xml:space="preserve"> </w:t>
      </w:r>
      <w:r w:rsidR="004F6E2D" w:rsidRPr="005B55ED">
        <w:rPr>
          <w:i/>
        </w:rPr>
        <w:t>DGER</w:t>
      </w:r>
      <w:r w:rsidR="004F6E2D" w:rsidRPr="000103E2">
        <w:t xml:space="preserve"> </w:t>
      </w:r>
      <w:r w:rsidR="004F6E2D">
        <w:t>(</w:t>
      </w:r>
      <w:r w:rsidR="009E44F5" w:rsidRPr="000103E2">
        <w:t xml:space="preserve">General Directorate of </w:t>
      </w:r>
      <w:r w:rsidR="009E44F5">
        <w:t>R</w:t>
      </w:r>
      <w:r w:rsidR="009E44F5" w:rsidRPr="000103E2">
        <w:t>oads Maintenance</w:t>
      </w:r>
      <w:r w:rsidR="004F6E2D">
        <w:t>,</w:t>
      </w:r>
      <w:r w:rsidR="009E44F5" w:rsidRPr="000103E2">
        <w:t xml:space="preserve"> </w:t>
      </w:r>
      <w:r w:rsidR="009E44F5" w:rsidRPr="005B55ED">
        <w:rPr>
          <w:i/>
          <w:iCs/>
        </w:rPr>
        <w:t xml:space="preserve">Direction </w:t>
      </w:r>
      <w:proofErr w:type="spellStart"/>
      <w:r w:rsidR="009E44F5" w:rsidRPr="005B55ED">
        <w:rPr>
          <w:i/>
          <w:iCs/>
        </w:rPr>
        <w:t>Générale</w:t>
      </w:r>
      <w:proofErr w:type="spellEnd"/>
      <w:r w:rsidR="009E44F5" w:rsidRPr="005B55ED">
        <w:rPr>
          <w:i/>
          <w:iCs/>
        </w:rPr>
        <w:t xml:space="preserve"> de </w:t>
      </w:r>
      <w:proofErr w:type="spellStart"/>
      <w:r w:rsidR="009E44F5" w:rsidRPr="005B55ED">
        <w:rPr>
          <w:i/>
          <w:iCs/>
        </w:rPr>
        <w:t>l’Entretien</w:t>
      </w:r>
      <w:proofErr w:type="spellEnd"/>
      <w:r w:rsidR="009E44F5" w:rsidRPr="005B55ED">
        <w:rPr>
          <w:i/>
          <w:iCs/>
        </w:rPr>
        <w:t xml:space="preserve"> </w:t>
      </w:r>
      <w:proofErr w:type="spellStart"/>
      <w:r w:rsidR="004F6E2D" w:rsidRPr="005B55ED">
        <w:rPr>
          <w:i/>
          <w:iCs/>
        </w:rPr>
        <w:t>Routi</w:t>
      </w:r>
      <w:r w:rsidR="004F6E2D">
        <w:rPr>
          <w:i/>
          <w:iCs/>
        </w:rPr>
        <w:t>er</w:t>
      </w:r>
      <w:proofErr w:type="spellEnd"/>
      <w:r w:rsidR="004F6E2D">
        <w:rPr>
          <w:i/>
          <w:iCs/>
        </w:rPr>
        <w:t>)</w:t>
      </w:r>
      <w:r w:rsidR="003624CA">
        <w:rPr>
          <w:i/>
        </w:rPr>
        <w:t xml:space="preserve">; </w:t>
      </w:r>
      <w:r w:rsidR="004F6E2D" w:rsidRPr="00C03B73">
        <w:rPr>
          <w:i/>
        </w:rPr>
        <w:t>CAFER</w:t>
      </w:r>
      <w:r w:rsidR="004F6E2D">
        <w:t xml:space="preserve"> (the Road Fund, </w:t>
      </w:r>
      <w:proofErr w:type="spellStart"/>
      <w:r w:rsidR="004F6E2D" w:rsidRPr="000103E2">
        <w:rPr>
          <w:i/>
        </w:rPr>
        <w:t>Caisse</w:t>
      </w:r>
      <w:proofErr w:type="spellEnd"/>
      <w:r w:rsidR="004F6E2D" w:rsidRPr="000103E2">
        <w:rPr>
          <w:i/>
        </w:rPr>
        <w:t xml:space="preserve"> </w:t>
      </w:r>
      <w:proofErr w:type="spellStart"/>
      <w:r w:rsidR="004F6E2D" w:rsidRPr="000103E2">
        <w:rPr>
          <w:i/>
        </w:rPr>
        <w:t>Autonome</w:t>
      </w:r>
      <w:proofErr w:type="spellEnd"/>
      <w:r w:rsidR="004F6E2D" w:rsidRPr="000103E2">
        <w:rPr>
          <w:i/>
        </w:rPr>
        <w:t xml:space="preserve"> de </w:t>
      </w:r>
      <w:proofErr w:type="spellStart"/>
      <w:r w:rsidR="004F6E2D" w:rsidRPr="000103E2">
        <w:rPr>
          <w:i/>
        </w:rPr>
        <w:t>Financement</w:t>
      </w:r>
      <w:proofErr w:type="spellEnd"/>
      <w:r w:rsidR="004F6E2D" w:rsidRPr="000103E2">
        <w:rPr>
          <w:i/>
        </w:rPr>
        <w:t xml:space="preserve"> de </w:t>
      </w:r>
      <w:proofErr w:type="spellStart"/>
      <w:r w:rsidR="004F6E2D" w:rsidRPr="000103E2">
        <w:rPr>
          <w:i/>
        </w:rPr>
        <w:t>l’Entretien</w:t>
      </w:r>
      <w:proofErr w:type="spellEnd"/>
      <w:r w:rsidR="004F6E2D" w:rsidRPr="000103E2">
        <w:rPr>
          <w:i/>
        </w:rPr>
        <w:t xml:space="preserve"> </w:t>
      </w:r>
      <w:proofErr w:type="spellStart"/>
      <w:r w:rsidR="004F6E2D" w:rsidRPr="000103E2">
        <w:rPr>
          <w:i/>
        </w:rPr>
        <w:t>Routier</w:t>
      </w:r>
      <w:proofErr w:type="spellEnd"/>
      <w:r w:rsidR="004F6E2D">
        <w:rPr>
          <w:i/>
        </w:rPr>
        <w:t>);</w:t>
      </w:r>
      <w:r w:rsidR="004F6E2D" w:rsidRPr="004974A7">
        <w:rPr>
          <w:bCs/>
        </w:rPr>
        <w:t xml:space="preserve"> </w:t>
      </w:r>
      <w:r w:rsidR="004F6E2D" w:rsidRPr="004974A7">
        <w:rPr>
          <w:bCs/>
          <w:i/>
        </w:rPr>
        <w:t>CNUT</w:t>
      </w:r>
      <w:r w:rsidR="004F6E2D">
        <w:rPr>
          <w:bCs/>
        </w:rPr>
        <w:t xml:space="preserve"> (t</w:t>
      </w:r>
      <w:r w:rsidR="004F6E2D" w:rsidRPr="004974A7">
        <w:rPr>
          <w:bCs/>
        </w:rPr>
        <w:t xml:space="preserve">he </w:t>
      </w:r>
      <w:r w:rsidR="004F6E2D" w:rsidRPr="004974A7">
        <w:rPr>
          <w:szCs w:val="20"/>
        </w:rPr>
        <w:t xml:space="preserve">Nigerien Council of Transport Users </w:t>
      </w:r>
      <w:proofErr w:type="spellStart"/>
      <w:r w:rsidR="004F6E2D" w:rsidRPr="004974A7">
        <w:rPr>
          <w:bCs/>
          <w:i/>
        </w:rPr>
        <w:t>Conseil</w:t>
      </w:r>
      <w:proofErr w:type="spellEnd"/>
      <w:r w:rsidR="004F6E2D" w:rsidRPr="004974A7">
        <w:rPr>
          <w:bCs/>
          <w:i/>
        </w:rPr>
        <w:t xml:space="preserve"> Nigerien des </w:t>
      </w:r>
      <w:proofErr w:type="spellStart"/>
      <w:r w:rsidR="004F6E2D" w:rsidRPr="004974A7">
        <w:rPr>
          <w:bCs/>
          <w:i/>
        </w:rPr>
        <w:t>Utilisateurs</w:t>
      </w:r>
      <w:proofErr w:type="spellEnd"/>
      <w:r w:rsidR="004F6E2D" w:rsidRPr="004974A7">
        <w:rPr>
          <w:bCs/>
          <w:i/>
        </w:rPr>
        <w:t xml:space="preserve"> du Transport</w:t>
      </w:r>
      <w:r w:rsidR="004F6E2D">
        <w:rPr>
          <w:bCs/>
          <w:i/>
        </w:rPr>
        <w:t xml:space="preserve">); </w:t>
      </w:r>
      <w:r w:rsidR="004F6E2D">
        <w:rPr>
          <w:i/>
          <w:szCs w:val="20"/>
        </w:rPr>
        <w:t>CPTP</w:t>
      </w:r>
      <w:r w:rsidR="004F6E2D" w:rsidRPr="00EC20EB">
        <w:rPr>
          <w:bCs/>
        </w:rPr>
        <w:t xml:space="preserve"> </w:t>
      </w:r>
      <w:r w:rsidR="004F6E2D">
        <w:rPr>
          <w:bCs/>
        </w:rPr>
        <w:t>(</w:t>
      </w:r>
      <w:r w:rsidR="004F6E2D" w:rsidRPr="00EC20EB">
        <w:rPr>
          <w:bCs/>
        </w:rPr>
        <w:t>the</w:t>
      </w:r>
      <w:r w:rsidR="004F6E2D">
        <w:rPr>
          <w:bCs/>
          <w:i/>
        </w:rPr>
        <w:t xml:space="preserve"> </w:t>
      </w:r>
      <w:r w:rsidR="004F6E2D" w:rsidRPr="000103E2">
        <w:rPr>
          <w:szCs w:val="20"/>
        </w:rPr>
        <w:t>Training Institut</w:t>
      </w:r>
      <w:r w:rsidR="004F6E2D">
        <w:rPr>
          <w:szCs w:val="20"/>
        </w:rPr>
        <w:t xml:space="preserve">e of the Ministry of Equipment, </w:t>
      </w:r>
      <w:r w:rsidR="004F6E2D" w:rsidRPr="000103E2">
        <w:rPr>
          <w:i/>
          <w:szCs w:val="20"/>
        </w:rPr>
        <w:t xml:space="preserve">Centre de </w:t>
      </w:r>
      <w:proofErr w:type="spellStart"/>
      <w:r w:rsidR="004F6E2D" w:rsidRPr="000103E2">
        <w:rPr>
          <w:i/>
          <w:szCs w:val="20"/>
        </w:rPr>
        <w:t>Perfectionnement</w:t>
      </w:r>
      <w:proofErr w:type="spellEnd"/>
      <w:r w:rsidR="004F6E2D" w:rsidRPr="000103E2">
        <w:rPr>
          <w:i/>
          <w:szCs w:val="20"/>
        </w:rPr>
        <w:t xml:space="preserve"> des </w:t>
      </w:r>
      <w:proofErr w:type="spellStart"/>
      <w:r w:rsidR="004F6E2D" w:rsidRPr="000103E2">
        <w:rPr>
          <w:i/>
          <w:szCs w:val="20"/>
        </w:rPr>
        <w:t>Travaux</w:t>
      </w:r>
      <w:proofErr w:type="spellEnd"/>
      <w:r w:rsidR="004F6E2D" w:rsidRPr="000103E2">
        <w:rPr>
          <w:i/>
          <w:szCs w:val="20"/>
        </w:rPr>
        <w:t xml:space="preserve"> Publics</w:t>
      </w:r>
      <w:r w:rsidR="004F6E2D">
        <w:rPr>
          <w:i/>
          <w:szCs w:val="20"/>
        </w:rPr>
        <w:t xml:space="preserve">); </w:t>
      </w:r>
      <w:r w:rsidR="004F6E2D" w:rsidRPr="004974A7">
        <w:rPr>
          <w:i/>
          <w:szCs w:val="20"/>
        </w:rPr>
        <w:t>LNTP</w:t>
      </w:r>
      <w:r w:rsidR="004F6E2D">
        <w:rPr>
          <w:i/>
          <w:szCs w:val="20"/>
        </w:rPr>
        <w:t>B</w:t>
      </w:r>
      <w:r w:rsidR="004F6E2D" w:rsidRPr="004974A7">
        <w:rPr>
          <w:bCs/>
        </w:rPr>
        <w:t xml:space="preserve"> </w:t>
      </w:r>
      <w:r w:rsidR="004F6E2D">
        <w:rPr>
          <w:bCs/>
        </w:rPr>
        <w:t>(</w:t>
      </w:r>
      <w:r w:rsidR="003624CA" w:rsidRPr="004974A7">
        <w:rPr>
          <w:bCs/>
        </w:rPr>
        <w:t>National Laboratory of Civil Engineering</w:t>
      </w:r>
      <w:r w:rsidR="003624CA">
        <w:rPr>
          <w:bCs/>
        </w:rPr>
        <w:t xml:space="preserve">, </w:t>
      </w:r>
      <w:r w:rsidR="003624CA" w:rsidRPr="004974A7">
        <w:rPr>
          <w:bCs/>
        </w:rPr>
        <w:t xml:space="preserve">Public Works </w:t>
      </w:r>
      <w:r w:rsidR="004F6E2D">
        <w:rPr>
          <w:bCs/>
        </w:rPr>
        <w:t xml:space="preserve">and Building, </w:t>
      </w:r>
      <w:proofErr w:type="spellStart"/>
      <w:r w:rsidR="003624CA" w:rsidRPr="004974A7">
        <w:rPr>
          <w:i/>
          <w:szCs w:val="20"/>
        </w:rPr>
        <w:t>Laboratoire</w:t>
      </w:r>
      <w:proofErr w:type="spellEnd"/>
      <w:r w:rsidR="003624CA" w:rsidRPr="004974A7">
        <w:rPr>
          <w:i/>
          <w:szCs w:val="20"/>
        </w:rPr>
        <w:t xml:space="preserve"> National des </w:t>
      </w:r>
      <w:proofErr w:type="spellStart"/>
      <w:r w:rsidR="003624CA" w:rsidRPr="004974A7">
        <w:rPr>
          <w:i/>
          <w:szCs w:val="20"/>
        </w:rPr>
        <w:t>Travaux</w:t>
      </w:r>
      <w:proofErr w:type="spellEnd"/>
      <w:r w:rsidR="003624CA" w:rsidRPr="004974A7">
        <w:rPr>
          <w:i/>
          <w:szCs w:val="20"/>
        </w:rPr>
        <w:t xml:space="preserve"> Publics</w:t>
      </w:r>
      <w:r w:rsidR="003624CA">
        <w:rPr>
          <w:i/>
          <w:szCs w:val="20"/>
        </w:rPr>
        <w:t xml:space="preserve"> et du </w:t>
      </w:r>
      <w:proofErr w:type="spellStart"/>
      <w:r w:rsidR="003624CA">
        <w:rPr>
          <w:i/>
          <w:szCs w:val="20"/>
        </w:rPr>
        <w:t>Batiment</w:t>
      </w:r>
      <w:proofErr w:type="spellEnd"/>
      <w:r w:rsidR="004F6E2D">
        <w:rPr>
          <w:i/>
          <w:szCs w:val="20"/>
        </w:rPr>
        <w:t>)</w:t>
      </w:r>
      <w:r w:rsidR="003624CA">
        <w:t xml:space="preserve">; </w:t>
      </w:r>
      <w:r w:rsidR="004F6E2D" w:rsidRPr="000D6B3C">
        <w:rPr>
          <w:i/>
        </w:rPr>
        <w:t>DSR</w:t>
      </w:r>
      <w:r w:rsidR="004F6E2D" w:rsidRPr="009F7B67">
        <w:t xml:space="preserve"> </w:t>
      </w:r>
      <w:r w:rsidR="004F6E2D">
        <w:t>(</w:t>
      </w:r>
      <w:r w:rsidR="004F6E2D" w:rsidRPr="009F7B67">
        <w:t>Directorate of Road Safety</w:t>
      </w:r>
      <w:r w:rsidR="004F6E2D">
        <w:rPr>
          <w:i/>
        </w:rPr>
        <w:t xml:space="preserve">, </w:t>
      </w:r>
      <w:r w:rsidR="004F6E2D" w:rsidRPr="000D6B3C">
        <w:rPr>
          <w:i/>
        </w:rPr>
        <w:t xml:space="preserve">Direction de la </w:t>
      </w:r>
      <w:proofErr w:type="spellStart"/>
      <w:r w:rsidR="004F6E2D" w:rsidRPr="000D6B3C">
        <w:rPr>
          <w:i/>
        </w:rPr>
        <w:t>Sé</w:t>
      </w:r>
      <w:r w:rsidR="004F6E2D">
        <w:rPr>
          <w:i/>
        </w:rPr>
        <w:t>curité</w:t>
      </w:r>
      <w:proofErr w:type="spellEnd"/>
      <w:r w:rsidR="004F6E2D">
        <w:rPr>
          <w:i/>
        </w:rPr>
        <w:t xml:space="preserve"> </w:t>
      </w:r>
      <w:proofErr w:type="spellStart"/>
      <w:r w:rsidR="004F6E2D">
        <w:rPr>
          <w:i/>
        </w:rPr>
        <w:t>R</w:t>
      </w:r>
      <w:r w:rsidR="004F6E2D" w:rsidRPr="000D6B3C">
        <w:rPr>
          <w:i/>
        </w:rPr>
        <w:t>outière</w:t>
      </w:r>
      <w:proofErr w:type="spellEnd"/>
      <w:r w:rsidR="004F6E2D">
        <w:rPr>
          <w:i/>
        </w:rPr>
        <w:t>);</w:t>
      </w:r>
      <w:r w:rsidR="004F6E2D" w:rsidRPr="004F6E2D">
        <w:rPr>
          <w:bCs/>
        </w:rPr>
        <w:t xml:space="preserve"> </w:t>
      </w:r>
      <w:r w:rsidR="004F6E2D">
        <w:rPr>
          <w:bCs/>
        </w:rPr>
        <w:t xml:space="preserve">and </w:t>
      </w:r>
      <w:r w:rsidR="004F6E2D" w:rsidRPr="000103E2">
        <w:rPr>
          <w:bCs/>
        </w:rPr>
        <w:t xml:space="preserve">the </w:t>
      </w:r>
      <w:r w:rsidR="004F6E2D" w:rsidRPr="00954539">
        <w:rPr>
          <w:i/>
        </w:rPr>
        <w:t>CC/PST</w:t>
      </w:r>
      <w:r w:rsidR="004F6E2D" w:rsidRPr="00452F99">
        <w:t xml:space="preserve"> </w:t>
      </w:r>
      <w:r w:rsidR="004F6E2D">
        <w:t>(</w:t>
      </w:r>
      <w:r w:rsidR="004F6E2D" w:rsidRPr="00452F99">
        <w:t>Program Coordination Unit</w:t>
      </w:r>
      <w:r w:rsidR="007D3E7C">
        <w:rPr>
          <w:i/>
          <w:iCs/>
        </w:rPr>
        <w:t xml:space="preserve">, </w:t>
      </w:r>
      <w:r w:rsidR="004F6E2D" w:rsidRPr="00452F99">
        <w:rPr>
          <w:i/>
          <w:iCs/>
        </w:rPr>
        <w:t xml:space="preserve">Cellule de Coordination du </w:t>
      </w:r>
      <w:proofErr w:type="spellStart"/>
      <w:r w:rsidR="004F6E2D" w:rsidRPr="00452F99">
        <w:rPr>
          <w:i/>
          <w:iCs/>
        </w:rPr>
        <w:t>P</w:t>
      </w:r>
      <w:r w:rsidR="007D3E7C">
        <w:rPr>
          <w:i/>
          <w:iCs/>
        </w:rPr>
        <w:t>rogramme</w:t>
      </w:r>
      <w:proofErr w:type="spellEnd"/>
      <w:r w:rsidR="007D3E7C">
        <w:rPr>
          <w:i/>
          <w:iCs/>
        </w:rPr>
        <w:t xml:space="preserve"> </w:t>
      </w:r>
      <w:proofErr w:type="spellStart"/>
      <w:r w:rsidR="007D3E7C">
        <w:rPr>
          <w:i/>
          <w:iCs/>
        </w:rPr>
        <w:t>Sectoriel</w:t>
      </w:r>
      <w:proofErr w:type="spellEnd"/>
      <w:r w:rsidR="007D3E7C">
        <w:rPr>
          <w:i/>
          <w:iCs/>
        </w:rPr>
        <w:t xml:space="preserve"> des Transport</w:t>
      </w:r>
      <w:r w:rsidR="004F6E2D">
        <w:t>)</w:t>
      </w:r>
      <w:r w:rsidR="009E44F5" w:rsidRPr="003408AA">
        <w:rPr>
          <w:i/>
        </w:rPr>
        <w:t xml:space="preserve"> </w:t>
      </w:r>
      <w:r w:rsidR="005F507D" w:rsidRPr="000103E2">
        <w:t xml:space="preserve">including the monitoring of </w:t>
      </w:r>
      <w:r w:rsidR="008A17CE">
        <w:t>TSP (</w:t>
      </w:r>
      <w:r w:rsidR="008A17CE" w:rsidRPr="00452F99">
        <w:rPr>
          <w:bCs/>
        </w:rPr>
        <w:t>Transport Sector Program</w:t>
      </w:r>
      <w:r w:rsidR="008A17CE">
        <w:rPr>
          <w:bCs/>
        </w:rPr>
        <w:t>,</w:t>
      </w:r>
      <w:r w:rsidR="008A17CE">
        <w:rPr>
          <w:i/>
          <w:iCs/>
        </w:rPr>
        <w:t xml:space="preserve"> </w:t>
      </w:r>
      <w:proofErr w:type="spellStart"/>
      <w:r w:rsidR="008A17CE" w:rsidRPr="00452F99">
        <w:rPr>
          <w:i/>
          <w:iCs/>
        </w:rPr>
        <w:t>Programme</w:t>
      </w:r>
      <w:proofErr w:type="spellEnd"/>
      <w:r w:rsidR="008A17CE" w:rsidRPr="00452F99">
        <w:rPr>
          <w:i/>
          <w:iCs/>
        </w:rPr>
        <w:t xml:space="preserve"> </w:t>
      </w:r>
      <w:proofErr w:type="spellStart"/>
      <w:r w:rsidR="008A17CE" w:rsidRPr="00452F99">
        <w:rPr>
          <w:i/>
          <w:iCs/>
        </w:rPr>
        <w:t>Sectoriel</w:t>
      </w:r>
      <w:proofErr w:type="spellEnd"/>
      <w:r w:rsidR="008A17CE" w:rsidRPr="00452F99">
        <w:rPr>
          <w:i/>
          <w:iCs/>
        </w:rPr>
        <w:t xml:space="preserve"> des Transports, </w:t>
      </w:r>
      <w:r w:rsidR="008A17CE" w:rsidRPr="00954539">
        <w:rPr>
          <w:i/>
        </w:rPr>
        <w:t>PST</w:t>
      </w:r>
      <w:r w:rsidR="008A17CE">
        <w:t>)</w:t>
      </w:r>
      <w:r w:rsidR="008A17CE" w:rsidRPr="000103E2">
        <w:t xml:space="preserve"> </w:t>
      </w:r>
      <w:r w:rsidR="005F507D" w:rsidRPr="000103E2">
        <w:t xml:space="preserve">and project indicators, management of planning and procurement activities, contract management, road safety, and sector reforms implementation; (b) equipment for programming and planning of road maintenance, laboratory, road safety, and collection and monitoring of </w:t>
      </w:r>
      <w:r w:rsidR="008A17CE">
        <w:t xml:space="preserve">TSP </w:t>
      </w:r>
      <w:r w:rsidR="005F507D" w:rsidRPr="000103E2">
        <w:t>and project indicators; and (c) multi-level training program to strengthen the capacities of the different transport sector entities, including development of planning tools, project preparation, quality assurance, contract management</w:t>
      </w:r>
      <w:r w:rsidR="005F507D">
        <w:t>; and (d) carrying out of sector studies</w:t>
      </w:r>
      <w:r w:rsidR="005F507D" w:rsidRPr="000103E2">
        <w:t>;</w:t>
      </w:r>
      <w:r w:rsidR="005F507D">
        <w:t xml:space="preserve"> </w:t>
      </w:r>
      <w:r w:rsidR="005F507D" w:rsidRPr="000103E2">
        <w:t>Th</w:t>
      </w:r>
      <w:r w:rsidR="005F507D">
        <w:t>is</w:t>
      </w:r>
      <w:r w:rsidR="005F507D" w:rsidRPr="000103E2">
        <w:t xml:space="preserve"> component will also provide institutional </w:t>
      </w:r>
      <w:r w:rsidR="005F507D" w:rsidRPr="000103E2">
        <w:rPr>
          <w:bCs/>
        </w:rPr>
        <w:t xml:space="preserve">support to the </w:t>
      </w:r>
      <w:r w:rsidR="008A17CE" w:rsidRPr="00954539">
        <w:rPr>
          <w:i/>
        </w:rPr>
        <w:t>CC/PST</w:t>
      </w:r>
      <w:r w:rsidR="007D3E7C">
        <w:t xml:space="preserve"> </w:t>
      </w:r>
      <w:r w:rsidR="005F507D" w:rsidRPr="000103E2">
        <w:rPr>
          <w:bCs/>
        </w:rPr>
        <w:t xml:space="preserve">for the preparation, </w:t>
      </w:r>
      <w:r w:rsidR="005F507D" w:rsidRPr="000103E2">
        <w:rPr>
          <w:bCs/>
        </w:rPr>
        <w:lastRenderedPageBreak/>
        <w:t>implementation</w:t>
      </w:r>
      <w:r w:rsidR="007D3E7C">
        <w:rPr>
          <w:bCs/>
        </w:rPr>
        <w:t>,</w:t>
      </w:r>
      <w:r w:rsidR="005F507D" w:rsidRPr="000103E2">
        <w:rPr>
          <w:bCs/>
        </w:rPr>
        <w:t xml:space="preserve"> and monitoring of the </w:t>
      </w:r>
      <w:r w:rsidR="008A17CE">
        <w:t>TSP</w:t>
      </w:r>
      <w:r w:rsidR="005F507D" w:rsidRPr="000103E2">
        <w:rPr>
          <w:bCs/>
        </w:rPr>
        <w:t xml:space="preserve"> and the proposed AF. It </w:t>
      </w:r>
      <w:r w:rsidR="005F507D" w:rsidRPr="000103E2">
        <w:t xml:space="preserve">will fund (a) the operating costs of the project; (b) the cost of protocol with, the </w:t>
      </w:r>
      <w:r w:rsidR="005F507D" w:rsidRPr="000E5420">
        <w:rPr>
          <w:i/>
        </w:rPr>
        <w:t>BEEEI</w:t>
      </w:r>
      <w:r w:rsidR="005F507D" w:rsidRPr="000103E2">
        <w:t xml:space="preserve"> </w:t>
      </w:r>
      <w:r w:rsidR="007D3E7C">
        <w:t>(</w:t>
      </w:r>
      <w:r w:rsidR="007D3E7C" w:rsidRPr="00EC20EB">
        <w:t>Environmental Impact Assessment Bureau</w:t>
      </w:r>
      <w:r w:rsidR="007D3E7C">
        <w:t xml:space="preserve">, </w:t>
      </w:r>
      <w:r w:rsidR="007D3E7C" w:rsidRPr="00EC20EB">
        <w:rPr>
          <w:i/>
        </w:rPr>
        <w:t xml:space="preserve">Bureau de </w:t>
      </w:r>
      <w:proofErr w:type="spellStart"/>
      <w:r w:rsidR="007D3E7C" w:rsidRPr="00EC20EB">
        <w:rPr>
          <w:i/>
        </w:rPr>
        <w:t>l’Evaluation</w:t>
      </w:r>
      <w:proofErr w:type="spellEnd"/>
      <w:r w:rsidR="007D3E7C" w:rsidRPr="00EC20EB">
        <w:rPr>
          <w:i/>
        </w:rPr>
        <w:t xml:space="preserve"> </w:t>
      </w:r>
      <w:proofErr w:type="spellStart"/>
      <w:r w:rsidR="007D3E7C" w:rsidRPr="00EC20EB">
        <w:rPr>
          <w:i/>
        </w:rPr>
        <w:t>Environnementale</w:t>
      </w:r>
      <w:proofErr w:type="spellEnd"/>
      <w:r w:rsidR="007D3E7C" w:rsidRPr="00EC20EB">
        <w:rPr>
          <w:i/>
        </w:rPr>
        <w:t xml:space="preserve"> et Etudes </w:t>
      </w:r>
      <w:proofErr w:type="spellStart"/>
      <w:r w:rsidR="007D3E7C" w:rsidRPr="00EC20EB">
        <w:rPr>
          <w:i/>
        </w:rPr>
        <w:t>d’Impact</w:t>
      </w:r>
      <w:proofErr w:type="spellEnd"/>
      <w:r w:rsidR="007D3E7C" w:rsidRPr="00EC20EB">
        <w:rPr>
          <w:i/>
        </w:rPr>
        <w:t>)</w:t>
      </w:r>
      <w:r w:rsidR="007D3E7C">
        <w:rPr>
          <w:i/>
        </w:rPr>
        <w:t xml:space="preserve"> </w:t>
      </w:r>
      <w:r w:rsidR="005F507D" w:rsidRPr="000103E2">
        <w:t>for safeguards monitoring</w:t>
      </w:r>
      <w:r w:rsidR="005F507D">
        <w:t>;</w:t>
      </w:r>
      <w:r w:rsidR="005F507D" w:rsidRPr="000103E2">
        <w:t xml:space="preserve"> (c) the cost of monitoring and evaluation of data collection; and (d) the cost for the capacity building of the coordination unit.</w:t>
      </w:r>
      <w:r w:rsidR="005F507D">
        <w:t xml:space="preserve"> Finally, the</w:t>
      </w:r>
      <w:r w:rsidR="005F507D" w:rsidRPr="000103E2">
        <w:t xml:space="preserve"> component will </w:t>
      </w:r>
      <w:r w:rsidR="005F507D">
        <w:t>a</w:t>
      </w:r>
      <w:r w:rsidR="005F507D" w:rsidRPr="000103E2">
        <w:t xml:space="preserve">lso provide institutional </w:t>
      </w:r>
      <w:r w:rsidR="005F507D" w:rsidRPr="000103E2">
        <w:rPr>
          <w:bCs/>
        </w:rPr>
        <w:t xml:space="preserve">support to the </w:t>
      </w:r>
      <w:r w:rsidR="005F507D">
        <w:rPr>
          <w:bCs/>
        </w:rPr>
        <w:t>Steering committee and the technical committee in charge of project implementation oversight.</w:t>
      </w:r>
    </w:p>
    <w:p w:rsidR="003A58D4" w:rsidRPr="004F4577" w:rsidRDefault="003A58D4" w:rsidP="006967E1">
      <w:pPr>
        <w:jc w:val="both"/>
      </w:pPr>
    </w:p>
    <w:p w:rsidR="00504377" w:rsidRPr="00EE2D2C" w:rsidRDefault="00960BB3" w:rsidP="003710E3">
      <w:pPr>
        <w:pStyle w:val="paranumb"/>
        <w:numPr>
          <w:ilvl w:val="1"/>
          <w:numId w:val="7"/>
        </w:numPr>
        <w:tabs>
          <w:tab w:val="clear" w:pos="1440"/>
          <w:tab w:val="num" w:pos="900"/>
        </w:tabs>
        <w:spacing w:after="0"/>
        <w:ind w:left="0" w:firstLine="0"/>
      </w:pPr>
      <w:r w:rsidRPr="003710E3">
        <w:rPr>
          <w:szCs w:val="20"/>
        </w:rPr>
        <w:t>T</w:t>
      </w:r>
      <w:r w:rsidR="00504377" w:rsidRPr="003710E3">
        <w:rPr>
          <w:szCs w:val="20"/>
        </w:rPr>
        <w:t xml:space="preserve">he team has discussed the scope and the content of the </w:t>
      </w:r>
      <w:r w:rsidR="0020054C" w:rsidRPr="003710E3">
        <w:rPr>
          <w:szCs w:val="20"/>
        </w:rPr>
        <w:t>p</w:t>
      </w:r>
      <w:r w:rsidR="00B26B3D" w:rsidRPr="003710E3">
        <w:rPr>
          <w:szCs w:val="20"/>
        </w:rPr>
        <w:t xml:space="preserve">roposed </w:t>
      </w:r>
      <w:r w:rsidR="00504377" w:rsidRPr="003710E3">
        <w:rPr>
          <w:szCs w:val="20"/>
        </w:rPr>
        <w:t>AF with the government</w:t>
      </w:r>
      <w:r w:rsidR="003E356A">
        <w:rPr>
          <w:bCs/>
        </w:rPr>
        <w:t xml:space="preserve"> during the </w:t>
      </w:r>
      <w:r w:rsidR="00504377" w:rsidRPr="0015735C">
        <w:rPr>
          <w:bCs/>
        </w:rPr>
        <w:t>preparation process. The Go</w:t>
      </w:r>
      <w:r w:rsidR="004F4577">
        <w:rPr>
          <w:bCs/>
        </w:rPr>
        <w:t xml:space="preserve">vernment of </w:t>
      </w:r>
      <w:r w:rsidR="00504377" w:rsidRPr="0015735C">
        <w:rPr>
          <w:bCs/>
        </w:rPr>
        <w:t>N</w:t>
      </w:r>
      <w:r w:rsidR="004F4577">
        <w:rPr>
          <w:bCs/>
        </w:rPr>
        <w:t>iger</w:t>
      </w:r>
      <w:r w:rsidR="00504377" w:rsidRPr="0015735C">
        <w:rPr>
          <w:bCs/>
        </w:rPr>
        <w:t xml:space="preserve"> has accepted to </w:t>
      </w:r>
      <w:r w:rsidR="00554D26">
        <w:rPr>
          <w:bCs/>
        </w:rPr>
        <w:t xml:space="preserve">make a </w:t>
      </w:r>
      <w:r w:rsidR="00504377" w:rsidRPr="0015735C">
        <w:rPr>
          <w:bCs/>
        </w:rPr>
        <w:t xml:space="preserve">provision of funds to the amount of </w:t>
      </w:r>
      <w:r w:rsidR="002852D9" w:rsidRPr="0015735C">
        <w:rPr>
          <w:bCs/>
        </w:rPr>
        <w:t>US$</w:t>
      </w:r>
      <w:r w:rsidR="002852D9">
        <w:rPr>
          <w:bCs/>
        </w:rPr>
        <w:t>0.14</w:t>
      </w:r>
      <w:r w:rsidR="00504377" w:rsidRPr="0015735C">
        <w:rPr>
          <w:bCs/>
        </w:rPr>
        <w:t xml:space="preserve"> </w:t>
      </w:r>
      <w:r w:rsidR="00E960B7">
        <w:rPr>
          <w:bCs/>
        </w:rPr>
        <w:t>million</w:t>
      </w:r>
      <w:r w:rsidR="00504377" w:rsidRPr="0015735C">
        <w:rPr>
          <w:bCs/>
        </w:rPr>
        <w:t xml:space="preserve"> to finance part of the operating costs of the focal points</w:t>
      </w:r>
      <w:r>
        <w:rPr>
          <w:bCs/>
        </w:rPr>
        <w:t xml:space="preserve"> (civil servants)</w:t>
      </w:r>
      <w:r w:rsidR="00504377" w:rsidRPr="0015735C">
        <w:rPr>
          <w:bCs/>
        </w:rPr>
        <w:t>, the steering committee and the technical committee in charge of the supervision of the project implementation</w:t>
      </w:r>
      <w:r w:rsidR="00504377" w:rsidRPr="0015735C">
        <w:rPr>
          <w:rStyle w:val="FootnoteReference"/>
          <w:bCs/>
        </w:rPr>
        <w:footnoteReference w:id="1"/>
      </w:r>
    </w:p>
    <w:p w:rsidR="00D928E2" w:rsidRDefault="00D928E2"/>
    <w:bookmarkEnd w:id="18"/>
    <w:p w:rsidR="00A706FA" w:rsidRDefault="00A706FA">
      <w:pPr>
        <w:numPr>
          <w:ilvl w:val="0"/>
          <w:numId w:val="6"/>
        </w:numPr>
        <w:tabs>
          <w:tab w:val="clear" w:pos="720"/>
          <w:tab w:val="num" w:pos="360"/>
        </w:tabs>
        <w:ind w:left="360"/>
        <w:rPr>
          <w:b/>
        </w:rPr>
      </w:pPr>
      <w:r w:rsidRPr="003C596C">
        <w:rPr>
          <w:b/>
        </w:rPr>
        <w:t>Financing</w:t>
      </w:r>
    </w:p>
    <w:p w:rsidR="00AC4396" w:rsidRPr="003C596C" w:rsidRDefault="00AC4396" w:rsidP="00AC4396">
      <w:pPr>
        <w:ind w:left="360"/>
        <w:rPr>
          <w:b/>
        </w:rPr>
      </w:pPr>
    </w:p>
    <w:tbl>
      <w:tblPr>
        <w:tblW w:w="0" w:type="auto"/>
        <w:tblLook w:val="0000" w:firstRow="0" w:lastRow="0" w:firstColumn="0" w:lastColumn="0" w:noHBand="0" w:noVBand="0"/>
      </w:tblPr>
      <w:tblGrid>
        <w:gridCol w:w="7488"/>
        <w:gridCol w:w="1368"/>
      </w:tblGrid>
      <w:tr w:rsidR="00A706FA">
        <w:tc>
          <w:tcPr>
            <w:tcW w:w="7488" w:type="dxa"/>
          </w:tcPr>
          <w:p w:rsidR="00A706FA" w:rsidRDefault="00A706FA">
            <w:r>
              <w:t>Source:</w:t>
            </w:r>
            <w:bookmarkStart w:id="19" w:name="FINANCINGTAB_PID"/>
            <w:bookmarkEnd w:id="19"/>
          </w:p>
        </w:tc>
        <w:tc>
          <w:tcPr>
            <w:tcW w:w="1368" w:type="dxa"/>
          </w:tcPr>
          <w:p w:rsidR="00A706FA" w:rsidRDefault="00A706FA">
            <w:pPr>
              <w:tabs>
                <w:tab w:val="decimal" w:pos="252"/>
              </w:tabs>
              <w:jc w:val="center"/>
            </w:pPr>
            <w:r>
              <w:t>($m.)</w:t>
            </w:r>
          </w:p>
        </w:tc>
      </w:tr>
      <w:tr w:rsidR="00435E12">
        <w:tc>
          <w:tcPr>
            <w:tcW w:w="7488" w:type="dxa"/>
          </w:tcPr>
          <w:p w:rsidR="00435E12" w:rsidRDefault="00435E12">
            <w:pPr>
              <w:tabs>
                <w:tab w:val="right" w:pos="7200"/>
              </w:tabs>
            </w:pPr>
            <w:r>
              <w:t>BORROWER/RECIPIENT</w:t>
            </w:r>
          </w:p>
        </w:tc>
        <w:tc>
          <w:tcPr>
            <w:tcW w:w="1368" w:type="dxa"/>
          </w:tcPr>
          <w:p w:rsidR="00435E12" w:rsidRDefault="009E763A">
            <w:pPr>
              <w:tabs>
                <w:tab w:val="decimal" w:pos="252"/>
              </w:tabs>
              <w:jc w:val="center"/>
            </w:pPr>
            <w:r>
              <w:t>0.14</w:t>
            </w:r>
          </w:p>
        </w:tc>
      </w:tr>
      <w:tr w:rsidR="00435E12">
        <w:tc>
          <w:tcPr>
            <w:tcW w:w="7488" w:type="dxa"/>
          </w:tcPr>
          <w:p w:rsidR="00435E12" w:rsidRDefault="00435E12" w:rsidP="00AB2B2B">
            <w:pPr>
              <w:tabs>
                <w:tab w:val="right" w:pos="7200"/>
              </w:tabs>
            </w:pPr>
            <w:r>
              <w:t xml:space="preserve">IDA </w:t>
            </w:r>
            <w:r w:rsidR="00AB2B2B">
              <w:t>Credit</w:t>
            </w:r>
          </w:p>
        </w:tc>
        <w:tc>
          <w:tcPr>
            <w:tcW w:w="1368" w:type="dxa"/>
          </w:tcPr>
          <w:p w:rsidR="00435E12" w:rsidRDefault="00435E12">
            <w:pPr>
              <w:tabs>
                <w:tab w:val="decimal" w:pos="252"/>
              </w:tabs>
              <w:jc w:val="center"/>
            </w:pPr>
            <w:r>
              <w:t>19.5</w:t>
            </w:r>
            <w:r w:rsidR="00F95E9C">
              <w:t>0</w:t>
            </w:r>
          </w:p>
        </w:tc>
      </w:tr>
      <w:tr w:rsidR="00A706FA">
        <w:tc>
          <w:tcPr>
            <w:tcW w:w="7488" w:type="dxa"/>
          </w:tcPr>
          <w:p w:rsidR="00A706FA" w:rsidRDefault="00A706FA">
            <w:pPr>
              <w:tabs>
                <w:tab w:val="right" w:pos="7200"/>
              </w:tabs>
            </w:pPr>
            <w:r>
              <w:tab/>
              <w:t>Total</w:t>
            </w:r>
          </w:p>
        </w:tc>
        <w:tc>
          <w:tcPr>
            <w:tcW w:w="1368" w:type="dxa"/>
          </w:tcPr>
          <w:p w:rsidR="00A706FA" w:rsidRDefault="00970E39" w:rsidP="009E763A">
            <w:pPr>
              <w:tabs>
                <w:tab w:val="decimal" w:pos="252"/>
              </w:tabs>
              <w:jc w:val="center"/>
            </w:pPr>
            <w:r>
              <w:fldChar w:fldCharType="begin"/>
            </w:r>
            <w:r w:rsidR="002852D9">
              <w:instrText xml:space="preserve"> = Sum(Above) \* MERGEFORMAT </w:instrText>
            </w:r>
            <w:r>
              <w:fldChar w:fldCharType="separate"/>
            </w:r>
            <w:r w:rsidR="00435E12">
              <w:rPr>
                <w:noProof/>
              </w:rPr>
              <w:t>19.</w:t>
            </w:r>
            <w:r w:rsidR="009E763A">
              <w:rPr>
                <w:noProof/>
              </w:rPr>
              <w:t>64</w:t>
            </w:r>
            <w:r>
              <w:rPr>
                <w:noProof/>
              </w:rPr>
              <w:fldChar w:fldCharType="end"/>
            </w:r>
          </w:p>
        </w:tc>
      </w:tr>
    </w:tbl>
    <w:p w:rsidR="00A706FA" w:rsidRPr="003C596C" w:rsidRDefault="00A706FA" w:rsidP="00621A9D">
      <w:pPr>
        <w:numPr>
          <w:ilvl w:val="0"/>
          <w:numId w:val="6"/>
        </w:numPr>
        <w:tabs>
          <w:tab w:val="clear" w:pos="720"/>
          <w:tab w:val="num" w:pos="360"/>
        </w:tabs>
        <w:ind w:left="360"/>
        <w:rPr>
          <w:b/>
        </w:rPr>
      </w:pPr>
      <w:r w:rsidRPr="003C596C">
        <w:rPr>
          <w:b/>
        </w:rPr>
        <w:t>Implementation</w:t>
      </w:r>
      <w:bookmarkStart w:id="20" w:name="Implementation"/>
    </w:p>
    <w:p w:rsidR="00621A9D" w:rsidRDefault="00621A9D" w:rsidP="00A9247D"/>
    <w:p w:rsidR="00A706FA" w:rsidRDefault="005F507D" w:rsidP="003710E3">
      <w:pPr>
        <w:pStyle w:val="paranumb"/>
        <w:numPr>
          <w:ilvl w:val="1"/>
          <w:numId w:val="7"/>
        </w:numPr>
        <w:tabs>
          <w:tab w:val="clear" w:pos="1440"/>
          <w:tab w:val="num" w:pos="900"/>
        </w:tabs>
        <w:spacing w:after="0"/>
        <w:ind w:left="0" w:firstLine="0"/>
      </w:pPr>
      <w:r w:rsidRPr="000103E2">
        <w:rPr>
          <w:bCs/>
        </w:rPr>
        <w:t>The original project implementation arrangements wi</w:t>
      </w:r>
      <w:r w:rsidRPr="000103E2">
        <w:t xml:space="preserve">ll be retained for the proposed AF. </w:t>
      </w:r>
      <w:r w:rsidRPr="007234D9">
        <w:t>More specifically, the project activities will be implemented through the ME</w:t>
      </w:r>
      <w:r>
        <w:t xml:space="preserve"> (</w:t>
      </w:r>
      <w:r w:rsidRPr="000E5420">
        <w:rPr>
          <w:i/>
        </w:rPr>
        <w:t>DEP, DGER, LNTP</w:t>
      </w:r>
      <w:r>
        <w:rPr>
          <w:i/>
        </w:rPr>
        <w:t>B</w:t>
      </w:r>
      <w:r w:rsidRPr="000E5420">
        <w:rPr>
          <w:i/>
        </w:rPr>
        <w:t xml:space="preserve"> </w:t>
      </w:r>
      <w:r w:rsidRPr="000F3A15">
        <w:t>and</w:t>
      </w:r>
      <w:r w:rsidRPr="000E5420">
        <w:rPr>
          <w:i/>
        </w:rPr>
        <w:t xml:space="preserve"> CPTP</w:t>
      </w:r>
      <w:r>
        <w:t>)</w:t>
      </w:r>
      <w:r w:rsidRPr="007234D9">
        <w:t>,</w:t>
      </w:r>
      <w:r>
        <w:t xml:space="preserve"> </w:t>
      </w:r>
      <w:r w:rsidRPr="007234D9">
        <w:t>the MT</w:t>
      </w:r>
      <w:r>
        <w:t xml:space="preserve"> (</w:t>
      </w:r>
      <w:r w:rsidRPr="000E5420">
        <w:rPr>
          <w:i/>
        </w:rPr>
        <w:t xml:space="preserve">DEP, DSR </w:t>
      </w:r>
      <w:r w:rsidRPr="000F3A15">
        <w:t>and</w:t>
      </w:r>
      <w:r w:rsidRPr="000E5420">
        <w:rPr>
          <w:i/>
        </w:rPr>
        <w:t xml:space="preserve"> CNUT</w:t>
      </w:r>
      <w:r>
        <w:t xml:space="preserve">) </w:t>
      </w:r>
      <w:r w:rsidRPr="000103E2">
        <w:t xml:space="preserve">and coordinated by the existing </w:t>
      </w:r>
      <w:r w:rsidRPr="00465F7B">
        <w:rPr>
          <w:i/>
        </w:rPr>
        <w:t>CC/PST</w:t>
      </w:r>
      <w:r w:rsidRPr="000103E2">
        <w:t xml:space="preserve"> who is in charge of the fiduciary aspects of the project. </w:t>
      </w:r>
      <w:r w:rsidRPr="003D69FD">
        <w:t xml:space="preserve">For the proposed AF implementation, </w:t>
      </w:r>
      <w:r>
        <w:t xml:space="preserve">the </w:t>
      </w:r>
      <w:r w:rsidRPr="003D69FD">
        <w:t xml:space="preserve">focal point will be identified in the MT to complement those already in place in the ME. Such focal points will work closely with the </w:t>
      </w:r>
      <w:r w:rsidRPr="00465F7B">
        <w:rPr>
          <w:i/>
        </w:rPr>
        <w:t>CC/PST</w:t>
      </w:r>
      <w:r w:rsidRPr="003D69FD">
        <w:t xml:space="preserve"> and liaise with the Ministries during the project implementation.</w:t>
      </w:r>
      <w:r w:rsidRPr="000103E2">
        <w:t xml:space="preserve"> </w:t>
      </w:r>
      <w:r>
        <w:t>Since</w:t>
      </w:r>
      <w:r w:rsidRPr="000103E2">
        <w:t xml:space="preserve"> the Mid Term Review (MTR) of the original project</w:t>
      </w:r>
      <w:r>
        <w:t>,</w:t>
      </w:r>
      <w:r w:rsidRPr="000103E2">
        <w:t xml:space="preserve"> the implementation arrangements ha</w:t>
      </w:r>
      <w:r>
        <w:t>s</w:t>
      </w:r>
      <w:r w:rsidRPr="000103E2">
        <w:t xml:space="preserve"> been enhanced by putting in place two additional technical staffs (</w:t>
      </w:r>
      <w:r>
        <w:t xml:space="preserve">focal points composed of </w:t>
      </w:r>
      <w:r w:rsidRPr="000103E2">
        <w:t>one engineer and one safeguard specialist) in the ME to ensure close day to day supervision of project activities.</w:t>
      </w:r>
    </w:p>
    <w:p w:rsidR="008922B2" w:rsidRDefault="008922B2" w:rsidP="00381062">
      <w:pPr>
        <w:jc w:val="both"/>
      </w:pPr>
    </w:p>
    <w:bookmarkEnd w:id="20"/>
    <w:p w:rsidR="00A706FA" w:rsidRPr="003C596C" w:rsidRDefault="00A706FA" w:rsidP="00381062">
      <w:pPr>
        <w:numPr>
          <w:ilvl w:val="0"/>
          <w:numId w:val="6"/>
        </w:numPr>
        <w:tabs>
          <w:tab w:val="clear" w:pos="720"/>
          <w:tab w:val="num" w:pos="360"/>
        </w:tabs>
        <w:ind w:left="360"/>
        <w:jc w:val="both"/>
        <w:rPr>
          <w:b/>
        </w:rPr>
      </w:pPr>
      <w:r w:rsidRPr="003C596C">
        <w:rPr>
          <w:b/>
        </w:rPr>
        <w:t>Sustainability</w:t>
      </w:r>
      <w:bookmarkStart w:id="21" w:name="Sustainability"/>
    </w:p>
    <w:p w:rsidR="00621A9D" w:rsidRDefault="00621A9D" w:rsidP="00381062">
      <w:pPr>
        <w:jc w:val="both"/>
      </w:pPr>
    </w:p>
    <w:p w:rsidR="0088295E" w:rsidRDefault="0088295E" w:rsidP="003710E3">
      <w:pPr>
        <w:pStyle w:val="paranumb"/>
        <w:numPr>
          <w:ilvl w:val="1"/>
          <w:numId w:val="7"/>
        </w:numPr>
        <w:tabs>
          <w:tab w:val="clear" w:pos="1440"/>
          <w:tab w:val="num" w:pos="900"/>
        </w:tabs>
        <w:spacing w:after="0"/>
        <w:ind w:left="0" w:firstLine="0"/>
      </w:pPr>
      <w:r>
        <w:t xml:space="preserve">The project will </w:t>
      </w:r>
      <w:r w:rsidR="00F549B5">
        <w:t xml:space="preserve">ensure </w:t>
      </w:r>
      <w:r>
        <w:t>sustainability through:</w:t>
      </w:r>
      <w:r w:rsidR="00054DD2">
        <w:t xml:space="preserve"> (a) </w:t>
      </w:r>
      <w:r w:rsidR="003F2EBD">
        <w:t>c</w:t>
      </w:r>
      <w:r>
        <w:t xml:space="preserve">arrying out </w:t>
      </w:r>
      <w:r w:rsidR="00F549B5">
        <w:t xml:space="preserve">priority periodic </w:t>
      </w:r>
      <w:r>
        <w:t>maintenance and rehabilitation activities based on the Transport Sector Program’s action plan;</w:t>
      </w:r>
      <w:r w:rsidR="003F2EBD">
        <w:t xml:space="preserve"> (b) i</w:t>
      </w:r>
      <w:r>
        <w:t>ncreasing capacity within the DGER for planning and programming of national road expenditure program;</w:t>
      </w:r>
      <w:r w:rsidR="003F2EBD">
        <w:t xml:space="preserve"> and (c) p</w:t>
      </w:r>
      <w:r>
        <w:t xml:space="preserve">rovision of </w:t>
      </w:r>
      <w:r w:rsidR="00A56996">
        <w:t xml:space="preserve">technical </w:t>
      </w:r>
      <w:r>
        <w:t>assistance and training to improve road maintenance management and financing and road safety.</w:t>
      </w:r>
    </w:p>
    <w:p w:rsidR="00A706FA" w:rsidRDefault="00A706FA" w:rsidP="00381062">
      <w:pPr>
        <w:jc w:val="both"/>
      </w:pPr>
    </w:p>
    <w:bookmarkEnd w:id="21"/>
    <w:p w:rsidR="00A706FA" w:rsidRPr="003C596C" w:rsidRDefault="00A706FA" w:rsidP="00381062">
      <w:pPr>
        <w:numPr>
          <w:ilvl w:val="0"/>
          <w:numId w:val="6"/>
        </w:numPr>
        <w:tabs>
          <w:tab w:val="clear" w:pos="720"/>
          <w:tab w:val="num" w:pos="360"/>
        </w:tabs>
        <w:ind w:left="360"/>
        <w:jc w:val="both"/>
        <w:rPr>
          <w:b/>
        </w:rPr>
      </w:pPr>
      <w:r w:rsidRPr="003C596C">
        <w:rPr>
          <w:b/>
        </w:rPr>
        <w:t>Lessons Learned from Past Operations in the Country/Sector</w:t>
      </w:r>
      <w:bookmarkStart w:id="22" w:name="LessonsLearned"/>
    </w:p>
    <w:p w:rsidR="00621A9D" w:rsidRDefault="00621A9D" w:rsidP="00381062">
      <w:pPr>
        <w:jc w:val="both"/>
      </w:pPr>
    </w:p>
    <w:p w:rsidR="00A706FA" w:rsidRDefault="00BB3027" w:rsidP="002E7B58">
      <w:pPr>
        <w:pStyle w:val="paranumb"/>
        <w:numPr>
          <w:ilvl w:val="1"/>
          <w:numId w:val="7"/>
        </w:numPr>
        <w:tabs>
          <w:tab w:val="clear" w:pos="1440"/>
          <w:tab w:val="num" w:pos="900"/>
        </w:tabs>
        <w:spacing w:after="0"/>
        <w:ind w:left="0" w:firstLine="0"/>
      </w:pPr>
      <w:r w:rsidRPr="00BB3027">
        <w:t xml:space="preserve">The implementation experience of </w:t>
      </w:r>
      <w:r>
        <w:t xml:space="preserve">the original project and </w:t>
      </w:r>
      <w:r w:rsidRPr="00BB3027">
        <w:t xml:space="preserve">similar projects in Niger and </w:t>
      </w:r>
      <w:r w:rsidR="00F549B5">
        <w:t xml:space="preserve">in the Sub- Saharan </w:t>
      </w:r>
      <w:r w:rsidRPr="00BB3027">
        <w:t xml:space="preserve">Africa </w:t>
      </w:r>
      <w:r w:rsidR="00F549B5">
        <w:t xml:space="preserve">(SSA) </w:t>
      </w:r>
      <w:r w:rsidRPr="00BB3027">
        <w:t xml:space="preserve">region </w:t>
      </w:r>
      <w:r w:rsidR="00F549B5">
        <w:t xml:space="preserve">have </w:t>
      </w:r>
      <w:r w:rsidRPr="00BB3027">
        <w:t>prove</w:t>
      </w:r>
      <w:r w:rsidR="00F549B5">
        <w:t>n</w:t>
      </w:r>
      <w:r w:rsidRPr="00BB3027">
        <w:t xml:space="preserve"> that </w:t>
      </w:r>
      <w:r w:rsidR="00F549B5">
        <w:t xml:space="preserve">projects with the same scope and size </w:t>
      </w:r>
      <w:r w:rsidRPr="00BB3027">
        <w:lastRenderedPageBreak/>
        <w:t xml:space="preserve">as the </w:t>
      </w:r>
      <w:r w:rsidR="00465F7B" w:rsidRPr="00465F7B">
        <w:t>TSPSP</w:t>
      </w:r>
      <w:r w:rsidRPr="00BB3027">
        <w:t xml:space="preserve"> should be kept simple and focused </w:t>
      </w:r>
      <w:r>
        <w:t xml:space="preserve">and benefit from a tight supervision and control </w:t>
      </w:r>
      <w:r w:rsidRPr="00BB3027">
        <w:t xml:space="preserve">in order to be successful.  As stated in the </w:t>
      </w:r>
      <w:r>
        <w:t>MTR of the project</w:t>
      </w:r>
      <w:r w:rsidRPr="00BB3027">
        <w:t xml:space="preserve">, </w:t>
      </w:r>
      <w:r w:rsidR="00F549B5">
        <w:t>close</w:t>
      </w:r>
      <w:r>
        <w:t xml:space="preserve"> follow up and quick procurement process</w:t>
      </w:r>
      <w:r w:rsidR="00F549B5">
        <w:t xml:space="preserve">ing can reduce </w:t>
      </w:r>
      <w:r>
        <w:t xml:space="preserve">cost overruns and </w:t>
      </w:r>
      <w:r w:rsidR="003C596C">
        <w:t xml:space="preserve">delays in the works execution. </w:t>
      </w:r>
      <w:r w:rsidRPr="00BB3027">
        <w:t xml:space="preserve">Therefore the </w:t>
      </w:r>
      <w:r w:rsidR="0020054C">
        <w:rPr>
          <w:bCs/>
        </w:rPr>
        <w:t>p</w:t>
      </w:r>
      <w:r w:rsidR="00B26B3D">
        <w:rPr>
          <w:bCs/>
        </w:rPr>
        <w:t xml:space="preserve">roposed </w:t>
      </w:r>
      <w:r>
        <w:t>AF</w:t>
      </w:r>
      <w:r w:rsidRPr="00BB3027">
        <w:t xml:space="preserve"> has been designed to </w:t>
      </w:r>
      <w:r>
        <w:t>build on those lessons and be successfully implemented</w:t>
      </w:r>
      <w:r w:rsidR="003C596C">
        <w:t xml:space="preserve">. </w:t>
      </w:r>
      <w:r w:rsidRPr="00BB3027">
        <w:t xml:space="preserve">Another lesson learned from project implementation experience in the region is that, to the extent possible, any policy conditionality should be excluded from the investment operation and included in a </w:t>
      </w:r>
      <w:r w:rsidR="00AB2B2B">
        <w:t>D</w:t>
      </w:r>
      <w:r w:rsidR="00AB2B2B" w:rsidRPr="00BB3027">
        <w:t xml:space="preserve">evelopment </w:t>
      </w:r>
      <w:r w:rsidR="00AB2B2B">
        <w:t>P</w:t>
      </w:r>
      <w:r w:rsidRPr="00BB3027">
        <w:t xml:space="preserve">olicy </w:t>
      </w:r>
      <w:r w:rsidR="00AB2B2B">
        <w:t>L</w:t>
      </w:r>
      <w:r w:rsidRPr="00BB3027">
        <w:t>oan (DPL) which is a financing tool more adapted to trigger the key institutional reform</w:t>
      </w:r>
      <w:r w:rsidR="003C596C">
        <w:t xml:space="preserve">s. </w:t>
      </w:r>
    </w:p>
    <w:p w:rsidR="00C34760" w:rsidRDefault="00C34760" w:rsidP="00EC20EB">
      <w:pPr>
        <w:pStyle w:val="paranumb"/>
        <w:numPr>
          <w:ilvl w:val="0"/>
          <w:numId w:val="0"/>
        </w:numPr>
        <w:spacing w:after="0"/>
      </w:pPr>
    </w:p>
    <w:bookmarkEnd w:id="22"/>
    <w:p w:rsidR="00A706FA" w:rsidRPr="003C596C" w:rsidRDefault="00A706FA" w:rsidP="00281929">
      <w:pPr>
        <w:numPr>
          <w:ilvl w:val="0"/>
          <w:numId w:val="6"/>
        </w:numPr>
        <w:tabs>
          <w:tab w:val="clear" w:pos="720"/>
          <w:tab w:val="num" w:pos="360"/>
          <w:tab w:val="left" w:pos="540"/>
        </w:tabs>
        <w:ind w:left="360"/>
        <w:rPr>
          <w:b/>
        </w:rPr>
      </w:pPr>
      <w:r w:rsidRPr="003C596C">
        <w:rPr>
          <w:b/>
        </w:rPr>
        <w:t>Safeguard Policies (including public consultation)</w:t>
      </w:r>
      <w:bookmarkStart w:id="23" w:name="SafeguardPolicies"/>
    </w:p>
    <w:p w:rsidR="00A706FA" w:rsidRDefault="00A70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gridCol w:w="1094"/>
      </w:tblGrid>
      <w:tr w:rsidR="00D928E2" w:rsidRPr="00EE2D2C" w:rsidTr="00D928E2">
        <w:tc>
          <w:tcPr>
            <w:tcW w:w="6066" w:type="dxa"/>
          </w:tcPr>
          <w:p w:rsidR="00D928E2" w:rsidRPr="00EE2D2C" w:rsidRDefault="00D928E2" w:rsidP="00D928E2">
            <w:pPr>
              <w:rPr>
                <w:b/>
                <w:bCs/>
              </w:rPr>
            </w:pPr>
            <w:r w:rsidRPr="00EE2D2C">
              <w:rPr>
                <w:b/>
                <w:bCs/>
              </w:rPr>
              <w:t>Safeguard Policies Triggered by the Project</w:t>
            </w:r>
          </w:p>
        </w:tc>
        <w:tc>
          <w:tcPr>
            <w:tcW w:w="1260" w:type="dxa"/>
          </w:tcPr>
          <w:p w:rsidR="00D928E2" w:rsidRPr="00EE2D2C" w:rsidRDefault="00D928E2" w:rsidP="00D928E2">
            <w:pPr>
              <w:jc w:val="center"/>
            </w:pPr>
            <w:r w:rsidRPr="00EE2D2C">
              <w:t>Yes</w:t>
            </w:r>
          </w:p>
        </w:tc>
        <w:tc>
          <w:tcPr>
            <w:tcW w:w="1094" w:type="dxa"/>
          </w:tcPr>
          <w:p w:rsidR="00D928E2" w:rsidRPr="00EE2D2C" w:rsidRDefault="00D928E2" w:rsidP="00D928E2">
            <w:pPr>
              <w:jc w:val="center"/>
            </w:pPr>
            <w:r w:rsidRPr="00EE2D2C">
              <w:t>No</w:t>
            </w:r>
          </w:p>
        </w:tc>
        <w:tc>
          <w:tcPr>
            <w:tcW w:w="1094" w:type="dxa"/>
          </w:tcPr>
          <w:p w:rsidR="00D928E2" w:rsidRPr="00EE2D2C" w:rsidRDefault="00D928E2" w:rsidP="00D928E2">
            <w:pPr>
              <w:jc w:val="center"/>
            </w:pPr>
            <w:r w:rsidRPr="00EE2D2C">
              <w:t>TBD</w:t>
            </w:r>
          </w:p>
        </w:tc>
      </w:tr>
      <w:tr w:rsidR="00D928E2" w:rsidRPr="00EE2D2C" w:rsidTr="00D928E2">
        <w:trPr>
          <w:trHeight w:val="20"/>
        </w:trPr>
        <w:tc>
          <w:tcPr>
            <w:tcW w:w="6066" w:type="dxa"/>
          </w:tcPr>
          <w:p w:rsidR="00D928E2" w:rsidRPr="003C596C" w:rsidRDefault="00BD12E0" w:rsidP="00D928E2">
            <w:pPr>
              <w:rPr>
                <w:color w:val="000000" w:themeColor="text1"/>
              </w:rPr>
            </w:pPr>
            <w:hyperlink r:id="rId9" w:history="1">
              <w:r w:rsidR="00D928E2" w:rsidRPr="003C596C">
                <w:rPr>
                  <w:rStyle w:val="Hyperlink"/>
                  <w:color w:val="000000" w:themeColor="text1"/>
                </w:rPr>
                <w:t>Environmental Assessment</w:t>
              </w:r>
            </w:hyperlink>
            <w:r w:rsidR="00D928E2" w:rsidRPr="003C596C">
              <w:rPr>
                <w:color w:val="000000" w:themeColor="text1"/>
              </w:rPr>
              <w:t xml:space="preserve"> (</w:t>
            </w:r>
            <w:hyperlink r:id="rId10" w:history="1">
              <w:r w:rsidR="00D928E2" w:rsidRPr="003C596C">
                <w:rPr>
                  <w:rStyle w:val="Hyperlink"/>
                  <w:color w:val="000000" w:themeColor="text1"/>
                </w:rPr>
                <w:t>OP</w:t>
              </w:r>
            </w:hyperlink>
            <w:r w:rsidR="00D928E2" w:rsidRPr="003C596C">
              <w:rPr>
                <w:color w:val="000000" w:themeColor="text1"/>
              </w:rPr>
              <w:t>/</w:t>
            </w:r>
            <w:hyperlink r:id="rId11" w:history="1">
              <w:r w:rsidR="00D928E2" w:rsidRPr="003C596C">
                <w:rPr>
                  <w:rStyle w:val="Hyperlink"/>
                  <w:color w:val="000000" w:themeColor="text1"/>
                </w:rPr>
                <w:t>BP</w:t>
              </w:r>
            </w:hyperlink>
            <w:r w:rsidR="00D928E2" w:rsidRPr="003C596C">
              <w:rPr>
                <w:color w:val="000000" w:themeColor="text1"/>
              </w:rPr>
              <w:t xml:space="preserve"> 4.01)</w:t>
            </w:r>
          </w:p>
        </w:tc>
        <w:tc>
          <w:tcPr>
            <w:tcW w:w="1260" w:type="dxa"/>
          </w:tcPr>
          <w:p w:rsidR="00D928E2" w:rsidRPr="00EE2D2C" w:rsidRDefault="00D928E2" w:rsidP="00D928E2">
            <w:pPr>
              <w:jc w:val="center"/>
            </w:pPr>
            <w:r w:rsidRPr="00EE2D2C">
              <w:t>X</w:t>
            </w:r>
          </w:p>
        </w:tc>
        <w:tc>
          <w:tcPr>
            <w:tcW w:w="1094" w:type="dxa"/>
          </w:tcPr>
          <w:p w:rsidR="00D928E2" w:rsidRPr="00EE2D2C" w:rsidRDefault="00D928E2" w:rsidP="00D928E2">
            <w:pPr>
              <w:jc w:val="center"/>
            </w:pP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Natural Habitats (</w:t>
            </w:r>
            <w:hyperlink r:id="rId12" w:history="1">
              <w:r w:rsidRPr="003C596C">
                <w:rPr>
                  <w:rStyle w:val="Hyperlink"/>
                  <w:color w:val="000000" w:themeColor="text1"/>
                </w:rPr>
                <w:t>OP</w:t>
              </w:r>
            </w:hyperlink>
            <w:r w:rsidRPr="003C596C">
              <w:rPr>
                <w:color w:val="000000" w:themeColor="text1"/>
              </w:rPr>
              <w:t>/</w:t>
            </w:r>
            <w:hyperlink r:id="rId13" w:history="1">
              <w:r w:rsidRPr="003C596C">
                <w:rPr>
                  <w:rStyle w:val="Hyperlink"/>
                  <w:color w:val="000000" w:themeColor="text1"/>
                </w:rPr>
                <w:t>BP</w:t>
              </w:r>
            </w:hyperlink>
            <w:r w:rsidRPr="003C596C">
              <w:rPr>
                <w:color w:val="000000" w:themeColor="text1"/>
              </w:rPr>
              <w:t xml:space="preserve"> 4.04)</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Pest Management (</w:t>
            </w:r>
            <w:hyperlink r:id="rId14" w:history="1">
              <w:r w:rsidRPr="003C596C">
                <w:rPr>
                  <w:rStyle w:val="Hyperlink"/>
                  <w:color w:val="000000" w:themeColor="text1"/>
                </w:rPr>
                <w:t>OP 4.09</w:t>
              </w:r>
            </w:hyperlink>
            <w:r w:rsidRPr="003C596C">
              <w:rPr>
                <w:color w:val="000000" w:themeColor="text1"/>
              </w:rPr>
              <w:t>)</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Physical Cultural Resources (OP/BP 4.11)</w:t>
            </w:r>
          </w:p>
        </w:tc>
        <w:tc>
          <w:tcPr>
            <w:tcW w:w="1260" w:type="dxa"/>
          </w:tcPr>
          <w:p w:rsidR="00D928E2" w:rsidRPr="00EE2D2C" w:rsidRDefault="003C7473" w:rsidP="00D928E2">
            <w:pPr>
              <w:jc w:val="center"/>
            </w:pPr>
            <w:r>
              <w:t>X</w:t>
            </w:r>
          </w:p>
        </w:tc>
        <w:tc>
          <w:tcPr>
            <w:tcW w:w="1094" w:type="dxa"/>
          </w:tcPr>
          <w:p w:rsidR="00D928E2" w:rsidRPr="00EE2D2C" w:rsidRDefault="00D928E2" w:rsidP="00D928E2">
            <w:pPr>
              <w:jc w:val="center"/>
            </w:pP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Involuntary Resettlement (</w:t>
            </w:r>
            <w:hyperlink r:id="rId15" w:history="1">
              <w:r w:rsidRPr="003C596C">
                <w:rPr>
                  <w:rStyle w:val="Hyperlink"/>
                  <w:color w:val="000000" w:themeColor="text1"/>
                </w:rPr>
                <w:t>OP</w:t>
              </w:r>
            </w:hyperlink>
            <w:r w:rsidRPr="003C596C">
              <w:rPr>
                <w:color w:val="000000" w:themeColor="text1"/>
              </w:rPr>
              <w:t>/</w:t>
            </w:r>
            <w:hyperlink r:id="rId16" w:history="1">
              <w:r w:rsidRPr="003C596C">
                <w:rPr>
                  <w:rStyle w:val="Hyperlink"/>
                  <w:color w:val="000000" w:themeColor="text1"/>
                </w:rPr>
                <w:t>BP</w:t>
              </w:r>
            </w:hyperlink>
            <w:r w:rsidRPr="003C596C">
              <w:rPr>
                <w:color w:val="000000" w:themeColor="text1"/>
              </w:rPr>
              <w:t xml:space="preserve"> 4.12)</w:t>
            </w:r>
          </w:p>
        </w:tc>
        <w:tc>
          <w:tcPr>
            <w:tcW w:w="1260" w:type="dxa"/>
          </w:tcPr>
          <w:p w:rsidR="00D928E2" w:rsidRPr="00EE2D2C" w:rsidRDefault="00D928E2" w:rsidP="00D928E2">
            <w:pPr>
              <w:jc w:val="center"/>
            </w:pPr>
            <w:r w:rsidRPr="00EE2D2C">
              <w:t>X</w:t>
            </w:r>
          </w:p>
        </w:tc>
        <w:tc>
          <w:tcPr>
            <w:tcW w:w="1094" w:type="dxa"/>
          </w:tcPr>
          <w:p w:rsidR="00D928E2" w:rsidRPr="00EE2D2C" w:rsidRDefault="00D928E2" w:rsidP="00D928E2">
            <w:pPr>
              <w:jc w:val="center"/>
            </w:pP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Indigenous Peoples (</w:t>
            </w:r>
            <w:r w:rsidRPr="003C596C">
              <w:rPr>
                <w:color w:val="000000" w:themeColor="text1"/>
                <w:u w:val="single"/>
              </w:rPr>
              <w:t xml:space="preserve"> OP/BP </w:t>
            </w:r>
            <w:r w:rsidRPr="003C596C">
              <w:rPr>
                <w:color w:val="000000" w:themeColor="text1"/>
              </w:rPr>
              <w:t>4.10)</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Forests (</w:t>
            </w:r>
            <w:hyperlink r:id="rId17" w:history="1">
              <w:r w:rsidRPr="003C596C">
                <w:rPr>
                  <w:rStyle w:val="Hyperlink"/>
                  <w:color w:val="000000" w:themeColor="text1"/>
                </w:rPr>
                <w:t>OP</w:t>
              </w:r>
            </w:hyperlink>
            <w:r w:rsidRPr="003C596C">
              <w:rPr>
                <w:color w:val="000000" w:themeColor="text1"/>
              </w:rPr>
              <w:t>/</w:t>
            </w:r>
            <w:hyperlink r:id="rId18" w:history="1">
              <w:r w:rsidRPr="003C596C">
                <w:rPr>
                  <w:rStyle w:val="Hyperlink"/>
                  <w:color w:val="000000" w:themeColor="text1"/>
                </w:rPr>
                <w:t>BP</w:t>
              </w:r>
            </w:hyperlink>
            <w:r w:rsidRPr="003C596C">
              <w:rPr>
                <w:color w:val="000000" w:themeColor="text1"/>
              </w:rPr>
              <w:t xml:space="preserve"> 4.36)</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Safety of Dams (</w:t>
            </w:r>
            <w:hyperlink r:id="rId19" w:history="1">
              <w:r w:rsidRPr="003C596C">
                <w:rPr>
                  <w:rStyle w:val="Hyperlink"/>
                  <w:color w:val="000000" w:themeColor="text1"/>
                </w:rPr>
                <w:t>OP</w:t>
              </w:r>
            </w:hyperlink>
            <w:r w:rsidRPr="003C596C">
              <w:rPr>
                <w:color w:val="000000" w:themeColor="text1"/>
              </w:rPr>
              <w:t>/</w:t>
            </w:r>
            <w:hyperlink r:id="rId20" w:history="1">
              <w:r w:rsidRPr="003C596C">
                <w:rPr>
                  <w:rStyle w:val="Hyperlink"/>
                  <w:color w:val="000000" w:themeColor="text1"/>
                </w:rPr>
                <w:t>BP</w:t>
              </w:r>
            </w:hyperlink>
            <w:r w:rsidRPr="003C596C">
              <w:rPr>
                <w:color w:val="000000" w:themeColor="text1"/>
              </w:rPr>
              <w:t xml:space="preserve"> 4.37)</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Projects in Disputed Areas (</w:t>
            </w:r>
            <w:hyperlink r:id="rId21" w:history="1">
              <w:r w:rsidRPr="003C596C">
                <w:rPr>
                  <w:rStyle w:val="Hyperlink"/>
                  <w:color w:val="000000" w:themeColor="text1"/>
                </w:rPr>
                <w:t>OP</w:t>
              </w:r>
            </w:hyperlink>
            <w:r w:rsidRPr="003C596C">
              <w:rPr>
                <w:color w:val="000000" w:themeColor="text1"/>
              </w:rPr>
              <w:t>/</w:t>
            </w:r>
            <w:hyperlink r:id="rId22" w:history="1">
              <w:r w:rsidRPr="003C596C">
                <w:rPr>
                  <w:rStyle w:val="Hyperlink"/>
                  <w:color w:val="000000" w:themeColor="text1"/>
                </w:rPr>
                <w:t>BP</w:t>
              </w:r>
            </w:hyperlink>
            <w:r w:rsidRPr="003C596C">
              <w:rPr>
                <w:color w:val="000000" w:themeColor="text1"/>
              </w:rPr>
              <w:t xml:space="preserve"> 7.60)</w:t>
            </w:r>
            <w:r w:rsidRPr="003C596C">
              <w:rPr>
                <w:rStyle w:val="FootnoteReference"/>
                <w:color w:val="000000" w:themeColor="text1"/>
              </w:rPr>
              <w:footnoteReference w:customMarkFollows="1" w:id="2"/>
              <w:t>*</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r w:rsidR="00D928E2" w:rsidRPr="00EE2D2C" w:rsidTr="00D928E2">
        <w:trPr>
          <w:trHeight w:val="20"/>
        </w:trPr>
        <w:tc>
          <w:tcPr>
            <w:tcW w:w="6066" w:type="dxa"/>
          </w:tcPr>
          <w:p w:rsidR="00D928E2" w:rsidRPr="003C596C" w:rsidRDefault="00D928E2" w:rsidP="00D928E2">
            <w:pPr>
              <w:rPr>
                <w:color w:val="000000" w:themeColor="text1"/>
              </w:rPr>
            </w:pPr>
            <w:r w:rsidRPr="003C596C">
              <w:rPr>
                <w:color w:val="000000" w:themeColor="text1"/>
              </w:rPr>
              <w:t>Projects on International Waterways (</w:t>
            </w:r>
            <w:hyperlink r:id="rId23" w:history="1">
              <w:r w:rsidRPr="003C596C">
                <w:rPr>
                  <w:rStyle w:val="Hyperlink"/>
                  <w:color w:val="000000" w:themeColor="text1"/>
                </w:rPr>
                <w:t>OP</w:t>
              </w:r>
            </w:hyperlink>
            <w:r w:rsidRPr="003C596C">
              <w:rPr>
                <w:color w:val="000000" w:themeColor="text1"/>
              </w:rPr>
              <w:t>/</w:t>
            </w:r>
            <w:hyperlink r:id="rId24" w:history="1">
              <w:r w:rsidRPr="003C596C">
                <w:rPr>
                  <w:rStyle w:val="Hyperlink"/>
                  <w:color w:val="000000" w:themeColor="text1"/>
                </w:rPr>
                <w:t>BP</w:t>
              </w:r>
            </w:hyperlink>
            <w:r w:rsidRPr="003C596C">
              <w:rPr>
                <w:color w:val="000000" w:themeColor="text1"/>
              </w:rPr>
              <w:t xml:space="preserve"> 7.50)</w:t>
            </w:r>
          </w:p>
        </w:tc>
        <w:tc>
          <w:tcPr>
            <w:tcW w:w="1260" w:type="dxa"/>
          </w:tcPr>
          <w:p w:rsidR="00D928E2" w:rsidRPr="00EE2D2C" w:rsidRDefault="00D928E2" w:rsidP="00D928E2">
            <w:pPr>
              <w:jc w:val="center"/>
            </w:pPr>
          </w:p>
        </w:tc>
        <w:tc>
          <w:tcPr>
            <w:tcW w:w="1094" w:type="dxa"/>
          </w:tcPr>
          <w:p w:rsidR="00D928E2" w:rsidRPr="00EE2D2C" w:rsidRDefault="00D928E2" w:rsidP="00D928E2">
            <w:pPr>
              <w:jc w:val="center"/>
            </w:pPr>
            <w:r>
              <w:t>X</w:t>
            </w:r>
          </w:p>
        </w:tc>
        <w:tc>
          <w:tcPr>
            <w:tcW w:w="1094" w:type="dxa"/>
          </w:tcPr>
          <w:p w:rsidR="00D928E2" w:rsidRPr="00EE2D2C" w:rsidRDefault="00D928E2" w:rsidP="00D928E2">
            <w:pPr>
              <w:jc w:val="center"/>
            </w:pPr>
          </w:p>
        </w:tc>
      </w:tr>
    </w:tbl>
    <w:p w:rsidR="00D928E2" w:rsidRDefault="00D928E2"/>
    <w:bookmarkEnd w:id="23"/>
    <w:p w:rsidR="00A706FA" w:rsidRPr="003C596C" w:rsidRDefault="00A706FA" w:rsidP="00EC2C5B">
      <w:pPr>
        <w:numPr>
          <w:ilvl w:val="0"/>
          <w:numId w:val="6"/>
        </w:numPr>
        <w:tabs>
          <w:tab w:val="clear" w:pos="720"/>
          <w:tab w:val="num" w:pos="360"/>
        </w:tabs>
        <w:ind w:left="360"/>
        <w:rPr>
          <w:b/>
        </w:rPr>
      </w:pPr>
      <w:r w:rsidRPr="003C596C">
        <w:rPr>
          <w:b/>
        </w:rPr>
        <w:t>List of Factual Technical Documents</w:t>
      </w:r>
      <w:bookmarkStart w:id="24" w:name="FactualTechnicalDocuments"/>
    </w:p>
    <w:p w:rsidR="00EC2C5B" w:rsidRDefault="00EC2C5B" w:rsidP="00621A9D"/>
    <w:p w:rsidR="00A706FA" w:rsidRDefault="00D928E2">
      <w:r>
        <w:t>Project Concept Memo</w:t>
      </w:r>
    </w:p>
    <w:p w:rsidR="00D928E2" w:rsidRDefault="00D928E2">
      <w:r>
        <w:t xml:space="preserve">Project </w:t>
      </w:r>
      <w:r w:rsidR="00054DD2">
        <w:t>Information Document</w:t>
      </w:r>
    </w:p>
    <w:p w:rsidR="00D928E2" w:rsidRDefault="00D928E2">
      <w:r>
        <w:t>Integrated Safeguards Data Sheet</w:t>
      </w:r>
    </w:p>
    <w:p w:rsidR="00D928E2" w:rsidRDefault="00D928E2">
      <w:r>
        <w:t xml:space="preserve">Feasibility </w:t>
      </w:r>
      <w:r w:rsidR="00054DD2">
        <w:t xml:space="preserve">Studies </w:t>
      </w:r>
      <w:r>
        <w:t xml:space="preserve">for </w:t>
      </w:r>
      <w:r w:rsidR="00054DD2">
        <w:t xml:space="preserve">Phase </w:t>
      </w:r>
      <w:r>
        <w:t xml:space="preserve">1 (600 km) and 2 (449 km) </w:t>
      </w:r>
      <w:r w:rsidR="00054DD2">
        <w:t xml:space="preserve">Road Maintenance </w:t>
      </w:r>
      <w:r>
        <w:t xml:space="preserve">and </w:t>
      </w:r>
      <w:r w:rsidR="00054DD2">
        <w:t>Rehabilitation</w:t>
      </w:r>
    </w:p>
    <w:p w:rsidR="006B3671" w:rsidRDefault="006B3671">
      <w:r>
        <w:t xml:space="preserve">Transport </w:t>
      </w:r>
      <w:r w:rsidR="00054DD2">
        <w:t xml:space="preserve">Sector Review </w:t>
      </w:r>
      <w:r>
        <w:t>(World Bank, 2005)</w:t>
      </w:r>
    </w:p>
    <w:p w:rsidR="006B3671" w:rsidRDefault="006B3671">
      <w:r>
        <w:t xml:space="preserve">Environmental Impact </w:t>
      </w:r>
      <w:r w:rsidR="00054DD2">
        <w:t xml:space="preserve">Study </w:t>
      </w:r>
      <w:r>
        <w:t>(December 2007)</w:t>
      </w:r>
    </w:p>
    <w:p w:rsidR="006B3671" w:rsidRDefault="006B3671">
      <w:r>
        <w:t>Resettlement Policy Framework (</w:t>
      </w:r>
      <w:r w:rsidR="003A45C0">
        <w:t>December 2007</w:t>
      </w:r>
      <w:r>
        <w:t>)</w:t>
      </w:r>
    </w:p>
    <w:p w:rsidR="00A15703" w:rsidRDefault="00A15703" w:rsidP="00A15703">
      <w:r>
        <w:t>Updated Environmental Impact Study (October 2012)</w:t>
      </w:r>
    </w:p>
    <w:p w:rsidR="00A15703" w:rsidRDefault="00A15703" w:rsidP="00A15703">
      <w:r>
        <w:t>Updated Social Impact Study (October 2012)</w:t>
      </w:r>
    </w:p>
    <w:p w:rsidR="00A706FA" w:rsidRDefault="00A706FA"/>
    <w:bookmarkEnd w:id="24"/>
    <w:p w:rsidR="00A706FA" w:rsidRDefault="00A706FA" w:rsidP="00621A9D">
      <w:pPr>
        <w:numPr>
          <w:ilvl w:val="0"/>
          <w:numId w:val="6"/>
        </w:numPr>
        <w:tabs>
          <w:tab w:val="clear" w:pos="720"/>
          <w:tab w:val="num" w:pos="360"/>
        </w:tabs>
        <w:ind w:left="360"/>
        <w:rPr>
          <w:b/>
        </w:rPr>
      </w:pPr>
      <w:r w:rsidRPr="003C596C">
        <w:rPr>
          <w:b/>
        </w:rPr>
        <w:t>Contact point</w:t>
      </w:r>
    </w:p>
    <w:p w:rsidR="00C34760" w:rsidRPr="003C596C" w:rsidRDefault="00C34760" w:rsidP="00EC20EB">
      <w:pPr>
        <w:ind w:left="360"/>
        <w:rPr>
          <w:b/>
        </w:rPr>
      </w:pPr>
    </w:p>
    <w:p w:rsidR="00435E12" w:rsidRDefault="00435E12">
      <w:bookmarkStart w:id="25" w:name="ContactInfo"/>
      <w:r>
        <w:t xml:space="preserve">Contact: </w:t>
      </w:r>
      <w:proofErr w:type="spellStart"/>
      <w:r>
        <w:t>Aguiratou</w:t>
      </w:r>
      <w:proofErr w:type="spellEnd"/>
      <w:r>
        <w:t xml:space="preserve"> </w:t>
      </w:r>
      <w:proofErr w:type="spellStart"/>
      <w:r>
        <w:t>Savadogo</w:t>
      </w:r>
      <w:proofErr w:type="spellEnd"/>
      <w:r>
        <w:t>-Tinto</w:t>
      </w:r>
    </w:p>
    <w:p w:rsidR="00435E12" w:rsidRDefault="00435E12">
      <w:r>
        <w:t>Title: S</w:t>
      </w:r>
      <w:r w:rsidR="00054DD2">
        <w:t>enio</w:t>
      </w:r>
      <w:r>
        <w:t>r Transport. Spec</w:t>
      </w:r>
      <w:r w:rsidR="00054DD2">
        <w:t>ialist</w:t>
      </w:r>
    </w:p>
    <w:p w:rsidR="00435E12" w:rsidRDefault="00435E12">
      <w:r>
        <w:t>Tel: 5354+6321</w:t>
      </w:r>
    </w:p>
    <w:p w:rsidR="00435E12" w:rsidRDefault="00435E12">
      <w:r>
        <w:t xml:space="preserve">Fax: </w:t>
      </w:r>
      <w:r w:rsidR="00A15703">
        <w:t>(00226) 50 49 63 64</w:t>
      </w:r>
    </w:p>
    <w:p w:rsidR="00435E12" w:rsidRDefault="00435E12">
      <w:r>
        <w:t>Email: asavadogotinto@worldbank.org</w:t>
      </w:r>
    </w:p>
    <w:p w:rsidR="00A706FA" w:rsidRDefault="00435E12">
      <w:r>
        <w:t>Location: Ouagadougou, Burkina Faso (IBRD)</w:t>
      </w:r>
      <w:bookmarkEnd w:id="25"/>
    </w:p>
    <w:p w:rsidR="00C34760" w:rsidRDefault="00C34760">
      <w:r>
        <w:br w:type="page"/>
      </w:r>
    </w:p>
    <w:p w:rsidR="00A706FA" w:rsidRDefault="00A706FA"/>
    <w:p w:rsidR="00A706FA" w:rsidRPr="003C596C" w:rsidRDefault="00A706FA" w:rsidP="00621A9D">
      <w:pPr>
        <w:numPr>
          <w:ilvl w:val="0"/>
          <w:numId w:val="6"/>
        </w:numPr>
        <w:tabs>
          <w:tab w:val="clear" w:pos="720"/>
          <w:tab w:val="num" w:pos="360"/>
        </w:tabs>
        <w:ind w:left="360"/>
        <w:rPr>
          <w:b/>
        </w:rPr>
      </w:pPr>
      <w:r w:rsidRPr="003C596C">
        <w:rPr>
          <w:b/>
        </w:rPr>
        <w:t>For more information contact:</w:t>
      </w:r>
    </w:p>
    <w:p w:rsidR="00A706FA" w:rsidRDefault="00A706FA">
      <w:pPr>
        <w:ind w:left="720"/>
      </w:pPr>
      <w:r>
        <w:t xml:space="preserve">The </w:t>
      </w:r>
      <w:proofErr w:type="spellStart"/>
      <w:r>
        <w:t>InfoShop</w:t>
      </w:r>
      <w:proofErr w:type="spellEnd"/>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rsidP="008A5D9E">
      <w:pPr>
        <w:ind w:left="720"/>
      </w:pPr>
      <w:r>
        <w:t>Web: http://www.worldbank.org/infoshop</w:t>
      </w:r>
    </w:p>
    <w:sectPr w:rsidR="00A706FA" w:rsidSect="00D627A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55" w:rsidRDefault="00631355" w:rsidP="008922B2">
      <w:r>
        <w:separator/>
      </w:r>
    </w:p>
  </w:endnote>
  <w:endnote w:type="continuationSeparator" w:id="0">
    <w:p w:rsidR="00631355" w:rsidRDefault="00631355" w:rsidP="0089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7356"/>
      <w:docPartObj>
        <w:docPartGallery w:val="Page Numbers (Bottom of Page)"/>
        <w:docPartUnique/>
      </w:docPartObj>
    </w:sdtPr>
    <w:sdtEndPr>
      <w:rPr>
        <w:noProof/>
      </w:rPr>
    </w:sdtEndPr>
    <w:sdtContent>
      <w:p w:rsidR="00E02C42" w:rsidRDefault="00970E39">
        <w:pPr>
          <w:pStyle w:val="Footer"/>
          <w:jc w:val="right"/>
        </w:pPr>
        <w:r>
          <w:fldChar w:fldCharType="begin"/>
        </w:r>
        <w:r w:rsidR="00E02C42">
          <w:instrText xml:space="preserve"> PAGE   \* MERGEFORMAT </w:instrText>
        </w:r>
        <w:r>
          <w:fldChar w:fldCharType="separate"/>
        </w:r>
        <w:r w:rsidR="00BD12E0">
          <w:rPr>
            <w:noProof/>
          </w:rPr>
          <w:t>7</w:t>
        </w:r>
        <w:r>
          <w:rPr>
            <w:noProof/>
          </w:rPr>
          <w:fldChar w:fldCharType="end"/>
        </w:r>
      </w:p>
    </w:sdtContent>
  </w:sdt>
  <w:p w:rsidR="00E02C42" w:rsidRDefault="00E02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55" w:rsidRDefault="00631355" w:rsidP="008922B2">
      <w:r>
        <w:separator/>
      </w:r>
    </w:p>
  </w:footnote>
  <w:footnote w:type="continuationSeparator" w:id="0">
    <w:p w:rsidR="00631355" w:rsidRDefault="00631355" w:rsidP="008922B2">
      <w:r>
        <w:continuationSeparator/>
      </w:r>
    </w:p>
  </w:footnote>
  <w:footnote w:id="1">
    <w:p w:rsidR="003C596C" w:rsidRPr="00317792" w:rsidRDefault="003C596C" w:rsidP="00504377">
      <w:pPr>
        <w:pStyle w:val="FootnoteText"/>
        <w:rPr>
          <w:sz w:val="18"/>
          <w:szCs w:val="18"/>
        </w:rPr>
      </w:pPr>
      <w:r>
        <w:rPr>
          <w:rStyle w:val="FootnoteReference"/>
        </w:rPr>
        <w:footnoteRef/>
      </w:r>
      <w:r>
        <w:t xml:space="preserve"> </w:t>
      </w:r>
      <w:r w:rsidRPr="00317792">
        <w:rPr>
          <w:sz w:val="18"/>
          <w:szCs w:val="18"/>
        </w:rPr>
        <w:t>They consist of staff of the Administration</w:t>
      </w:r>
    </w:p>
  </w:footnote>
  <w:footnote w:id="2">
    <w:p w:rsidR="003C596C" w:rsidRDefault="003C596C" w:rsidP="00D928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72C36"/>
    <w:multiLevelType w:val="hybridMultilevel"/>
    <w:tmpl w:val="66540E16"/>
    <w:lvl w:ilvl="0" w:tplc="121AB9A0">
      <w:start w:val="1"/>
      <w:numFmt w:val="lowerLetter"/>
      <w:lvlText w:val="%1."/>
      <w:lvlJc w:val="left"/>
      <w:pPr>
        <w:tabs>
          <w:tab w:val="num" w:pos="360"/>
        </w:tabs>
        <w:ind w:left="288" w:hanging="288"/>
      </w:pPr>
      <w:rPr>
        <w:rFonts w:hint="default"/>
      </w:rPr>
    </w:lvl>
    <w:lvl w:ilvl="1" w:tplc="FDA2D1A2">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914E9C"/>
    <w:multiLevelType w:val="hybridMultilevel"/>
    <w:tmpl w:val="3F6ECFCC"/>
    <w:lvl w:ilvl="0" w:tplc="04090001">
      <w:start w:val="1"/>
      <w:numFmt w:val="decimal"/>
      <w:pStyle w:val="paranumb"/>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7F3787A"/>
    <w:multiLevelType w:val="multilevel"/>
    <w:tmpl w:val="8ACC4FE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E30505"/>
    <w:multiLevelType w:val="hybridMultilevel"/>
    <w:tmpl w:val="69EE6116"/>
    <w:lvl w:ilvl="0" w:tplc="D90C6314">
      <w:start w:val="1"/>
      <w:numFmt w:val="bullet"/>
      <w:pStyle w:val="Bullet"/>
      <w:lvlText w:val=""/>
      <w:lvlJc w:val="left"/>
      <w:pPr>
        <w:tabs>
          <w:tab w:val="num" w:pos="1440"/>
        </w:tabs>
        <w:ind w:left="1440" w:hanging="720"/>
      </w:pPr>
      <w:rPr>
        <w:rFonts w:ascii="Symbol" w:hAnsi="Symbol" w:hint="default"/>
      </w:rPr>
    </w:lvl>
    <w:lvl w:ilvl="1" w:tplc="04090019">
      <w:start w:val="1"/>
      <w:numFmt w:val="bullet"/>
      <w:pStyle w:val="Bullet2"/>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0"/>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54DD2"/>
    <w:rsid w:val="000D6F5D"/>
    <w:rsid w:val="000F3A15"/>
    <w:rsid w:val="00100C4A"/>
    <w:rsid w:val="00105565"/>
    <w:rsid w:val="00147455"/>
    <w:rsid w:val="00152BC2"/>
    <w:rsid w:val="00160FBF"/>
    <w:rsid w:val="00166E26"/>
    <w:rsid w:val="001A0E84"/>
    <w:rsid w:val="001D1D07"/>
    <w:rsid w:val="0020054C"/>
    <w:rsid w:val="00202EAE"/>
    <w:rsid w:val="00232E47"/>
    <w:rsid w:val="00234120"/>
    <w:rsid w:val="00243098"/>
    <w:rsid w:val="00281929"/>
    <w:rsid w:val="002852D9"/>
    <w:rsid w:val="002B4E63"/>
    <w:rsid w:val="002E7B58"/>
    <w:rsid w:val="002F47D1"/>
    <w:rsid w:val="003076D5"/>
    <w:rsid w:val="00317792"/>
    <w:rsid w:val="003624CA"/>
    <w:rsid w:val="003710E3"/>
    <w:rsid w:val="00381062"/>
    <w:rsid w:val="003A12C0"/>
    <w:rsid w:val="003A45C0"/>
    <w:rsid w:val="003A58D4"/>
    <w:rsid w:val="003C46AE"/>
    <w:rsid w:val="003C596C"/>
    <w:rsid w:val="003C7473"/>
    <w:rsid w:val="003E356A"/>
    <w:rsid w:val="003F2EBD"/>
    <w:rsid w:val="00423063"/>
    <w:rsid w:val="00435E12"/>
    <w:rsid w:val="00456452"/>
    <w:rsid w:val="00465F7B"/>
    <w:rsid w:val="004D39A1"/>
    <w:rsid w:val="004F4577"/>
    <w:rsid w:val="004F6E2D"/>
    <w:rsid w:val="00504377"/>
    <w:rsid w:val="0050765D"/>
    <w:rsid w:val="00515775"/>
    <w:rsid w:val="005172C1"/>
    <w:rsid w:val="00545A45"/>
    <w:rsid w:val="00554D26"/>
    <w:rsid w:val="00561CE9"/>
    <w:rsid w:val="00596ED4"/>
    <w:rsid w:val="005C1882"/>
    <w:rsid w:val="005C7959"/>
    <w:rsid w:val="005D49D4"/>
    <w:rsid w:val="005F29F4"/>
    <w:rsid w:val="005F507D"/>
    <w:rsid w:val="00621A9D"/>
    <w:rsid w:val="006268D0"/>
    <w:rsid w:val="00631355"/>
    <w:rsid w:val="00631695"/>
    <w:rsid w:val="006461C9"/>
    <w:rsid w:val="0066298B"/>
    <w:rsid w:val="00681AD4"/>
    <w:rsid w:val="006910DC"/>
    <w:rsid w:val="006967E1"/>
    <w:rsid w:val="006B3671"/>
    <w:rsid w:val="006B597B"/>
    <w:rsid w:val="006D3CCA"/>
    <w:rsid w:val="00706921"/>
    <w:rsid w:val="00710982"/>
    <w:rsid w:val="007220D4"/>
    <w:rsid w:val="007B2DE2"/>
    <w:rsid w:val="007C0321"/>
    <w:rsid w:val="007D0490"/>
    <w:rsid w:val="007D3E7C"/>
    <w:rsid w:val="007F1336"/>
    <w:rsid w:val="007F3221"/>
    <w:rsid w:val="007F4589"/>
    <w:rsid w:val="00820BF9"/>
    <w:rsid w:val="008232F4"/>
    <w:rsid w:val="00824CDB"/>
    <w:rsid w:val="00863D01"/>
    <w:rsid w:val="0088295E"/>
    <w:rsid w:val="008868FC"/>
    <w:rsid w:val="008922B2"/>
    <w:rsid w:val="008A17CE"/>
    <w:rsid w:val="008A5D9E"/>
    <w:rsid w:val="008B013F"/>
    <w:rsid w:val="008B29DA"/>
    <w:rsid w:val="008E6A61"/>
    <w:rsid w:val="008E6DCF"/>
    <w:rsid w:val="0092527B"/>
    <w:rsid w:val="0093004B"/>
    <w:rsid w:val="00950171"/>
    <w:rsid w:val="00960BB3"/>
    <w:rsid w:val="00970E39"/>
    <w:rsid w:val="00972A1F"/>
    <w:rsid w:val="0098014D"/>
    <w:rsid w:val="009A7C31"/>
    <w:rsid w:val="009B2682"/>
    <w:rsid w:val="009B708C"/>
    <w:rsid w:val="009E44F5"/>
    <w:rsid w:val="009E763A"/>
    <w:rsid w:val="009E788B"/>
    <w:rsid w:val="00A15703"/>
    <w:rsid w:val="00A56996"/>
    <w:rsid w:val="00A5723A"/>
    <w:rsid w:val="00A625DC"/>
    <w:rsid w:val="00A706FA"/>
    <w:rsid w:val="00A9247D"/>
    <w:rsid w:val="00AB2B2B"/>
    <w:rsid w:val="00AC1E34"/>
    <w:rsid w:val="00AC3D16"/>
    <w:rsid w:val="00AC4235"/>
    <w:rsid w:val="00AC4396"/>
    <w:rsid w:val="00AD158E"/>
    <w:rsid w:val="00AE20C8"/>
    <w:rsid w:val="00AF3DEB"/>
    <w:rsid w:val="00B26B3D"/>
    <w:rsid w:val="00B52FBD"/>
    <w:rsid w:val="00BB3027"/>
    <w:rsid w:val="00BD12E0"/>
    <w:rsid w:val="00C169D3"/>
    <w:rsid w:val="00C34760"/>
    <w:rsid w:val="00C53F93"/>
    <w:rsid w:val="00C80ACB"/>
    <w:rsid w:val="00C90587"/>
    <w:rsid w:val="00CA31E8"/>
    <w:rsid w:val="00CF24CD"/>
    <w:rsid w:val="00D1700C"/>
    <w:rsid w:val="00D627A1"/>
    <w:rsid w:val="00D63AC4"/>
    <w:rsid w:val="00D733B2"/>
    <w:rsid w:val="00D928E2"/>
    <w:rsid w:val="00DA040A"/>
    <w:rsid w:val="00DA4F69"/>
    <w:rsid w:val="00DE5D7A"/>
    <w:rsid w:val="00E004E5"/>
    <w:rsid w:val="00E02C42"/>
    <w:rsid w:val="00E10D4D"/>
    <w:rsid w:val="00E960B7"/>
    <w:rsid w:val="00EC1B46"/>
    <w:rsid w:val="00EC20EB"/>
    <w:rsid w:val="00EC2C5B"/>
    <w:rsid w:val="00EC5EEE"/>
    <w:rsid w:val="00EF7F03"/>
    <w:rsid w:val="00F549B5"/>
    <w:rsid w:val="00F64C6F"/>
    <w:rsid w:val="00F842B0"/>
    <w:rsid w:val="00F94B7A"/>
    <w:rsid w:val="00F95E9C"/>
    <w:rsid w:val="00FB0C8F"/>
    <w:rsid w:val="00FB2104"/>
    <w:rsid w:val="00FC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link w:val="Heading4Char"/>
    <w:semiHidden/>
    <w:unhideWhenUsed/>
    <w:qFormat/>
    <w:rsid w:val="008922B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semiHidden/>
    <w:rPr>
      <w:sz w:val="20"/>
      <w:szCs w:val="20"/>
    </w:rPr>
  </w:style>
  <w:style w:type="character" w:styleId="CommentReference">
    <w:name w:val="annotation reference"/>
    <w:basedOn w:val="DefaultParagraphFont"/>
    <w:semiHidden/>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MainParanoChapter">
    <w:name w:val="Main Para no Chapter #"/>
    <w:basedOn w:val="Normal"/>
    <w:link w:val="MainParanoChapterCharChar"/>
    <w:rsid w:val="008922B2"/>
    <w:pPr>
      <w:spacing w:after="240"/>
      <w:outlineLvl w:val="1"/>
    </w:pPr>
  </w:style>
  <w:style w:type="paragraph" w:customStyle="1" w:styleId="Heading3notbold">
    <w:name w:val="Heading 3 + not bold"/>
    <w:basedOn w:val="Normal"/>
    <w:rsid w:val="008922B2"/>
    <w:pPr>
      <w:keepNext/>
      <w:jc w:val="both"/>
    </w:pPr>
    <w:rPr>
      <w:szCs w:val="20"/>
    </w:rPr>
  </w:style>
  <w:style w:type="character" w:customStyle="1" w:styleId="MainParanoChapterCharChar">
    <w:name w:val="Main Para no Chapter # Char Char"/>
    <w:basedOn w:val="DefaultParagraphFont"/>
    <w:link w:val="MainParanoChapter"/>
    <w:locked/>
    <w:rsid w:val="008922B2"/>
    <w:rPr>
      <w:sz w:val="24"/>
      <w:szCs w:val="24"/>
    </w:rPr>
  </w:style>
  <w:style w:type="character" w:customStyle="1" w:styleId="Heading4Char">
    <w:name w:val="Heading 4 Char"/>
    <w:basedOn w:val="DefaultParagraphFont"/>
    <w:link w:val="Heading4"/>
    <w:semiHidden/>
    <w:rsid w:val="008922B2"/>
    <w:rPr>
      <w:rFonts w:asciiTheme="minorHAnsi" w:eastAsiaTheme="minorEastAsia" w:hAnsiTheme="minorHAnsi" w:cstheme="minorBidi"/>
      <w:b/>
      <w:bCs/>
      <w:sz w:val="28"/>
      <w:szCs w:val="28"/>
    </w:rPr>
  </w:style>
  <w:style w:type="paragraph" w:styleId="FootnoteText">
    <w:name w:val="footnote text"/>
    <w:aliases w:val="single space,footnote text,fn,FOOTNOTES,Geneva 9,Font: Geneva 9,Boston 10,f,Footnote Text Char1,Footnote Text Char2 Char,Footnote Text Char1 Char Char,Footnote Text Char2 Char Char Char,Footnote Text Char1 Char Char Char Char"/>
    <w:basedOn w:val="Normal"/>
    <w:link w:val="FootnoteTextChar"/>
    <w:rsid w:val="008922B2"/>
    <w:rPr>
      <w:sz w:val="20"/>
      <w:szCs w:val="20"/>
    </w:rPr>
  </w:style>
  <w:style w:type="character" w:customStyle="1" w:styleId="FootnoteTextChar">
    <w:name w:val="Footnote Text Char"/>
    <w:aliases w:val="single space Char,footnote text Char,fn Char,FOOTNOTES Char,Geneva 9 Char,Font: Geneva 9 Char,Boston 10 Char,f Char,Footnote Text Char1 Char,Footnote Text Char2 Char Char,Footnote Text Char1 Char Char Char"/>
    <w:basedOn w:val="DefaultParagraphFont"/>
    <w:link w:val="FootnoteText"/>
    <w:rsid w:val="008922B2"/>
  </w:style>
  <w:style w:type="character" w:styleId="FootnoteReference">
    <w:name w:val="footnote reference"/>
    <w:basedOn w:val="DefaultParagraphFont"/>
    <w:rsid w:val="008922B2"/>
    <w:rPr>
      <w:vertAlign w:val="superscript"/>
    </w:rPr>
  </w:style>
  <w:style w:type="paragraph" w:styleId="ListParagraph">
    <w:name w:val="List Paragraph"/>
    <w:basedOn w:val="Normal"/>
    <w:uiPriority w:val="34"/>
    <w:qFormat/>
    <w:rsid w:val="008922B2"/>
    <w:pPr>
      <w:ind w:left="720"/>
      <w:contextualSpacing/>
    </w:pPr>
  </w:style>
  <w:style w:type="character" w:styleId="Hyperlink">
    <w:name w:val="Hyperlink"/>
    <w:basedOn w:val="DefaultParagraphFont"/>
    <w:rsid w:val="00D928E2"/>
    <w:rPr>
      <w:color w:val="0000FF" w:themeColor="hyperlink"/>
      <w:u w:val="single"/>
    </w:rPr>
  </w:style>
  <w:style w:type="paragraph" w:styleId="CommentSubject">
    <w:name w:val="annotation subject"/>
    <w:basedOn w:val="CommentText"/>
    <w:next w:val="CommentText"/>
    <w:link w:val="CommentSubjectChar"/>
    <w:rsid w:val="00F95E9C"/>
    <w:rPr>
      <w:b/>
      <w:bCs/>
    </w:rPr>
  </w:style>
  <w:style w:type="character" w:customStyle="1" w:styleId="CommentTextChar">
    <w:name w:val="Comment Text Char"/>
    <w:basedOn w:val="DefaultParagraphFont"/>
    <w:link w:val="CommentText"/>
    <w:semiHidden/>
    <w:rsid w:val="00F95E9C"/>
  </w:style>
  <w:style w:type="character" w:customStyle="1" w:styleId="CommentSubjectChar">
    <w:name w:val="Comment Subject Char"/>
    <w:basedOn w:val="CommentTextChar"/>
    <w:link w:val="CommentSubject"/>
    <w:rsid w:val="00F95E9C"/>
  </w:style>
  <w:style w:type="paragraph" w:styleId="Revision">
    <w:name w:val="Revision"/>
    <w:hidden/>
    <w:uiPriority w:val="99"/>
    <w:semiHidden/>
    <w:rsid w:val="00054DD2"/>
    <w:rPr>
      <w:sz w:val="24"/>
      <w:szCs w:val="24"/>
    </w:rPr>
  </w:style>
  <w:style w:type="paragraph" w:customStyle="1" w:styleId="paranumb">
    <w:name w:val="paranumb"/>
    <w:basedOn w:val="Normal"/>
    <w:qFormat/>
    <w:rsid w:val="00A625DC"/>
    <w:pPr>
      <w:numPr>
        <w:numId w:val="8"/>
      </w:numPr>
      <w:overflowPunct w:val="0"/>
      <w:autoSpaceDE w:val="0"/>
      <w:autoSpaceDN w:val="0"/>
      <w:adjustRightInd w:val="0"/>
      <w:spacing w:after="240"/>
      <w:jc w:val="both"/>
      <w:textAlignment w:val="baseline"/>
    </w:pPr>
    <w:rPr>
      <w:rFonts w:eastAsia="TimesNewRoman"/>
    </w:rPr>
  </w:style>
  <w:style w:type="character" w:styleId="Strong">
    <w:name w:val="Strong"/>
    <w:basedOn w:val="DefaultParagraphFont"/>
    <w:qFormat/>
    <w:rsid w:val="00CA31E8"/>
    <w:rPr>
      <w:b/>
      <w:bCs/>
    </w:rPr>
  </w:style>
  <w:style w:type="paragraph" w:customStyle="1" w:styleId="InfoSubject">
    <w:name w:val="Info: Subject"/>
    <w:basedOn w:val="Normal"/>
    <w:rsid w:val="00DE5D7A"/>
    <w:pPr>
      <w:tabs>
        <w:tab w:val="right" w:pos="720"/>
        <w:tab w:val="left" w:pos="1080"/>
      </w:tabs>
    </w:pPr>
    <w:rPr>
      <w:b/>
      <w:sz w:val="22"/>
      <w:szCs w:val="20"/>
      <w:u w:val="single"/>
    </w:rPr>
  </w:style>
  <w:style w:type="paragraph" w:styleId="Header">
    <w:name w:val="header"/>
    <w:basedOn w:val="Normal"/>
    <w:link w:val="HeaderChar"/>
    <w:rsid w:val="00E02C42"/>
    <w:pPr>
      <w:tabs>
        <w:tab w:val="center" w:pos="4680"/>
        <w:tab w:val="right" w:pos="9360"/>
      </w:tabs>
    </w:pPr>
  </w:style>
  <w:style w:type="character" w:customStyle="1" w:styleId="HeaderChar">
    <w:name w:val="Header Char"/>
    <w:basedOn w:val="DefaultParagraphFont"/>
    <w:link w:val="Header"/>
    <w:rsid w:val="00E02C42"/>
    <w:rPr>
      <w:sz w:val="24"/>
      <w:szCs w:val="24"/>
    </w:rPr>
  </w:style>
  <w:style w:type="paragraph" w:styleId="Footer">
    <w:name w:val="footer"/>
    <w:basedOn w:val="Normal"/>
    <w:link w:val="FooterChar"/>
    <w:uiPriority w:val="99"/>
    <w:rsid w:val="00E02C42"/>
    <w:pPr>
      <w:tabs>
        <w:tab w:val="center" w:pos="4680"/>
        <w:tab w:val="right" w:pos="9360"/>
      </w:tabs>
    </w:pPr>
  </w:style>
  <w:style w:type="character" w:customStyle="1" w:styleId="FooterChar">
    <w:name w:val="Footer Char"/>
    <w:basedOn w:val="DefaultParagraphFont"/>
    <w:link w:val="Footer"/>
    <w:uiPriority w:val="99"/>
    <w:rsid w:val="00E02C42"/>
    <w:rPr>
      <w:sz w:val="24"/>
      <w:szCs w:val="24"/>
    </w:rPr>
  </w:style>
  <w:style w:type="paragraph" w:customStyle="1" w:styleId="Bullet">
    <w:name w:val="Bullet"/>
    <w:basedOn w:val="Normal"/>
    <w:rsid w:val="00515775"/>
    <w:pPr>
      <w:numPr>
        <w:numId w:val="20"/>
      </w:numPr>
      <w:tabs>
        <w:tab w:val="clear" w:pos="1440"/>
      </w:tabs>
      <w:spacing w:after="240"/>
      <w:ind w:left="1080" w:hanging="360"/>
      <w:jc w:val="both"/>
    </w:pPr>
  </w:style>
  <w:style w:type="paragraph" w:customStyle="1" w:styleId="Bullet2">
    <w:name w:val="Bullet 2"/>
    <w:basedOn w:val="Bullet"/>
    <w:rsid w:val="00515775"/>
    <w:pPr>
      <w:numPr>
        <w:ilvl w:val="1"/>
      </w:numP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link w:val="Heading4Char"/>
    <w:semiHidden/>
    <w:unhideWhenUsed/>
    <w:qFormat/>
    <w:rsid w:val="008922B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semiHidden/>
    <w:rPr>
      <w:sz w:val="20"/>
      <w:szCs w:val="20"/>
    </w:rPr>
  </w:style>
  <w:style w:type="character" w:styleId="CommentReference">
    <w:name w:val="annotation reference"/>
    <w:basedOn w:val="DefaultParagraphFont"/>
    <w:semiHidden/>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MainParanoChapter">
    <w:name w:val="Main Para no Chapter #"/>
    <w:basedOn w:val="Normal"/>
    <w:link w:val="MainParanoChapterCharChar"/>
    <w:rsid w:val="008922B2"/>
    <w:pPr>
      <w:spacing w:after="240"/>
      <w:outlineLvl w:val="1"/>
    </w:pPr>
  </w:style>
  <w:style w:type="paragraph" w:customStyle="1" w:styleId="Heading3notbold">
    <w:name w:val="Heading 3 + not bold"/>
    <w:basedOn w:val="Normal"/>
    <w:rsid w:val="008922B2"/>
    <w:pPr>
      <w:keepNext/>
      <w:jc w:val="both"/>
    </w:pPr>
    <w:rPr>
      <w:szCs w:val="20"/>
    </w:rPr>
  </w:style>
  <w:style w:type="character" w:customStyle="1" w:styleId="MainParanoChapterCharChar">
    <w:name w:val="Main Para no Chapter # Char Char"/>
    <w:basedOn w:val="DefaultParagraphFont"/>
    <w:link w:val="MainParanoChapter"/>
    <w:locked/>
    <w:rsid w:val="008922B2"/>
    <w:rPr>
      <w:sz w:val="24"/>
      <w:szCs w:val="24"/>
    </w:rPr>
  </w:style>
  <w:style w:type="character" w:customStyle="1" w:styleId="Heading4Char">
    <w:name w:val="Heading 4 Char"/>
    <w:basedOn w:val="DefaultParagraphFont"/>
    <w:link w:val="Heading4"/>
    <w:semiHidden/>
    <w:rsid w:val="008922B2"/>
    <w:rPr>
      <w:rFonts w:asciiTheme="minorHAnsi" w:eastAsiaTheme="minorEastAsia" w:hAnsiTheme="minorHAnsi" w:cstheme="minorBidi"/>
      <w:b/>
      <w:bCs/>
      <w:sz w:val="28"/>
      <w:szCs w:val="28"/>
    </w:rPr>
  </w:style>
  <w:style w:type="paragraph" w:styleId="FootnoteText">
    <w:name w:val="footnote text"/>
    <w:aliases w:val="single space,footnote text,fn,FOOTNOTES,Geneva 9,Font: Geneva 9,Boston 10,f,Footnote Text Char1,Footnote Text Char2 Char,Footnote Text Char1 Char Char,Footnote Text Char2 Char Char Char,Footnote Text Char1 Char Char Char Char"/>
    <w:basedOn w:val="Normal"/>
    <w:link w:val="FootnoteTextChar"/>
    <w:rsid w:val="008922B2"/>
    <w:rPr>
      <w:sz w:val="20"/>
      <w:szCs w:val="20"/>
    </w:rPr>
  </w:style>
  <w:style w:type="character" w:customStyle="1" w:styleId="FootnoteTextChar">
    <w:name w:val="Footnote Text Char"/>
    <w:aliases w:val="single space Char,footnote text Char,fn Char,FOOTNOTES Char,Geneva 9 Char,Font: Geneva 9 Char,Boston 10 Char,f Char,Footnote Text Char1 Char,Footnote Text Char2 Char Char,Footnote Text Char1 Char Char Char"/>
    <w:basedOn w:val="DefaultParagraphFont"/>
    <w:link w:val="FootnoteText"/>
    <w:rsid w:val="008922B2"/>
  </w:style>
  <w:style w:type="character" w:styleId="FootnoteReference">
    <w:name w:val="footnote reference"/>
    <w:basedOn w:val="DefaultParagraphFont"/>
    <w:rsid w:val="008922B2"/>
    <w:rPr>
      <w:vertAlign w:val="superscript"/>
    </w:rPr>
  </w:style>
  <w:style w:type="paragraph" w:styleId="ListParagraph">
    <w:name w:val="List Paragraph"/>
    <w:basedOn w:val="Normal"/>
    <w:uiPriority w:val="34"/>
    <w:qFormat/>
    <w:rsid w:val="008922B2"/>
    <w:pPr>
      <w:ind w:left="720"/>
      <w:contextualSpacing/>
    </w:pPr>
  </w:style>
  <w:style w:type="character" w:styleId="Hyperlink">
    <w:name w:val="Hyperlink"/>
    <w:basedOn w:val="DefaultParagraphFont"/>
    <w:rsid w:val="00D928E2"/>
    <w:rPr>
      <w:color w:val="0000FF" w:themeColor="hyperlink"/>
      <w:u w:val="single"/>
    </w:rPr>
  </w:style>
  <w:style w:type="paragraph" w:styleId="CommentSubject">
    <w:name w:val="annotation subject"/>
    <w:basedOn w:val="CommentText"/>
    <w:next w:val="CommentText"/>
    <w:link w:val="CommentSubjectChar"/>
    <w:rsid w:val="00F95E9C"/>
    <w:rPr>
      <w:b/>
      <w:bCs/>
    </w:rPr>
  </w:style>
  <w:style w:type="character" w:customStyle="1" w:styleId="CommentTextChar">
    <w:name w:val="Comment Text Char"/>
    <w:basedOn w:val="DefaultParagraphFont"/>
    <w:link w:val="CommentText"/>
    <w:semiHidden/>
    <w:rsid w:val="00F95E9C"/>
  </w:style>
  <w:style w:type="character" w:customStyle="1" w:styleId="CommentSubjectChar">
    <w:name w:val="Comment Subject Char"/>
    <w:basedOn w:val="CommentTextChar"/>
    <w:link w:val="CommentSubject"/>
    <w:rsid w:val="00F95E9C"/>
  </w:style>
  <w:style w:type="paragraph" w:styleId="Revision">
    <w:name w:val="Revision"/>
    <w:hidden/>
    <w:uiPriority w:val="99"/>
    <w:semiHidden/>
    <w:rsid w:val="00054DD2"/>
    <w:rPr>
      <w:sz w:val="24"/>
      <w:szCs w:val="24"/>
    </w:rPr>
  </w:style>
  <w:style w:type="paragraph" w:customStyle="1" w:styleId="paranumb">
    <w:name w:val="paranumb"/>
    <w:basedOn w:val="Normal"/>
    <w:qFormat/>
    <w:rsid w:val="00A625DC"/>
    <w:pPr>
      <w:numPr>
        <w:numId w:val="8"/>
      </w:numPr>
      <w:overflowPunct w:val="0"/>
      <w:autoSpaceDE w:val="0"/>
      <w:autoSpaceDN w:val="0"/>
      <w:adjustRightInd w:val="0"/>
      <w:spacing w:after="240"/>
      <w:jc w:val="both"/>
      <w:textAlignment w:val="baseline"/>
    </w:pPr>
    <w:rPr>
      <w:rFonts w:eastAsia="TimesNewRoman"/>
    </w:rPr>
  </w:style>
  <w:style w:type="character" w:styleId="Strong">
    <w:name w:val="Strong"/>
    <w:basedOn w:val="DefaultParagraphFont"/>
    <w:qFormat/>
    <w:rsid w:val="00CA31E8"/>
    <w:rPr>
      <w:b/>
      <w:bCs/>
    </w:rPr>
  </w:style>
  <w:style w:type="paragraph" w:customStyle="1" w:styleId="InfoSubject">
    <w:name w:val="Info: Subject"/>
    <w:basedOn w:val="Normal"/>
    <w:rsid w:val="00DE5D7A"/>
    <w:pPr>
      <w:tabs>
        <w:tab w:val="right" w:pos="720"/>
        <w:tab w:val="left" w:pos="1080"/>
      </w:tabs>
    </w:pPr>
    <w:rPr>
      <w:b/>
      <w:sz w:val="22"/>
      <w:szCs w:val="20"/>
      <w:u w:val="single"/>
    </w:rPr>
  </w:style>
  <w:style w:type="paragraph" w:styleId="Header">
    <w:name w:val="header"/>
    <w:basedOn w:val="Normal"/>
    <w:link w:val="HeaderChar"/>
    <w:rsid w:val="00E02C42"/>
    <w:pPr>
      <w:tabs>
        <w:tab w:val="center" w:pos="4680"/>
        <w:tab w:val="right" w:pos="9360"/>
      </w:tabs>
    </w:pPr>
  </w:style>
  <w:style w:type="character" w:customStyle="1" w:styleId="HeaderChar">
    <w:name w:val="Header Char"/>
    <w:basedOn w:val="DefaultParagraphFont"/>
    <w:link w:val="Header"/>
    <w:rsid w:val="00E02C42"/>
    <w:rPr>
      <w:sz w:val="24"/>
      <w:szCs w:val="24"/>
    </w:rPr>
  </w:style>
  <w:style w:type="paragraph" w:styleId="Footer">
    <w:name w:val="footer"/>
    <w:basedOn w:val="Normal"/>
    <w:link w:val="FooterChar"/>
    <w:uiPriority w:val="99"/>
    <w:rsid w:val="00E02C42"/>
    <w:pPr>
      <w:tabs>
        <w:tab w:val="center" w:pos="4680"/>
        <w:tab w:val="right" w:pos="9360"/>
      </w:tabs>
    </w:pPr>
  </w:style>
  <w:style w:type="character" w:customStyle="1" w:styleId="FooterChar">
    <w:name w:val="Footer Char"/>
    <w:basedOn w:val="DefaultParagraphFont"/>
    <w:link w:val="Footer"/>
    <w:uiPriority w:val="99"/>
    <w:rsid w:val="00E02C42"/>
    <w:rPr>
      <w:sz w:val="24"/>
      <w:szCs w:val="24"/>
    </w:rPr>
  </w:style>
  <w:style w:type="paragraph" w:customStyle="1" w:styleId="Bullet">
    <w:name w:val="Bullet"/>
    <w:basedOn w:val="Normal"/>
    <w:rsid w:val="00515775"/>
    <w:pPr>
      <w:numPr>
        <w:numId w:val="20"/>
      </w:numPr>
      <w:tabs>
        <w:tab w:val="clear" w:pos="1440"/>
      </w:tabs>
      <w:spacing w:after="240"/>
      <w:ind w:left="1080" w:hanging="360"/>
      <w:jc w:val="both"/>
    </w:pPr>
  </w:style>
  <w:style w:type="paragraph" w:customStyle="1" w:styleId="Bullet2">
    <w:name w:val="Bullet 2"/>
    <w:basedOn w:val="Bullet"/>
    <w:rsid w:val="00515775"/>
    <w:pPr>
      <w:numPr>
        <w:ilvl w:val="1"/>
      </w:numP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ln0011.worldbank.org/Institutional/Manuals/OpManual.nsf/BProw/62B0042EF3FBA64D8525672C007D0773?OpenDocument" TargetMode="External"/><Relationship Id="rId18" Type="http://schemas.openxmlformats.org/officeDocument/2006/relationships/hyperlink" Target="http://wbln0011.worldbank.org/Institutional/Manuals/OpManual.nsf/GPraw/97FA41A3D754DE318525672C007D07EB?Open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bln0011.worldbank.org/Institutional/Manuals/OpManual.nsf/OPolw/72CC6840FC533D508525672C007D076B?OpenDocument" TargetMode="External"/><Relationship Id="rId7" Type="http://schemas.openxmlformats.org/officeDocument/2006/relationships/footnotes" Target="footnotes.xml"/><Relationship Id="rId12" Type="http://schemas.openxmlformats.org/officeDocument/2006/relationships/hyperlink" Target="http://wbln0011.worldbank.org/Institutional/Manuals/OpManual.nsf/OPolw/71432937FA0B753F8525672C007D07AA?OpenDocument" TargetMode="External"/><Relationship Id="rId17" Type="http://schemas.openxmlformats.org/officeDocument/2006/relationships/hyperlink" Target="http://wbln0011.worldbank.org/Institutional/Manuals/OpManual.nsf/OPolw/C972D5438F4D1FB78525672C007D077A?OpenDocu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bln0011.worldbank.org/Institutional/Manuals/OpManual.nsf/bytype/383197ED73D421A385256B180072D46D?OpenDocument" TargetMode="External"/><Relationship Id="rId20" Type="http://schemas.openxmlformats.org/officeDocument/2006/relationships/hyperlink" Target="http://wbln0011.worldbank.org/Institutional/Manuals/OpManual.nsf/BProw/D3448207C94C92628525672C007D0733?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ln0011.worldbank.org/Institutional/Manuals/OpManual.nsf/BProw/C4241D657823FD818525672C007D096E?OpenDocument" TargetMode="External"/><Relationship Id="rId24" Type="http://schemas.openxmlformats.org/officeDocument/2006/relationships/hyperlink" Target="http://wbln0011.worldbank.org/Institutional/Manuals/OpManual.nsf/BProw/47D35C1186367F338525672C007D07AE?OpenDocument" TargetMode="External"/><Relationship Id="rId5" Type="http://schemas.openxmlformats.org/officeDocument/2006/relationships/settings" Target="settings.xml"/><Relationship Id="rId15" Type="http://schemas.openxmlformats.org/officeDocument/2006/relationships/hyperlink" Target="http://wbln0011.worldbank.org/Institutional/Manuals/OpManual.nsf/bytype/AA37778A8BCF64A585256B1800645AC5?OpenDocument" TargetMode="External"/><Relationship Id="rId23" Type="http://schemas.openxmlformats.org/officeDocument/2006/relationships/hyperlink" Target="http://wbln0011.worldbank.org/Institutional/Manuals/OpManual.nsf/OPolw/5F511C57E7F3A3DD8525672C007D07A2?OpenDocument" TargetMode="External"/><Relationship Id="rId10" Type="http://schemas.openxmlformats.org/officeDocument/2006/relationships/hyperlink" Target="http://wbln0011.worldbank.org/Institutional/Manuals/OpManual.nsf/OPolw/9367A2A9D9DAEED38525672C007D0972?OpenDocument" TargetMode="External"/><Relationship Id="rId19" Type="http://schemas.openxmlformats.org/officeDocument/2006/relationships/hyperlink" Target="http://wbln0011.worldbank.org/Institutional/Manuals/OpManual.nsf/OPolw/C12766B6C9D109548525672C007D07B9?OpenDocument" TargetMode="External"/><Relationship Id="rId4" Type="http://schemas.microsoft.com/office/2007/relationships/stylesWithEffects" Target="stylesWithEffects.xml"/><Relationship Id="rId9" Type="http://schemas.openxmlformats.org/officeDocument/2006/relationships/hyperlink" Target="http://www.worldbank.org/environmentalassessment" TargetMode="External"/><Relationship Id="rId14" Type="http://schemas.openxmlformats.org/officeDocument/2006/relationships/hyperlink" Target="http://wbln0011.worldbank.org/Institutional/Manuals/OpManual.nsf/OPolw/665DA6CA847982168525672C007D07A3?OpenDocument" TargetMode="External"/><Relationship Id="rId22" Type="http://schemas.openxmlformats.org/officeDocument/2006/relationships/hyperlink" Target="http://wbln0011.worldbank.org/Institutional/Manuals/OpManual.nsf/BProw/5DB8B30312AD33108525672C007D0788?OpenDocu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F45B-301F-4771-A7A1-6E0E39E6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2620</Words>
  <Characters>16750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Daniel R. Atchison</cp:lastModifiedBy>
  <cp:revision>9</cp:revision>
  <cp:lastPrinted>2013-02-04T16:42:00Z</cp:lastPrinted>
  <dcterms:created xsi:type="dcterms:W3CDTF">2013-02-14T20:49:00Z</dcterms:created>
  <dcterms:modified xsi:type="dcterms:W3CDTF">2013-02-16T16:03:00Z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AB7127</vt:lpwstr>
  </property>
  <property fmtid="{D5CDD505-2E9C-101B-9397-08002B2CF9AE}" pid="3" name="TEAMLEADER">
    <vt:lpwstr>Aguiratou Savadogo-Tinto</vt:lpwstr>
  </property>
</Properties>
</file>