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F8" w:rsidRDefault="00E061F8">
      <w:pPr>
        <w:rPr>
          <w:rFonts w:ascii="Times New Roman" w:hAnsi="Times New Roman" w:cs="Times New Roman"/>
          <w:color w:val="auto"/>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281"/>
        <w:gridCol w:w="2060"/>
        <w:gridCol w:w="281"/>
        <w:gridCol w:w="187"/>
        <w:gridCol w:w="749"/>
        <w:gridCol w:w="936"/>
        <w:gridCol w:w="468"/>
        <w:gridCol w:w="1872"/>
        <w:gridCol w:w="2220"/>
        <w:gridCol w:w="120"/>
      </w:tblGrid>
      <w:tr w:rsidR="00E061F8"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pPr>
              <w:jc w:val="center"/>
              <w:rPr>
                <w:rFonts w:ascii="Times New Roman" w:eastAsiaTheme="minorEastAsia" w:hAnsi="Times New Roman" w:cs="Times New Roman"/>
              </w:rPr>
            </w:pPr>
            <w:r w:rsidRPr="00F336EC">
              <w:rPr>
                <w:rFonts w:ascii="Times New Roman" w:eastAsiaTheme="minorEastAsia" w:hAnsi="Times New Roman" w:cs="Times New Roman"/>
                <w:b/>
                <w:bCs/>
              </w:rPr>
              <w:t>INTEGRATED SAFEGUARDS DATA SHEET</w:t>
            </w:r>
          </w:p>
        </w:tc>
      </w:tr>
      <w:tr w:rsidR="00E061F8"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pPr>
              <w:jc w:val="center"/>
              <w:rPr>
                <w:rFonts w:ascii="Times New Roman" w:eastAsiaTheme="minorEastAsia" w:hAnsi="Times New Roman" w:cs="Times New Roman"/>
              </w:rPr>
            </w:pPr>
            <w:r w:rsidRPr="00F336EC">
              <w:rPr>
                <w:rFonts w:ascii="Times New Roman" w:eastAsiaTheme="minorEastAsia" w:hAnsi="Times New Roman" w:cs="Times New Roman"/>
                <w:b/>
                <w:bCs/>
              </w:rPr>
              <w:t>CONCEPT STAGE</w:t>
            </w:r>
          </w:p>
        </w:tc>
      </w:tr>
      <w:tr w:rsidR="00E061F8"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pPr>
              <w:rPr>
                <w:rFonts w:ascii="Times" w:eastAsiaTheme="minorEastAsia" w:hAnsi="Times" w:cs="Times"/>
                <w:color w:val="FFFFFF"/>
                <w:sz w:val="2"/>
                <w:szCs w:val="2"/>
              </w:rPr>
            </w:pPr>
            <w:r w:rsidRPr="00F336EC">
              <w:rPr>
                <w:rFonts w:ascii="Times" w:eastAsiaTheme="minorEastAsia" w:hAnsi="Times" w:cs="Times"/>
                <w:color w:val="FFFFFF"/>
                <w:sz w:val="2"/>
                <w:szCs w:val="2"/>
              </w:rPr>
              <w:t>.</w:t>
            </w:r>
          </w:p>
        </w:tc>
      </w:tr>
      <w:tr w:rsidR="00E061F8" w:rsidRPr="00F336EC" w:rsidTr="008621CB">
        <w:tc>
          <w:tcPr>
            <w:tcW w:w="9242" w:type="dxa"/>
            <w:gridSpan w:val="10"/>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pPr>
              <w:jc w:val="right"/>
              <w:rPr>
                <w:rFonts w:ascii="Times New Roman" w:eastAsiaTheme="minorEastAsia" w:hAnsi="Times New Roman" w:cs="Times New Roman"/>
              </w:rPr>
            </w:pPr>
            <w:r w:rsidRPr="00F336EC">
              <w:rPr>
                <w:rFonts w:ascii="Times New Roman" w:eastAsiaTheme="minorEastAsia" w:hAnsi="Times New Roman" w:cs="Times New Roman"/>
              </w:rPr>
              <w:t>Report No.:</w:t>
            </w:r>
            <w:r w:rsidR="008621CB">
              <w:rPr>
                <w:rFonts w:ascii="Times New Roman" w:eastAsiaTheme="minorEastAsia" w:hAnsi="Times New Roman" w:cs="Times New Roman"/>
              </w:rPr>
              <w:t xml:space="preserve"> </w:t>
            </w:r>
            <w:r w:rsidR="008621CB">
              <w:rPr>
                <w:rFonts w:ascii="Times New Roman" w:eastAsiaTheme="minorEastAsia" w:hAnsi="Times New Roman" w:cs="Times New Roman"/>
              </w:rPr>
              <w:t>88048</w:t>
            </w:r>
          </w:p>
        </w:tc>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rsidP="00E061F8">
            <w:pPr>
              <w:rPr>
                <w:rFonts w:ascii="Times New Roman" w:eastAsiaTheme="minorEastAsia" w:hAnsi="Times New Roman" w:cs="Times New Roman"/>
              </w:rPr>
            </w:pPr>
          </w:p>
        </w:tc>
      </w:tr>
      <w:tr w:rsidR="00E061F8" w:rsidRPr="00F336EC" w:rsidTr="005067C5">
        <w:tc>
          <w:tcPr>
            <w:tcW w:w="2529" w:type="dxa"/>
            <w:gridSpan w:val="3"/>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Date ISDS Prepared/Updated:</w:t>
            </w:r>
            <w:r w:rsidR="002E1C0F">
              <w:rPr>
                <w:rFonts w:ascii="Times New Roman" w:eastAsiaTheme="minorEastAsia" w:hAnsi="Times New Roman" w:cs="Times New Roman"/>
                <w:b/>
                <w:bCs/>
                <w:sz w:val="22"/>
                <w:szCs w:val="22"/>
              </w:rPr>
              <w:t xml:space="preserve"> 09/17/2013</w:t>
            </w:r>
          </w:p>
        </w:tc>
        <w:tc>
          <w:tcPr>
            <w:tcW w:w="6833" w:type="dxa"/>
            <w:gridSpan w:val="8"/>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pPr>
              <w:rPr>
                <w:rFonts w:ascii="Times New Roman" w:eastAsiaTheme="minorEastAsia" w:hAnsi="Times New Roman" w:cs="Times New Roman"/>
                <w:sz w:val="22"/>
                <w:szCs w:val="22"/>
              </w:rPr>
            </w:pPr>
            <w:bookmarkStart w:id="0" w:name="_GoBack"/>
            <w:bookmarkEnd w:id="0"/>
          </w:p>
        </w:tc>
      </w:tr>
      <w:tr w:rsidR="00E061F8"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pPr>
              <w:rPr>
                <w:rFonts w:ascii="Times New Roman" w:eastAsiaTheme="minorEastAsia" w:hAnsi="Times New Roman" w:cs="Times New Roman"/>
              </w:rPr>
            </w:pPr>
            <w:r w:rsidRPr="00F336EC">
              <w:rPr>
                <w:rFonts w:ascii="Times New Roman" w:eastAsiaTheme="minorEastAsia" w:hAnsi="Times New Roman" w:cs="Times New Roman"/>
                <w:b/>
                <w:bCs/>
              </w:rPr>
              <w:t>I. BASIC INFORMATION</w:t>
            </w:r>
          </w:p>
        </w:tc>
      </w:tr>
      <w:tr w:rsidR="00E061F8"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E061F8" w:rsidRPr="00F336EC" w:rsidRDefault="00E061F8">
            <w:pPr>
              <w:rPr>
                <w:rFonts w:ascii="Times New Roman" w:eastAsiaTheme="minorEastAsia" w:hAnsi="Times New Roman" w:cs="Times New Roman"/>
              </w:rPr>
            </w:pPr>
            <w:r w:rsidRPr="00F336EC">
              <w:rPr>
                <w:rFonts w:ascii="Times New Roman" w:eastAsiaTheme="minorEastAsia" w:hAnsi="Times New Roman" w:cs="Times New Roman"/>
                <w:b/>
                <w:bCs/>
              </w:rPr>
              <w:t>A. Basic Project Data</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Country:</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Ukraine</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Project ID: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rsidP="005F048E">
            <w:pPr>
              <w:rPr>
                <w:rFonts w:ascii="Times New Roman" w:eastAsiaTheme="minorEastAsia" w:hAnsi="Times New Roman" w:cs="Times New Roman"/>
                <w:sz w:val="20"/>
                <w:szCs w:val="20"/>
              </w:rPr>
            </w:pPr>
            <w:r w:rsidRPr="00F336EC">
              <w:rPr>
                <w:rFonts w:ascii="Times New Roman" w:eastAsiaTheme="minorEastAsia" w:hAnsi="Times New Roman" w:cs="Times New Roman"/>
                <w:sz w:val="20"/>
                <w:szCs w:val="20"/>
              </w:rPr>
              <w:t>P</w:t>
            </w:r>
            <w:r w:rsidR="00197C0F">
              <w:rPr>
                <w:rFonts w:ascii="Times New Roman" w:eastAsiaTheme="minorEastAsia" w:hAnsi="Times New Roman" w:cs="Times New Roman"/>
                <w:sz w:val="20"/>
                <w:szCs w:val="20"/>
              </w:rPr>
              <w:t>1</w:t>
            </w:r>
            <w:r w:rsidR="00E27AFB">
              <w:rPr>
                <w:rFonts w:ascii="Times New Roman" w:eastAsiaTheme="minorEastAsia" w:hAnsi="Times New Roman" w:cs="Times New Roman"/>
                <w:sz w:val="20"/>
                <w:szCs w:val="20"/>
              </w:rPr>
              <w:t>4</w:t>
            </w:r>
            <w:r w:rsidR="00197C0F">
              <w:rPr>
                <w:rFonts w:ascii="Times New Roman" w:eastAsiaTheme="minorEastAsia" w:hAnsi="Times New Roman" w:cs="Times New Roman"/>
                <w:sz w:val="20"/>
                <w:szCs w:val="20"/>
              </w:rPr>
              <w:t>76</w:t>
            </w:r>
            <w:r w:rsidR="005F048E">
              <w:rPr>
                <w:rFonts w:ascii="Times New Roman" w:eastAsiaTheme="minorEastAsia" w:hAnsi="Times New Roman" w:cs="Times New Roman"/>
                <w:sz w:val="20"/>
                <w:szCs w:val="20"/>
              </w:rPr>
              <w:t>5</w:t>
            </w:r>
            <w:r w:rsidR="00197C0F">
              <w:rPr>
                <w:rFonts w:ascii="Times New Roman" w:eastAsiaTheme="minorEastAsia" w:hAnsi="Times New Roman" w:cs="Times New Roman"/>
                <w:sz w:val="20"/>
                <w:szCs w:val="20"/>
              </w:rPr>
              <w:t>1</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Project Name:</w:t>
            </w:r>
          </w:p>
        </w:tc>
        <w:tc>
          <w:tcPr>
            <w:tcW w:w="655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197C0F" w:rsidP="00197C0F">
            <w:pPr>
              <w:jc w:val="both"/>
              <w:rPr>
                <w:rFonts w:ascii="Times New Roman" w:eastAsiaTheme="minorEastAsia" w:hAnsi="Times New Roman" w:cs="Times New Roman"/>
                <w:sz w:val="22"/>
                <w:szCs w:val="22"/>
              </w:rPr>
            </w:pPr>
            <w:r w:rsidRPr="00197C0F">
              <w:rPr>
                <w:rFonts w:ascii="Times New Roman" w:hAnsi="Times New Roman" w:cs="Times New Roman"/>
                <w:sz w:val="22"/>
                <w:szCs w:val="22"/>
              </w:rPr>
              <w:t>Assistance to the National Commission for Regulation of Communal Services: District Heating Regulatory Reform Support Program</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Task Team Leader:</w:t>
            </w:r>
          </w:p>
        </w:tc>
        <w:tc>
          <w:tcPr>
            <w:tcW w:w="655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roofErr w:type="spellStart"/>
            <w:r w:rsidRPr="00F336EC">
              <w:rPr>
                <w:rFonts w:ascii="Times New Roman" w:eastAsiaTheme="minorEastAsia" w:hAnsi="Times New Roman" w:cs="Times New Roman"/>
                <w:sz w:val="22"/>
                <w:szCs w:val="22"/>
              </w:rPr>
              <w:t>Yadviga</w:t>
            </w:r>
            <w:proofErr w:type="spellEnd"/>
            <w:r w:rsidRPr="00F336EC">
              <w:rPr>
                <w:rFonts w:ascii="Times New Roman" w:eastAsiaTheme="minorEastAsia" w:hAnsi="Times New Roman" w:cs="Times New Roman"/>
                <w:sz w:val="22"/>
                <w:szCs w:val="22"/>
              </w:rPr>
              <w:t xml:space="preserve"> </w:t>
            </w:r>
            <w:proofErr w:type="spellStart"/>
            <w:r w:rsidRPr="00F336EC">
              <w:rPr>
                <w:rFonts w:ascii="Times New Roman" w:eastAsiaTheme="minorEastAsia" w:hAnsi="Times New Roman" w:cs="Times New Roman"/>
                <w:sz w:val="22"/>
                <w:szCs w:val="22"/>
              </w:rPr>
              <w:t>Semikolenova</w:t>
            </w:r>
            <w:proofErr w:type="spellEnd"/>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Estimated Appraisal Date:</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197C0F">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October</w:t>
            </w:r>
            <w:r w:rsidR="00F336EC" w:rsidRPr="00F336EC">
              <w:rPr>
                <w:rFonts w:ascii="Times New Roman" w:eastAsiaTheme="minorEastAsia" w:hAnsi="Times New Roman" w:cs="Times New Roman"/>
                <w:sz w:val="22"/>
                <w:szCs w:val="22"/>
              </w:rPr>
              <w:t xml:space="preserve"> 2013</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Estimated Board Date:</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Managing Unit: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D9242D">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ECSSD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Lending Instrument:</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Sector:</w:t>
            </w:r>
          </w:p>
        </w:tc>
        <w:tc>
          <w:tcPr>
            <w:tcW w:w="655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724E3C">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Energy</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Theme:</w:t>
            </w:r>
          </w:p>
        </w:tc>
        <w:tc>
          <w:tcPr>
            <w:tcW w:w="655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724E3C">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Energy efficiency, district heating</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Financing (in USD Million)</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6834"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 xml:space="preserve">    Financing Source</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jc w:val="right"/>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Amount</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6834"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 xml:space="preserve">    Borrower</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jc w:val="right"/>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6834"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rsidP="00197C0F">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 xml:space="preserve">    </w:t>
            </w:r>
            <w:r w:rsidR="00197C0F">
              <w:rPr>
                <w:rFonts w:ascii="Times New Roman" w:eastAsiaTheme="minorEastAsia" w:hAnsi="Times New Roman" w:cs="Times New Roman"/>
                <w:sz w:val="22"/>
                <w:szCs w:val="22"/>
              </w:rPr>
              <w:t>SIDA Trust Fund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197C0F" w:rsidRDefault="00197C0F">
            <w:pPr>
              <w:jc w:val="right"/>
              <w:rPr>
                <w:rFonts w:ascii="Times New Roman" w:eastAsiaTheme="minorEastAsia" w:hAnsi="Times New Roman" w:cs="Times New Roman"/>
                <w:sz w:val="22"/>
                <w:szCs w:val="22"/>
              </w:rPr>
            </w:pPr>
            <w:r w:rsidRPr="00197C0F">
              <w:rPr>
                <w:rFonts w:ascii="Times New Roman" w:eastAsiaTheme="minorEastAsia" w:hAnsi="Times New Roman" w:cs="Times New Roman"/>
                <w:sz w:val="22"/>
                <w:szCs w:val="22"/>
              </w:rPr>
              <w:t xml:space="preserve">EURO 1,638,600 </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6834"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 xml:space="preserve">    Total</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197C0F">
            <w:pPr>
              <w:jc w:val="right"/>
              <w:rPr>
                <w:rFonts w:ascii="Times New Roman" w:eastAsiaTheme="minorEastAsia" w:hAnsi="Times New Roman" w:cs="Times New Roman"/>
                <w:sz w:val="22"/>
                <w:szCs w:val="22"/>
              </w:rPr>
            </w:pPr>
            <w:r w:rsidRPr="00197C0F">
              <w:rPr>
                <w:rFonts w:ascii="Times New Roman" w:eastAsiaTheme="minorEastAsia" w:hAnsi="Times New Roman" w:cs="Times New Roman"/>
                <w:sz w:val="22"/>
                <w:szCs w:val="22"/>
              </w:rPr>
              <w:t>EURO 1,638,600</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Environmental Category</w:t>
            </w:r>
          </w:p>
        </w:tc>
        <w:tc>
          <w:tcPr>
            <w:tcW w:w="655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197C0F">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C</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Is this a Repeater project?</w:t>
            </w:r>
          </w:p>
        </w:tc>
        <w:tc>
          <w:tcPr>
            <w:tcW w:w="655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661D4E" w:rsidP="00E061F8">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No</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4"/>
                <w:szCs w:val="4"/>
              </w:rPr>
            </w:pPr>
            <w:r w:rsidRPr="00F336EC">
              <w:rPr>
                <w:rFonts w:ascii="Times" w:eastAsiaTheme="minorEastAsia" w:hAnsi="Times" w:cs="Times"/>
                <w:color w:val="FFFFFF"/>
                <w:sz w:val="4"/>
                <w:szCs w:val="4"/>
              </w:rPr>
              <w:t>.</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rPr>
            </w:pPr>
            <w:r w:rsidRPr="00F336EC">
              <w:rPr>
                <w:rFonts w:ascii="Times New Roman" w:eastAsiaTheme="minorEastAsia" w:hAnsi="Times New Roman" w:cs="Times New Roman"/>
                <w:b/>
                <w:bCs/>
              </w:rPr>
              <w:t>B. Project Objectives</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2A5A52" w:rsidRDefault="002A5A52" w:rsidP="002A5A52">
            <w:pPr>
              <w:jc w:val="both"/>
              <w:rPr>
                <w:rFonts w:ascii="Times New Roman" w:eastAsiaTheme="minorEastAsia" w:hAnsi="Times New Roman" w:cs="Times New Roman"/>
                <w:sz w:val="22"/>
                <w:szCs w:val="22"/>
              </w:rPr>
            </w:pPr>
            <w:r w:rsidRPr="002A5A52">
              <w:rPr>
                <w:rFonts w:ascii="Times New Roman" w:hAnsi="Times New Roman" w:cs="Times New Roman"/>
                <w:sz w:val="22"/>
                <w:szCs w:val="22"/>
              </w:rPr>
              <w:t>The objective of the activity is to assist the Ukrainian Utilities Regulator with transitioning from “cost plus” to “incentive-based” district heating regulation.</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4"/>
                <w:szCs w:val="4"/>
              </w:rPr>
            </w:pPr>
            <w:r w:rsidRPr="00F336EC">
              <w:rPr>
                <w:rFonts w:ascii="Times" w:eastAsiaTheme="minorEastAsia" w:hAnsi="Times" w:cs="Times"/>
                <w:color w:val="FFFFFF"/>
                <w:sz w:val="4"/>
                <w:szCs w:val="4"/>
              </w:rPr>
              <w:t>.</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rPr>
            </w:pPr>
            <w:r w:rsidRPr="00F336EC">
              <w:rPr>
                <w:rFonts w:ascii="Times New Roman" w:eastAsiaTheme="minorEastAsia" w:hAnsi="Times New Roman" w:cs="Times New Roman"/>
                <w:b/>
                <w:bCs/>
              </w:rPr>
              <w:t>C. Project Description</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rsidP="00BF3435">
            <w:pPr>
              <w:jc w:val="both"/>
              <w:rPr>
                <w:rFonts w:ascii="Times New Roman" w:eastAsiaTheme="minorEastAsia" w:hAnsi="Times New Roman"/>
                <w:sz w:val="22"/>
                <w:szCs w:val="22"/>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2A5A52" w:rsidRPr="002A5A52" w:rsidRDefault="002A5A52" w:rsidP="002A5A52">
            <w:pPr>
              <w:pStyle w:val="ListParagraph"/>
              <w:ind w:left="0"/>
              <w:jc w:val="both"/>
              <w:rPr>
                <w:rFonts w:ascii="Times New Roman" w:hAnsi="Times New Roman" w:cs="Times New Roman"/>
                <w:sz w:val="22"/>
                <w:szCs w:val="22"/>
              </w:rPr>
            </w:pPr>
            <w:r w:rsidRPr="002A5A52">
              <w:rPr>
                <w:rFonts w:ascii="Times New Roman" w:hAnsi="Times New Roman" w:cs="Times New Roman"/>
                <w:color w:val="auto"/>
                <w:sz w:val="22"/>
                <w:szCs w:val="22"/>
              </w:rPr>
              <w:t xml:space="preserve">The proposed activity would be implemented over two years, through a recipient-executed trust fund, financed by the Swedish International Development Cooperation Agency (SIDA), to the Government of Ukraine, in the total amount of EURO </w:t>
            </w:r>
            <w:r w:rsidRPr="002A5A52">
              <w:rPr>
                <w:rFonts w:ascii="Times New Roman" w:eastAsiaTheme="minorEastAsia" w:hAnsi="Times New Roman" w:cs="Times New Roman"/>
                <w:sz w:val="22"/>
                <w:szCs w:val="22"/>
              </w:rPr>
              <w:t>1,638,600</w:t>
            </w:r>
            <w:r w:rsidRPr="002A5A52">
              <w:rPr>
                <w:rFonts w:ascii="Times New Roman" w:hAnsi="Times New Roman" w:cs="Times New Roman"/>
                <w:color w:val="auto"/>
                <w:sz w:val="22"/>
                <w:szCs w:val="22"/>
              </w:rPr>
              <w:t xml:space="preserve">. The implementing agency of the activity will be the National Commission for Regulation of Communal Services (Utilities Regulator). </w:t>
            </w:r>
          </w:p>
          <w:p w:rsidR="002A5A52" w:rsidRPr="002A5A52" w:rsidRDefault="002A5A52" w:rsidP="002A5A52">
            <w:pPr>
              <w:pStyle w:val="ListParagraph"/>
              <w:spacing w:before="240" w:after="240"/>
              <w:ind w:left="0"/>
              <w:jc w:val="both"/>
              <w:rPr>
                <w:rFonts w:ascii="Times New Roman" w:hAnsi="Times New Roman" w:cs="Times New Roman"/>
                <w:sz w:val="22"/>
                <w:szCs w:val="22"/>
              </w:rPr>
            </w:pPr>
          </w:p>
          <w:p w:rsidR="002A5A52" w:rsidRPr="002A5A52" w:rsidRDefault="002A5A52" w:rsidP="002A5A52">
            <w:pPr>
              <w:pStyle w:val="ListParagraph"/>
              <w:spacing w:before="240" w:after="240"/>
              <w:ind w:left="0"/>
              <w:jc w:val="both"/>
              <w:rPr>
                <w:rFonts w:ascii="Times New Roman" w:hAnsi="Times New Roman" w:cs="Times New Roman"/>
                <w:sz w:val="22"/>
                <w:szCs w:val="22"/>
              </w:rPr>
            </w:pPr>
            <w:r w:rsidRPr="002A5A52">
              <w:rPr>
                <w:rFonts w:ascii="Times New Roman" w:hAnsi="Times New Roman" w:cs="Times New Roman"/>
                <w:sz w:val="22"/>
                <w:szCs w:val="22"/>
              </w:rPr>
              <w:t xml:space="preserve">The activity will provide support to the Utilities Regulator in: </w:t>
            </w:r>
          </w:p>
          <w:p w:rsidR="002A5A52" w:rsidRPr="002A5A52" w:rsidRDefault="002A5A52" w:rsidP="002A5A52">
            <w:pPr>
              <w:pStyle w:val="ListParagraph"/>
              <w:numPr>
                <w:ilvl w:val="1"/>
                <w:numId w:val="2"/>
              </w:numPr>
              <w:spacing w:before="240" w:after="240"/>
              <w:jc w:val="both"/>
              <w:rPr>
                <w:rFonts w:ascii="Times New Roman" w:hAnsi="Times New Roman" w:cs="Times New Roman"/>
                <w:sz w:val="22"/>
                <w:szCs w:val="22"/>
              </w:rPr>
            </w:pPr>
            <w:r w:rsidRPr="002A5A52">
              <w:rPr>
                <w:rFonts w:ascii="Times New Roman" w:hAnsi="Times New Roman" w:cs="Times New Roman"/>
                <w:sz w:val="22"/>
                <w:szCs w:val="22"/>
              </w:rPr>
              <w:t xml:space="preserve">developing transitional methodologies, regulatory accounting forms and auditing principles in order to improve its capacity for setting cost recovery tariffs, issuing licenses and controlling the licensees and promote a regulatory regime enabling long </w:t>
            </w:r>
            <w:r w:rsidRPr="002A5A52">
              <w:rPr>
                <w:rFonts w:ascii="Times New Roman" w:hAnsi="Times New Roman" w:cs="Times New Roman"/>
                <w:sz w:val="22"/>
                <w:szCs w:val="22"/>
              </w:rPr>
              <w:lastRenderedPageBreak/>
              <w:t xml:space="preserve">term efficiency; </w:t>
            </w:r>
          </w:p>
          <w:p w:rsidR="002A5A52" w:rsidRPr="002A5A52" w:rsidRDefault="002A5A52" w:rsidP="002A5A52">
            <w:pPr>
              <w:pStyle w:val="ListParagraph"/>
              <w:numPr>
                <w:ilvl w:val="1"/>
                <w:numId w:val="2"/>
              </w:numPr>
              <w:spacing w:before="240" w:after="240"/>
              <w:jc w:val="both"/>
              <w:rPr>
                <w:rFonts w:ascii="Times New Roman" w:hAnsi="Times New Roman" w:cs="Times New Roman"/>
                <w:sz w:val="22"/>
                <w:szCs w:val="22"/>
              </w:rPr>
            </w:pPr>
            <w:r w:rsidRPr="002A5A52">
              <w:rPr>
                <w:rFonts w:ascii="Times New Roman" w:hAnsi="Times New Roman" w:cs="Times New Roman"/>
                <w:sz w:val="22"/>
                <w:szCs w:val="22"/>
              </w:rPr>
              <w:t xml:space="preserve">broadening reform of the district heating utilities with the ultimate goal of turning them from a social service into companies that seek to cover costs, generate a profit, and focus and deliver cost effective services; </w:t>
            </w:r>
          </w:p>
          <w:p w:rsidR="002A5A52" w:rsidRPr="002A5A52" w:rsidRDefault="002A5A52" w:rsidP="002A5A52">
            <w:pPr>
              <w:pStyle w:val="ListParagraph"/>
              <w:numPr>
                <w:ilvl w:val="1"/>
                <w:numId w:val="2"/>
              </w:numPr>
              <w:spacing w:before="240" w:after="240"/>
              <w:jc w:val="both"/>
              <w:rPr>
                <w:rFonts w:ascii="Times New Roman" w:hAnsi="Times New Roman" w:cs="Times New Roman"/>
                <w:sz w:val="22"/>
                <w:szCs w:val="22"/>
              </w:rPr>
            </w:pPr>
            <w:r w:rsidRPr="002A5A52">
              <w:rPr>
                <w:rFonts w:ascii="Times New Roman" w:hAnsi="Times New Roman" w:cs="Times New Roman"/>
                <w:sz w:val="22"/>
                <w:szCs w:val="22"/>
              </w:rPr>
              <w:t xml:space="preserve">introducing a sector-wide benchmarking exercise based on a standardized performance reporting template and possibly more advanced statistical methods of benchmarking that will enable Regulator to assess district heating utilities' performance over time and incentivize them to imp rove their performance; and </w:t>
            </w:r>
          </w:p>
          <w:p w:rsidR="002A5A52" w:rsidRPr="002A5A52" w:rsidRDefault="002A5A52" w:rsidP="002A5A52">
            <w:pPr>
              <w:pStyle w:val="ListParagraph"/>
              <w:numPr>
                <w:ilvl w:val="1"/>
                <w:numId w:val="2"/>
              </w:numPr>
              <w:spacing w:before="240" w:after="240"/>
              <w:jc w:val="both"/>
              <w:rPr>
                <w:rFonts w:ascii="Times New Roman" w:hAnsi="Times New Roman" w:cs="Times New Roman"/>
                <w:sz w:val="22"/>
                <w:szCs w:val="22"/>
              </w:rPr>
            </w:pPr>
            <w:proofErr w:type="gramStart"/>
            <w:r w:rsidRPr="002A5A52">
              <w:rPr>
                <w:rFonts w:ascii="Times New Roman" w:hAnsi="Times New Roman" w:cs="Times New Roman"/>
                <w:sz w:val="22"/>
                <w:szCs w:val="22"/>
              </w:rPr>
              <w:t>applying</w:t>
            </w:r>
            <w:proofErr w:type="gramEnd"/>
            <w:r w:rsidRPr="002A5A52">
              <w:rPr>
                <w:rFonts w:ascii="Times New Roman" w:hAnsi="Times New Roman" w:cs="Times New Roman"/>
                <w:sz w:val="22"/>
                <w:szCs w:val="22"/>
              </w:rPr>
              <w:t xml:space="preserve"> the new district heating tariff methodologies in pilot municipalities.</w:t>
            </w:r>
          </w:p>
          <w:p w:rsidR="002A5A52" w:rsidRPr="002A5A52" w:rsidRDefault="002A5A52" w:rsidP="002A5A52">
            <w:pPr>
              <w:pStyle w:val="ListParagraph"/>
              <w:spacing w:before="240" w:after="240"/>
              <w:ind w:left="1440"/>
              <w:jc w:val="both"/>
              <w:rPr>
                <w:rFonts w:ascii="Times New Roman" w:hAnsi="Times New Roman" w:cs="Times New Roman"/>
                <w:sz w:val="22"/>
                <w:szCs w:val="22"/>
              </w:rPr>
            </w:pPr>
          </w:p>
          <w:p w:rsidR="002A5A52" w:rsidRPr="002A5A52" w:rsidRDefault="002A5A52" w:rsidP="002A5A52">
            <w:pPr>
              <w:pStyle w:val="ListParagraph"/>
              <w:spacing w:before="240" w:after="240"/>
              <w:ind w:left="0"/>
              <w:jc w:val="both"/>
              <w:rPr>
                <w:rFonts w:ascii="Times New Roman" w:hAnsi="Times New Roman" w:cs="Times New Roman"/>
                <w:sz w:val="22"/>
                <w:szCs w:val="22"/>
              </w:rPr>
            </w:pPr>
            <w:r w:rsidRPr="002A5A52">
              <w:rPr>
                <w:rFonts w:ascii="Times New Roman" w:hAnsi="Times New Roman" w:cs="Times New Roman"/>
                <w:sz w:val="22"/>
                <w:szCs w:val="22"/>
              </w:rPr>
              <w:t xml:space="preserve">The proposed activity will consist of the following components (costs are net of the Central and Managing Unit fees): </w:t>
            </w:r>
          </w:p>
          <w:p w:rsidR="00FF07F1" w:rsidRDefault="002A5A52" w:rsidP="00FF07F1">
            <w:pPr>
              <w:pStyle w:val="Default"/>
              <w:spacing w:before="120"/>
              <w:jc w:val="both"/>
              <w:rPr>
                <w:bCs/>
                <w:sz w:val="22"/>
                <w:szCs w:val="22"/>
              </w:rPr>
            </w:pPr>
            <w:r w:rsidRPr="00FF07F1">
              <w:rPr>
                <w:b/>
                <w:sz w:val="22"/>
                <w:szCs w:val="22"/>
              </w:rPr>
              <w:t>Component 1:</w:t>
            </w:r>
            <w:r w:rsidRPr="00FF07F1">
              <w:rPr>
                <w:sz w:val="22"/>
                <w:szCs w:val="22"/>
              </w:rPr>
              <w:t xml:space="preserve"> Support with d</w:t>
            </w:r>
            <w:r w:rsidRPr="00FF07F1">
              <w:rPr>
                <w:bCs/>
                <w:sz w:val="22"/>
                <w:szCs w:val="22"/>
              </w:rPr>
              <w:t>evelopment of secondary legislation documents covering transformation of the communal services sector to long-term (3-5 years) full operating and investment cost-recovery tariffs, with creation of incentives for reduction of operation expenses. This component will</w:t>
            </w:r>
            <w:r w:rsidR="00FF07F1">
              <w:rPr>
                <w:bCs/>
                <w:sz w:val="22"/>
                <w:szCs w:val="22"/>
              </w:rPr>
              <w:t>:</w:t>
            </w:r>
          </w:p>
          <w:p w:rsidR="00FF07F1" w:rsidRPr="00FF07F1" w:rsidRDefault="002A5A52" w:rsidP="00FF07F1">
            <w:pPr>
              <w:pStyle w:val="Default"/>
              <w:numPr>
                <w:ilvl w:val="0"/>
                <w:numId w:val="4"/>
              </w:numPr>
              <w:spacing w:before="120"/>
              <w:jc w:val="both"/>
              <w:rPr>
                <w:sz w:val="22"/>
                <w:szCs w:val="22"/>
              </w:rPr>
            </w:pPr>
            <w:r w:rsidRPr="00FF07F1">
              <w:rPr>
                <w:bCs/>
                <w:sz w:val="22"/>
                <w:szCs w:val="22"/>
              </w:rPr>
              <w:t xml:space="preserve">update of existing heat tariff methodology; </w:t>
            </w:r>
          </w:p>
          <w:p w:rsidR="00FF07F1" w:rsidRPr="00FF07F1" w:rsidRDefault="002A5A52" w:rsidP="00FF07F1">
            <w:pPr>
              <w:pStyle w:val="Default"/>
              <w:numPr>
                <w:ilvl w:val="0"/>
                <w:numId w:val="4"/>
              </w:numPr>
              <w:spacing w:before="120"/>
              <w:jc w:val="both"/>
              <w:rPr>
                <w:sz w:val="22"/>
                <w:szCs w:val="22"/>
              </w:rPr>
            </w:pPr>
            <w:r w:rsidRPr="00FF07F1">
              <w:rPr>
                <w:bCs/>
                <w:sz w:val="22"/>
                <w:szCs w:val="22"/>
              </w:rPr>
              <w:t xml:space="preserve">review of existing tariff setting practices; </w:t>
            </w:r>
          </w:p>
          <w:p w:rsidR="00FF07F1" w:rsidRPr="00FF07F1" w:rsidRDefault="002A5A52" w:rsidP="00FF07F1">
            <w:pPr>
              <w:pStyle w:val="Default"/>
              <w:numPr>
                <w:ilvl w:val="0"/>
                <w:numId w:val="4"/>
              </w:numPr>
              <w:spacing w:before="120"/>
              <w:jc w:val="both"/>
              <w:rPr>
                <w:sz w:val="22"/>
                <w:szCs w:val="22"/>
              </w:rPr>
            </w:pPr>
            <w:r w:rsidRPr="00FF07F1">
              <w:rPr>
                <w:bCs/>
                <w:sz w:val="22"/>
                <w:szCs w:val="22"/>
              </w:rPr>
              <w:t xml:space="preserve">support in applying recommended transitional methodology; </w:t>
            </w:r>
          </w:p>
          <w:p w:rsidR="00FF07F1" w:rsidRPr="00FF07F1" w:rsidRDefault="002A5A52" w:rsidP="00FF07F1">
            <w:pPr>
              <w:pStyle w:val="Default"/>
              <w:numPr>
                <w:ilvl w:val="0"/>
                <w:numId w:val="4"/>
              </w:numPr>
              <w:spacing w:before="120"/>
              <w:jc w:val="both"/>
              <w:rPr>
                <w:sz w:val="22"/>
                <w:szCs w:val="22"/>
              </w:rPr>
            </w:pPr>
            <w:r w:rsidRPr="00FF07F1">
              <w:rPr>
                <w:bCs/>
                <w:sz w:val="22"/>
                <w:szCs w:val="22"/>
              </w:rPr>
              <w:t xml:space="preserve">update of existing methodology for hot water tariff calculation; </w:t>
            </w:r>
          </w:p>
          <w:p w:rsidR="00FF07F1" w:rsidRDefault="002A5A52" w:rsidP="00FF07F1">
            <w:pPr>
              <w:pStyle w:val="Default"/>
              <w:numPr>
                <w:ilvl w:val="0"/>
                <w:numId w:val="4"/>
              </w:numPr>
              <w:spacing w:before="120"/>
              <w:jc w:val="both"/>
              <w:rPr>
                <w:sz w:val="22"/>
                <w:szCs w:val="22"/>
              </w:rPr>
            </w:pPr>
            <w:r w:rsidRPr="00FF07F1">
              <w:rPr>
                <w:bCs/>
                <w:sz w:val="22"/>
                <w:szCs w:val="22"/>
              </w:rPr>
              <w:t xml:space="preserve">update of regulatory accounting and reporting </w:t>
            </w:r>
            <w:r w:rsidRPr="00FF07F1">
              <w:rPr>
                <w:sz w:val="22"/>
                <w:szCs w:val="22"/>
              </w:rPr>
              <w:t xml:space="preserve">forms; </w:t>
            </w:r>
          </w:p>
          <w:p w:rsidR="00FF07F1" w:rsidRPr="00FF07F1" w:rsidRDefault="002A5A52" w:rsidP="00FF07F1">
            <w:pPr>
              <w:pStyle w:val="Default"/>
              <w:numPr>
                <w:ilvl w:val="0"/>
                <w:numId w:val="4"/>
              </w:numPr>
              <w:spacing w:before="120"/>
              <w:jc w:val="both"/>
              <w:rPr>
                <w:sz w:val="22"/>
                <w:szCs w:val="22"/>
              </w:rPr>
            </w:pPr>
            <w:r w:rsidRPr="00FF07F1">
              <w:rPr>
                <w:sz w:val="22"/>
                <w:szCs w:val="22"/>
              </w:rPr>
              <w:t>i</w:t>
            </w:r>
            <w:r w:rsidRPr="00FF07F1">
              <w:rPr>
                <w:bCs/>
                <w:sz w:val="22"/>
                <w:szCs w:val="22"/>
              </w:rPr>
              <w:t xml:space="preserve">ntroduce new procedures and regulations; </w:t>
            </w:r>
          </w:p>
          <w:p w:rsidR="00FF07F1" w:rsidRPr="00FF07F1" w:rsidRDefault="002A5A52" w:rsidP="00FF07F1">
            <w:pPr>
              <w:pStyle w:val="Default"/>
              <w:numPr>
                <w:ilvl w:val="0"/>
                <w:numId w:val="4"/>
              </w:numPr>
              <w:spacing w:before="120"/>
              <w:jc w:val="both"/>
              <w:rPr>
                <w:sz w:val="22"/>
                <w:szCs w:val="22"/>
              </w:rPr>
            </w:pPr>
            <w:r w:rsidRPr="00FF07F1">
              <w:rPr>
                <w:bCs/>
                <w:sz w:val="22"/>
                <w:szCs w:val="22"/>
              </w:rPr>
              <w:t>i</w:t>
            </w:r>
            <w:r w:rsidRPr="00FF07F1">
              <w:rPr>
                <w:sz w:val="22"/>
                <w:szCs w:val="22"/>
              </w:rPr>
              <w:t xml:space="preserve">ntroduce </w:t>
            </w:r>
            <w:r w:rsidRPr="00FF07F1">
              <w:rPr>
                <w:bCs/>
                <w:sz w:val="22"/>
                <w:szCs w:val="22"/>
              </w:rPr>
              <w:t xml:space="preserve">guidelines for regulatory auditors; </w:t>
            </w:r>
          </w:p>
          <w:p w:rsidR="00FF07F1" w:rsidRPr="00FF07F1" w:rsidRDefault="002A5A52" w:rsidP="00FF07F1">
            <w:pPr>
              <w:pStyle w:val="Default"/>
              <w:numPr>
                <w:ilvl w:val="0"/>
                <w:numId w:val="4"/>
              </w:numPr>
              <w:spacing w:before="120"/>
              <w:jc w:val="both"/>
              <w:rPr>
                <w:sz w:val="22"/>
                <w:szCs w:val="22"/>
              </w:rPr>
            </w:pPr>
            <w:r w:rsidRPr="00FF07F1">
              <w:rPr>
                <w:bCs/>
                <w:sz w:val="22"/>
                <w:szCs w:val="22"/>
              </w:rPr>
              <w:t>d</w:t>
            </w:r>
            <w:r w:rsidRPr="00FF07F1">
              <w:rPr>
                <w:sz w:val="22"/>
                <w:szCs w:val="22"/>
              </w:rPr>
              <w:t xml:space="preserve">evelop </w:t>
            </w:r>
            <w:r w:rsidRPr="00FF07F1">
              <w:rPr>
                <w:bCs/>
                <w:sz w:val="22"/>
                <w:szCs w:val="22"/>
              </w:rPr>
              <w:t>draft standard heat and hot water supply public contracts</w:t>
            </w:r>
            <w:r w:rsidR="00FF07F1" w:rsidRPr="00FF07F1">
              <w:rPr>
                <w:bCs/>
                <w:sz w:val="22"/>
                <w:szCs w:val="22"/>
              </w:rPr>
              <w:t xml:space="preserve">; </w:t>
            </w:r>
          </w:p>
          <w:p w:rsidR="00FF07F1" w:rsidRPr="00FF07F1" w:rsidRDefault="00FF07F1" w:rsidP="00FF07F1">
            <w:pPr>
              <w:pStyle w:val="Default"/>
              <w:numPr>
                <w:ilvl w:val="0"/>
                <w:numId w:val="4"/>
              </w:numPr>
              <w:spacing w:before="120"/>
              <w:jc w:val="both"/>
              <w:rPr>
                <w:sz w:val="22"/>
                <w:szCs w:val="22"/>
              </w:rPr>
            </w:pPr>
            <w:r w:rsidRPr="00FF07F1">
              <w:rPr>
                <w:bCs/>
                <w:sz w:val="22"/>
                <w:szCs w:val="22"/>
              </w:rPr>
              <w:t>d</w:t>
            </w:r>
            <w:r w:rsidR="002A5A52" w:rsidRPr="00FF07F1">
              <w:rPr>
                <w:bCs/>
                <w:sz w:val="22"/>
                <w:szCs w:val="22"/>
              </w:rPr>
              <w:t>eploy cost-reflective tariff setting</w:t>
            </w:r>
            <w:r w:rsidR="003E570E">
              <w:rPr>
                <w:bCs/>
                <w:sz w:val="22"/>
                <w:szCs w:val="22"/>
              </w:rPr>
              <w:t xml:space="preserve"> methodology</w:t>
            </w:r>
            <w:r w:rsidRPr="00FF07F1">
              <w:rPr>
                <w:bCs/>
                <w:sz w:val="22"/>
                <w:szCs w:val="22"/>
              </w:rPr>
              <w:t xml:space="preserve">; and </w:t>
            </w:r>
          </w:p>
          <w:p w:rsidR="002A5A52" w:rsidRPr="00FF07F1" w:rsidRDefault="00FF07F1" w:rsidP="00FF07F1">
            <w:pPr>
              <w:pStyle w:val="Default"/>
              <w:numPr>
                <w:ilvl w:val="0"/>
                <w:numId w:val="4"/>
              </w:numPr>
              <w:spacing w:before="120"/>
              <w:jc w:val="both"/>
              <w:rPr>
                <w:sz w:val="22"/>
                <w:szCs w:val="22"/>
              </w:rPr>
            </w:pPr>
            <w:proofErr w:type="gramStart"/>
            <w:r w:rsidRPr="00FF07F1">
              <w:rPr>
                <w:bCs/>
                <w:sz w:val="22"/>
                <w:szCs w:val="22"/>
              </w:rPr>
              <w:t>p</w:t>
            </w:r>
            <w:r w:rsidR="002A5A52" w:rsidRPr="00FF07F1">
              <w:rPr>
                <w:bCs/>
                <w:sz w:val="22"/>
                <w:szCs w:val="22"/>
              </w:rPr>
              <w:t>rovide</w:t>
            </w:r>
            <w:proofErr w:type="gramEnd"/>
            <w:r w:rsidR="002A5A52" w:rsidRPr="00FF07F1">
              <w:rPr>
                <w:bCs/>
                <w:sz w:val="22"/>
                <w:szCs w:val="22"/>
              </w:rPr>
              <w:t xml:space="preserve"> training</w:t>
            </w:r>
            <w:r w:rsidRPr="00FF07F1">
              <w:rPr>
                <w:bCs/>
                <w:sz w:val="22"/>
                <w:szCs w:val="22"/>
              </w:rPr>
              <w:t xml:space="preserve"> that will </w:t>
            </w:r>
            <w:r w:rsidR="002A5A52" w:rsidRPr="00FF07F1">
              <w:rPr>
                <w:sz w:val="22"/>
                <w:szCs w:val="22"/>
              </w:rPr>
              <w:t xml:space="preserve">assisting the Utilities Regulator with the application of the new methodology, regulations and procedure to pilot district heating companies. The companies will be agreed with the Utilities Regulator, the Bank and other IFIs. </w:t>
            </w:r>
            <w:r w:rsidR="003E570E" w:rsidRPr="009C7E44">
              <w:rPr>
                <w:sz w:val="22"/>
                <w:szCs w:val="22"/>
              </w:rPr>
              <w:t xml:space="preserve">The Bank is currently conducting an impact assessment of district heating tariffs increases on Ukrainian households; the pilot municipalities will be selected taking into account the results of the impact assessment in order to mitigate the </w:t>
            </w:r>
            <w:r w:rsidR="005B29EA" w:rsidRPr="009C7E44">
              <w:rPr>
                <w:sz w:val="22"/>
                <w:szCs w:val="22"/>
              </w:rPr>
              <w:t xml:space="preserve">potential </w:t>
            </w:r>
            <w:r w:rsidR="003E570E" w:rsidRPr="009C7E44">
              <w:rPr>
                <w:sz w:val="22"/>
                <w:szCs w:val="22"/>
              </w:rPr>
              <w:t xml:space="preserve">negative social impact on </w:t>
            </w:r>
            <w:r w:rsidR="00B60E37" w:rsidRPr="009C7E44">
              <w:rPr>
                <w:sz w:val="22"/>
                <w:szCs w:val="22"/>
              </w:rPr>
              <w:t xml:space="preserve">the </w:t>
            </w:r>
            <w:r w:rsidR="003E570E" w:rsidRPr="009C7E44">
              <w:rPr>
                <w:sz w:val="22"/>
                <w:szCs w:val="22"/>
              </w:rPr>
              <w:t>most vulnerable</w:t>
            </w:r>
            <w:r w:rsidR="00B60E37" w:rsidRPr="009C7E44">
              <w:rPr>
                <w:sz w:val="22"/>
                <w:szCs w:val="22"/>
              </w:rPr>
              <w:t xml:space="preserve"> households</w:t>
            </w:r>
            <w:r w:rsidR="003E570E" w:rsidRPr="009C7E44">
              <w:rPr>
                <w:sz w:val="22"/>
                <w:szCs w:val="22"/>
              </w:rPr>
              <w:t xml:space="preserve">. </w:t>
            </w:r>
            <w:r w:rsidR="002A5A52" w:rsidRPr="009C7E44">
              <w:rPr>
                <w:sz w:val="22"/>
                <w:szCs w:val="22"/>
              </w:rPr>
              <w:t>Organizing trainings and works</w:t>
            </w:r>
            <w:r w:rsidR="002A5A52" w:rsidRPr="00FF07F1">
              <w:rPr>
                <w:sz w:val="22"/>
                <w:szCs w:val="22"/>
              </w:rPr>
              <w:t>hops for the Utilities Regulator and the selected licensee companies covering the practical use of the developed methodological recommendations.</w:t>
            </w:r>
          </w:p>
          <w:p w:rsidR="002A5A52" w:rsidRPr="002A5A52" w:rsidRDefault="002A5A52" w:rsidP="002A5A52">
            <w:pPr>
              <w:pStyle w:val="ListParagraph"/>
              <w:spacing w:before="240" w:after="240"/>
              <w:ind w:left="0"/>
              <w:jc w:val="both"/>
              <w:rPr>
                <w:rFonts w:ascii="Times New Roman" w:hAnsi="Times New Roman" w:cs="Times New Roman"/>
                <w:sz w:val="22"/>
                <w:szCs w:val="22"/>
              </w:rPr>
            </w:pPr>
            <w:r w:rsidRPr="002A5A52">
              <w:rPr>
                <w:rFonts w:ascii="Times New Roman" w:hAnsi="Times New Roman" w:cs="Times New Roman"/>
                <w:b/>
                <w:bCs/>
                <w:sz w:val="22"/>
                <w:szCs w:val="22"/>
              </w:rPr>
              <w:t>Component 2</w:t>
            </w:r>
            <w:r w:rsidRPr="002A5A52">
              <w:rPr>
                <w:rFonts w:ascii="Times New Roman" w:hAnsi="Times New Roman" w:cs="Times New Roman"/>
                <w:bCs/>
                <w:sz w:val="22"/>
                <w:szCs w:val="22"/>
              </w:rPr>
              <w:t>: Introduction of a sector –wide benchmarking exercise</w:t>
            </w:r>
            <w:r w:rsidRPr="002A5A52">
              <w:rPr>
                <w:rFonts w:ascii="Times New Roman" w:hAnsi="Times New Roman" w:cs="Times New Roman"/>
                <w:sz w:val="22"/>
                <w:szCs w:val="22"/>
              </w:rPr>
              <w:t xml:space="preserve">. </w:t>
            </w:r>
            <w:r w:rsidRPr="002A5A52">
              <w:rPr>
                <w:rFonts w:ascii="Times New Roman" w:hAnsi="Times New Roman" w:cs="Times New Roman"/>
                <w:bCs/>
                <w:sz w:val="22"/>
                <w:szCs w:val="22"/>
              </w:rPr>
              <w:t>Benchmarking</w:t>
            </w:r>
            <w:r w:rsidRPr="002A5A52">
              <w:rPr>
                <w:rFonts w:ascii="Times New Roman" w:hAnsi="Times New Roman" w:cs="Times New Roman"/>
                <w:b/>
                <w:bCs/>
                <w:sz w:val="22"/>
                <w:szCs w:val="22"/>
              </w:rPr>
              <w:t xml:space="preserve"> </w:t>
            </w:r>
            <w:r w:rsidRPr="002A5A52">
              <w:rPr>
                <w:rFonts w:ascii="Times New Roman" w:hAnsi="Times New Roman" w:cs="Times New Roman"/>
                <w:sz w:val="22"/>
                <w:szCs w:val="22"/>
              </w:rPr>
              <w:t xml:space="preserve">is a useful way of measuring performance in order to identify companies that demonstrate better performance most likely as a result of better management and organization. Benefits of benchmarking include an understanding of how to achieve an improved performance and how to show it to other companies in a mature way. The benchmarking results can be used not only for the comparative analysis of efficiency of different companies but as a replacement of the existing system of norms used in tariff setting. </w:t>
            </w:r>
          </w:p>
          <w:p w:rsidR="002A5A52" w:rsidRPr="002A5A52" w:rsidRDefault="002A5A52" w:rsidP="002A5A52">
            <w:pPr>
              <w:pStyle w:val="ListParagraph"/>
              <w:rPr>
                <w:rFonts w:ascii="Times New Roman" w:hAnsi="Times New Roman" w:cs="Times New Roman"/>
                <w:bCs/>
                <w:sz w:val="22"/>
                <w:szCs w:val="22"/>
              </w:rPr>
            </w:pPr>
          </w:p>
          <w:p w:rsidR="002A5A52" w:rsidRPr="002A5A52" w:rsidRDefault="002A5A52" w:rsidP="002A5A52">
            <w:pPr>
              <w:pStyle w:val="ListParagraph"/>
              <w:spacing w:before="240" w:after="240"/>
              <w:ind w:left="0"/>
              <w:jc w:val="both"/>
              <w:rPr>
                <w:rFonts w:ascii="Times New Roman" w:hAnsi="Times New Roman" w:cs="Times New Roman"/>
                <w:sz w:val="22"/>
                <w:szCs w:val="22"/>
              </w:rPr>
            </w:pPr>
            <w:r w:rsidRPr="002A5A52">
              <w:rPr>
                <w:rFonts w:ascii="Times New Roman" w:hAnsi="Times New Roman" w:cs="Times New Roman"/>
                <w:b/>
                <w:sz w:val="22"/>
                <w:szCs w:val="22"/>
              </w:rPr>
              <w:t>Component 3:</w:t>
            </w:r>
            <w:r w:rsidRPr="002A5A52">
              <w:rPr>
                <w:rFonts w:ascii="Times New Roman" w:hAnsi="Times New Roman" w:cs="Times New Roman"/>
                <w:sz w:val="22"/>
                <w:szCs w:val="22"/>
              </w:rPr>
              <w:t xml:space="preserve"> </w:t>
            </w:r>
            <w:r w:rsidRPr="002A5A52">
              <w:rPr>
                <w:rFonts w:ascii="Times New Roman" w:hAnsi="Times New Roman" w:cs="Times New Roman"/>
                <w:bCs/>
                <w:sz w:val="22"/>
                <w:szCs w:val="22"/>
              </w:rPr>
              <w:t xml:space="preserve">Capacity building of the Utilities Regulator. </w:t>
            </w:r>
            <w:r w:rsidRPr="002A5A52">
              <w:rPr>
                <w:rFonts w:ascii="Times New Roman" w:hAnsi="Times New Roman" w:cs="Times New Roman"/>
                <w:sz w:val="22"/>
                <w:szCs w:val="22"/>
              </w:rPr>
              <w:t xml:space="preserve">This component will finance an expert working full time in Kyiv and inside the Utilities Regulator. The expert will provide in-house training for the Utilities Regulator staff on every item of the Component 1 and 2 and also organize wider </w:t>
            </w:r>
            <w:r w:rsidRPr="002A5A52">
              <w:rPr>
                <w:rFonts w:ascii="Times New Roman" w:hAnsi="Times New Roman" w:cs="Times New Roman"/>
                <w:sz w:val="22"/>
                <w:szCs w:val="22"/>
              </w:rPr>
              <w:lastRenderedPageBreak/>
              <w:t xml:space="preserve">trainings for licensees on the application, accounting, and reporting under the new methodologies, regulation and procedures. This consists of the training of the concrete responsible persons who are carrying a certain specific function at the Utilities Regulator with hands-on consultation and answering ad-hoc questions. In addition, the expert will provide seminars and workshops for the broader audience. In some cases representatives of the licensed companies should be invited to take part at such seminars and workshops. </w:t>
            </w:r>
          </w:p>
          <w:p w:rsidR="002A5A52" w:rsidRPr="002A5A52" w:rsidRDefault="002A5A52" w:rsidP="002A5A52">
            <w:pPr>
              <w:pStyle w:val="ListParagraph"/>
              <w:rPr>
                <w:rFonts w:ascii="Times New Roman" w:hAnsi="Times New Roman" w:cs="Times New Roman"/>
                <w:sz w:val="22"/>
                <w:szCs w:val="22"/>
              </w:rPr>
            </w:pPr>
          </w:p>
          <w:p w:rsidR="002A5A52" w:rsidRPr="002A5A52" w:rsidRDefault="002A5A52" w:rsidP="002A5A52">
            <w:pPr>
              <w:pStyle w:val="ListParagraph"/>
              <w:spacing w:before="240" w:after="240"/>
              <w:ind w:left="0"/>
              <w:jc w:val="both"/>
              <w:rPr>
                <w:rFonts w:ascii="Times New Roman" w:hAnsi="Times New Roman" w:cs="Times New Roman"/>
                <w:sz w:val="22"/>
                <w:szCs w:val="22"/>
              </w:rPr>
            </w:pPr>
            <w:r w:rsidRPr="002A5A52">
              <w:rPr>
                <w:rFonts w:ascii="Times New Roman" w:hAnsi="Times New Roman" w:cs="Times New Roman"/>
                <w:b/>
                <w:sz w:val="22"/>
                <w:szCs w:val="22"/>
              </w:rPr>
              <w:t>Component 4</w:t>
            </w:r>
            <w:r w:rsidRPr="002A5A52">
              <w:rPr>
                <w:rFonts w:ascii="Times New Roman" w:hAnsi="Times New Roman" w:cs="Times New Roman"/>
                <w:sz w:val="22"/>
                <w:szCs w:val="22"/>
              </w:rPr>
              <w:t xml:space="preserve">: </w:t>
            </w:r>
            <w:r w:rsidRPr="002A5A52">
              <w:rPr>
                <w:rFonts w:ascii="Times New Roman" w:hAnsi="Times New Roman" w:cs="Times New Roman"/>
                <w:bCs/>
                <w:sz w:val="22"/>
                <w:szCs w:val="22"/>
              </w:rPr>
              <w:t xml:space="preserve">Miscellaneous regulation tools. This component will finance </w:t>
            </w:r>
            <w:r w:rsidRPr="002A5A52">
              <w:rPr>
                <w:rFonts w:ascii="Times New Roman" w:hAnsi="Times New Roman" w:cs="Times New Roman"/>
                <w:sz w:val="22"/>
                <w:szCs w:val="22"/>
              </w:rPr>
              <w:t xml:space="preserve">process tools, including tailor-made software, that are necessary for the implementation of the Component 1 and 2 above. </w:t>
            </w:r>
          </w:p>
          <w:p w:rsidR="002A5A52" w:rsidRPr="002A5A52" w:rsidRDefault="002A5A52" w:rsidP="002A5A52">
            <w:pPr>
              <w:pStyle w:val="Default"/>
              <w:jc w:val="both"/>
              <w:rPr>
                <w:sz w:val="22"/>
                <w:szCs w:val="22"/>
              </w:rPr>
            </w:pPr>
            <w:r w:rsidRPr="002A5A52">
              <w:rPr>
                <w:b/>
                <w:sz w:val="22"/>
                <w:szCs w:val="22"/>
              </w:rPr>
              <w:t>Component 5:</w:t>
            </w:r>
            <w:r w:rsidRPr="002A5A52">
              <w:rPr>
                <w:sz w:val="22"/>
                <w:szCs w:val="22"/>
              </w:rPr>
              <w:t xml:space="preserve"> Project implementation assistance and annual audit.</w:t>
            </w:r>
          </w:p>
          <w:p w:rsidR="002A5A52" w:rsidRPr="002A5A52" w:rsidRDefault="002A5A52" w:rsidP="002A5A52">
            <w:pPr>
              <w:pStyle w:val="Default"/>
              <w:jc w:val="both"/>
              <w:rPr>
                <w:sz w:val="22"/>
                <w:szCs w:val="22"/>
              </w:rPr>
            </w:pPr>
          </w:p>
          <w:p w:rsidR="00224282" w:rsidRPr="00F336EC" w:rsidRDefault="002A5A52" w:rsidP="00E92FDD">
            <w:pPr>
              <w:pStyle w:val="Default"/>
              <w:spacing w:before="120"/>
              <w:jc w:val="both"/>
              <w:rPr>
                <w:rFonts w:eastAsiaTheme="minorEastAsia"/>
                <w:sz w:val="22"/>
                <w:szCs w:val="22"/>
              </w:rPr>
            </w:pPr>
            <w:r w:rsidRPr="002A5A52">
              <w:rPr>
                <w:sz w:val="22"/>
                <w:szCs w:val="22"/>
              </w:rPr>
              <w:t>The implementation of the proposed activity will be supervised by the Bank team. There also will be Steering committee including the Utilities Regulator, the Bank, other IFIs that are implementing investment projects in the sector (EBRD and E</w:t>
            </w:r>
            <w:r w:rsidR="00E92FDD">
              <w:rPr>
                <w:sz w:val="22"/>
                <w:szCs w:val="22"/>
              </w:rPr>
              <w:t>I</w:t>
            </w:r>
            <w:r w:rsidRPr="002A5A52">
              <w:rPr>
                <w:sz w:val="22"/>
                <w:szCs w:val="22"/>
              </w:rPr>
              <w:t xml:space="preserve">B) and USAID, that has been supporting the Utilities Regulator over the past several years thought its Municipal Heating Reform project (closed in 2013) and is planning to continue its support through its energy project (expected to start in October 2013). Other interested parties can participate in the Steering committee meetings and will be invited as necessary. Steering committee meetings will be held quarterly. </w:t>
            </w:r>
            <w:r w:rsidR="009A6929">
              <w:rPr>
                <w:sz w:val="22"/>
                <w:szCs w:val="22"/>
              </w:rPr>
              <w:t xml:space="preserve"> </w:t>
            </w:r>
            <w:r w:rsidR="00B275F0">
              <w:rPr>
                <w:sz w:val="22"/>
                <w:szCs w:val="22"/>
              </w:rPr>
              <w:t xml:space="preserve"> </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4"/>
                <w:szCs w:val="4"/>
              </w:rPr>
            </w:pPr>
            <w:r w:rsidRPr="00F336EC">
              <w:rPr>
                <w:rFonts w:ascii="Times" w:eastAsiaTheme="minorEastAsia" w:hAnsi="Times" w:cs="Times"/>
                <w:color w:val="FFFFFF"/>
                <w:sz w:val="4"/>
                <w:szCs w:val="4"/>
              </w:rPr>
              <w:lastRenderedPageBreak/>
              <w:t>.</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rPr>
            </w:pPr>
            <w:r w:rsidRPr="00F336EC">
              <w:rPr>
                <w:rFonts w:ascii="Times New Roman" w:eastAsiaTheme="minorEastAsia" w:hAnsi="Times New Roman" w:cs="Times New Roman"/>
                <w:b/>
                <w:bCs/>
              </w:rPr>
              <w:t>D. Project location and salient physical characteristics relevant to the safeguard analysis (if known)</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646049" w:rsidP="003372F8">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The project will be located in Kiev. </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4"/>
                <w:szCs w:val="4"/>
              </w:rPr>
            </w:pPr>
            <w:r w:rsidRPr="00F336EC">
              <w:rPr>
                <w:rFonts w:ascii="Times" w:eastAsiaTheme="minorEastAsia" w:hAnsi="Times" w:cs="Times"/>
                <w:color w:val="FFFFFF"/>
                <w:sz w:val="4"/>
                <w:szCs w:val="4"/>
              </w:rPr>
              <w:t>.</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rPr>
            </w:pPr>
            <w:r w:rsidRPr="00F336EC">
              <w:rPr>
                <w:rFonts w:ascii="Times New Roman" w:eastAsiaTheme="minorEastAsia" w:hAnsi="Times New Roman" w:cs="Times New Roman"/>
                <w:b/>
                <w:bCs/>
              </w:rPr>
              <w:t>E. Borrowers Institutional Capacity for Safeguard Policies</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rsidP="00192422">
            <w:pPr>
              <w:jc w:val="both"/>
              <w:rPr>
                <w:rFonts w:ascii="Times New Roman" w:eastAsiaTheme="minorEastAsia" w:hAnsi="Times New Roman" w:cs="Times New Roman"/>
                <w:sz w:val="22"/>
                <w:szCs w:val="22"/>
              </w:rPr>
            </w:pP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4"/>
                <w:szCs w:val="4"/>
              </w:rPr>
            </w:pPr>
            <w:r w:rsidRPr="00F336EC">
              <w:rPr>
                <w:rFonts w:ascii="Times" w:eastAsiaTheme="minorEastAsia" w:hAnsi="Times" w:cs="Times"/>
                <w:color w:val="FFFFFF"/>
                <w:sz w:val="4"/>
                <w:szCs w:val="4"/>
              </w:rPr>
              <w:t>.</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rPr>
            </w:pPr>
            <w:r w:rsidRPr="00F336EC">
              <w:rPr>
                <w:rFonts w:ascii="Times New Roman" w:eastAsiaTheme="minorEastAsia" w:hAnsi="Times New Roman" w:cs="Times New Roman"/>
                <w:b/>
                <w:bCs/>
              </w:rPr>
              <w:t>F. Environmental and Social Safeguards Specialists on the Team</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855F55">
            <w:pPr>
              <w:rPr>
                <w:rFonts w:ascii="Times New Roman" w:eastAsiaTheme="minorEastAsia" w:hAnsi="Times New Roman" w:cs="Times New Roman"/>
                <w:sz w:val="22"/>
                <w:szCs w:val="22"/>
              </w:rPr>
            </w:pPr>
            <w:proofErr w:type="spellStart"/>
            <w:r w:rsidRPr="00F336EC">
              <w:rPr>
                <w:rFonts w:ascii="Times New Roman" w:eastAsiaTheme="minorEastAsia" w:hAnsi="Times New Roman" w:cs="Times New Roman"/>
                <w:sz w:val="22"/>
                <w:szCs w:val="22"/>
              </w:rPr>
              <w:t>Dmytro</w:t>
            </w:r>
            <w:proofErr w:type="spellEnd"/>
            <w:r w:rsidRPr="00F336EC">
              <w:rPr>
                <w:rFonts w:ascii="Times New Roman" w:eastAsiaTheme="minorEastAsia" w:hAnsi="Times New Roman" w:cs="Times New Roman"/>
                <w:sz w:val="22"/>
                <w:szCs w:val="22"/>
              </w:rPr>
              <w:t xml:space="preserve"> </w:t>
            </w:r>
            <w:proofErr w:type="spellStart"/>
            <w:r w:rsidRPr="00F336EC">
              <w:rPr>
                <w:rFonts w:ascii="Times New Roman" w:eastAsiaTheme="minorEastAsia" w:hAnsi="Times New Roman" w:cs="Times New Roman"/>
                <w:sz w:val="22"/>
                <w:szCs w:val="22"/>
              </w:rPr>
              <w:t>Glazkov</w:t>
            </w:r>
            <w:proofErr w:type="spellEnd"/>
            <w:r w:rsidRPr="00F336EC">
              <w:rPr>
                <w:rFonts w:ascii="Times New Roman" w:eastAsiaTheme="minorEastAsia" w:hAnsi="Times New Roman" w:cs="Times New Roman"/>
                <w:sz w:val="22"/>
                <w:szCs w:val="22"/>
              </w:rPr>
              <w:t>, Operations Officer</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4"/>
                <w:szCs w:val="4"/>
              </w:rPr>
            </w:pPr>
            <w:r w:rsidRPr="00F336EC">
              <w:rPr>
                <w:rFonts w:ascii="Times" w:eastAsiaTheme="minorEastAsia" w:hAnsi="Times" w:cs="Times"/>
                <w:color w:val="FFFFFF"/>
                <w:sz w:val="4"/>
                <w:szCs w:val="4"/>
              </w:rPr>
              <w:t>.</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4"/>
                <w:szCs w:val="4"/>
              </w:rPr>
            </w:pPr>
            <w:r w:rsidRPr="00F336EC">
              <w:rPr>
                <w:rFonts w:ascii="Times" w:eastAsiaTheme="minorEastAsia" w:hAnsi="Times" w:cs="Times"/>
                <w:color w:val="FFFFFF"/>
                <w:sz w:val="4"/>
                <w:szCs w:val="4"/>
              </w:rPr>
              <w:t>.</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rPr>
            </w:pPr>
            <w:r w:rsidRPr="00F336EC">
              <w:rPr>
                <w:rFonts w:ascii="Times New Roman" w:eastAsiaTheme="minorEastAsia" w:hAnsi="Times New Roman" w:cs="Times New Roman"/>
                <w:b/>
                <w:bCs/>
              </w:rPr>
              <w:t>II. SAFEGUARD POLICIES THAT MIGHT APPLY</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Safeguard Policies</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roofErr w:type="gramStart"/>
            <w:r w:rsidRPr="00F336EC">
              <w:rPr>
                <w:rFonts w:ascii="Times New Roman" w:eastAsiaTheme="minorEastAsia" w:hAnsi="Times New Roman" w:cs="Times New Roman"/>
                <w:b/>
                <w:bCs/>
                <w:sz w:val="22"/>
                <w:szCs w:val="22"/>
              </w:rPr>
              <w:t>Triggered ?</w:t>
            </w:r>
            <w:proofErr w:type="gramEnd"/>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Explanation (Optional)</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rsidP="00CA1875">
            <w:pPr>
              <w:tabs>
                <w:tab w:val="left" w:pos="0"/>
              </w:tabs>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Environmental Assessment OP/BP 4.01</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646049" w:rsidP="00EE5104">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3E570E" w:rsidRDefault="005B29EA" w:rsidP="003E570E">
            <w:pPr>
              <w:jc w:val="both"/>
              <w:rPr>
                <w:rFonts w:ascii="Times New Roman" w:eastAsiaTheme="minorEastAsia" w:hAnsi="Times New Roman" w:cs="Times New Roman"/>
                <w:sz w:val="20"/>
                <w:szCs w:val="20"/>
              </w:rPr>
            </w:pPr>
            <w:r w:rsidRPr="009C7E44">
              <w:rPr>
                <w:rFonts w:ascii="Times New Roman" w:hAnsi="Times New Roman" w:cs="Times New Roman"/>
                <w:bCs/>
                <w:sz w:val="20"/>
                <w:szCs w:val="20"/>
              </w:rPr>
              <w:t xml:space="preserve">The purpose of the activity is supporting development of the new regulatory methodologies and tools and to pilot those in selected municipalities. </w:t>
            </w:r>
            <w:r w:rsidRPr="009C7E44">
              <w:rPr>
                <w:rFonts w:ascii="Times New Roman" w:hAnsi="Times New Roman" w:cs="Times New Roman"/>
                <w:sz w:val="20"/>
                <w:szCs w:val="20"/>
              </w:rPr>
              <w:t xml:space="preserve">In order to mitigate potential negative social impact on </w:t>
            </w:r>
            <w:r w:rsidR="00B60E37" w:rsidRPr="009C7E44">
              <w:rPr>
                <w:rFonts w:ascii="Times New Roman" w:hAnsi="Times New Roman" w:cs="Times New Roman"/>
                <w:sz w:val="20"/>
                <w:szCs w:val="20"/>
              </w:rPr>
              <w:t xml:space="preserve">the </w:t>
            </w:r>
            <w:r w:rsidRPr="009C7E44">
              <w:rPr>
                <w:rFonts w:ascii="Times New Roman" w:hAnsi="Times New Roman" w:cs="Times New Roman"/>
                <w:sz w:val="20"/>
                <w:szCs w:val="20"/>
              </w:rPr>
              <w:t xml:space="preserve">most vulnerable </w:t>
            </w:r>
            <w:r w:rsidR="00B60E37" w:rsidRPr="009C7E44">
              <w:rPr>
                <w:rFonts w:ascii="Times New Roman" w:hAnsi="Times New Roman" w:cs="Times New Roman"/>
                <w:sz w:val="20"/>
                <w:szCs w:val="20"/>
              </w:rPr>
              <w:t xml:space="preserve">households </w:t>
            </w:r>
            <w:r w:rsidRPr="009C7E44">
              <w:rPr>
                <w:rFonts w:ascii="Times New Roman" w:hAnsi="Times New Roman" w:cs="Times New Roman"/>
                <w:sz w:val="20"/>
                <w:szCs w:val="20"/>
              </w:rPr>
              <w:t>in the selected pilot municipalities, they will be selected taking into account the results of the district heating tariff impact assessment currently under preparation by the Bank.</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Natural Habitats OP/BP 4.04</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EE5104" w:rsidP="00EE5104">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Forests OP/BP 4.36</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EE5104" w:rsidP="00EE5104">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Pest Management OP 4.09</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EE5104" w:rsidP="00EE5104">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 xml:space="preserve">Physical Cultural Resources OP/BP </w:t>
            </w:r>
            <w:r w:rsidRPr="00F336EC">
              <w:rPr>
                <w:rFonts w:ascii="Times New Roman" w:eastAsiaTheme="minorEastAsia" w:hAnsi="Times New Roman" w:cs="Times New Roman"/>
                <w:sz w:val="22"/>
                <w:szCs w:val="22"/>
              </w:rPr>
              <w:lastRenderedPageBreak/>
              <w:t>4.11</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8754C8" w:rsidRDefault="00EE5104" w:rsidP="00EE5104">
            <w:pPr>
              <w:jc w:val="center"/>
              <w:rPr>
                <w:rFonts w:ascii="Times New Roman" w:eastAsiaTheme="minorEastAsia" w:hAnsi="Times New Roman" w:cs="Times New Roman"/>
                <w:sz w:val="22"/>
                <w:szCs w:val="22"/>
              </w:rPr>
            </w:pPr>
            <w:r w:rsidRPr="008754C8">
              <w:rPr>
                <w:rFonts w:ascii="Times New Roman" w:eastAsiaTheme="minorEastAsia" w:hAnsi="Times New Roman" w:cs="Times New Roman"/>
                <w:sz w:val="22"/>
                <w:szCs w:val="22"/>
              </w:rPr>
              <w:lastRenderedPageBreak/>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8754C8" w:rsidRDefault="005067C5" w:rsidP="008754C8">
            <w:pPr>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Indigenous Peoples OP/BP 4.10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EE5104" w:rsidP="00EE5104">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Involuntary Resettlement OP/BP 4.12</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EE5104" w:rsidP="00EE5104">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rsidP="00192422">
            <w:pPr>
              <w:jc w:val="both"/>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Safety of Dams OP/BP 4.37</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EE5104" w:rsidP="00EE5104">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Projects on International Waterways OP/BP 7.50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646049" w:rsidP="00EE5104">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Projects in Disputed Areas OP/BP 7.60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EE5104" w:rsidP="00EE5104">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N</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8203E7">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4"/>
                <w:szCs w:val="4"/>
              </w:rPr>
            </w:pPr>
            <w:r w:rsidRPr="00F336EC">
              <w:rPr>
                <w:rFonts w:ascii="Times" w:eastAsiaTheme="minorEastAsia" w:hAnsi="Times" w:cs="Times"/>
                <w:color w:val="FFFFFF"/>
                <w:sz w:val="4"/>
                <w:szCs w:val="4"/>
              </w:rPr>
              <w:t>.</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rPr>
            </w:pPr>
            <w:r w:rsidRPr="00F336EC">
              <w:rPr>
                <w:rFonts w:ascii="Times New Roman" w:eastAsiaTheme="minorEastAsia" w:hAnsi="Times New Roman" w:cs="Times New Roman"/>
                <w:b/>
                <w:bCs/>
              </w:rPr>
              <w:t>III. SAFEGUARD PREPARATION PLAN</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2"/>
                <w:szCs w:val="2"/>
              </w:rPr>
            </w:pPr>
            <w:r w:rsidRPr="00F336EC">
              <w:rPr>
                <w:rFonts w:ascii="Times" w:eastAsiaTheme="minorEastAsia" w:hAnsi="Times" w:cs="Times"/>
                <w:color w:val="FFFFFF"/>
                <w:sz w:val="2"/>
                <w:szCs w:val="2"/>
              </w:rPr>
              <w:t>.</w:t>
            </w:r>
          </w:p>
        </w:tc>
      </w:tr>
      <w:tr w:rsidR="005067C5" w:rsidRPr="00F336EC" w:rsidTr="005067C5">
        <w:tc>
          <w:tcPr>
            <w:tcW w:w="469" w:type="dxa"/>
            <w:gridSpan w:val="2"/>
            <w:vMerge w:val="restart"/>
            <w:tcBorders>
              <w:top w:val="nil"/>
              <w:left w:val="nil"/>
              <w:bottom w:val="nil"/>
              <w:right w:val="nil"/>
            </w:tcBorders>
            <w:shd w:val="clear" w:color="auto" w:fill="FFFFFF"/>
            <w:tcMar>
              <w:top w:w="50" w:type="dxa"/>
              <w:left w:w="50" w:type="dxa"/>
              <w:bottom w:w="50" w:type="dxa"/>
              <w:right w:w="50" w:type="dxa"/>
            </w:tcMar>
          </w:tcPr>
          <w:p w:rsidR="005067C5" w:rsidRPr="00F336EC" w:rsidRDefault="005067C5">
            <w:pPr>
              <w:jc w:val="right"/>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 xml:space="preserve">  A.</w:t>
            </w:r>
          </w:p>
        </w:tc>
        <w:tc>
          <w:tcPr>
            <w:tcW w:w="8893" w:type="dxa"/>
            <w:gridSpan w:val="9"/>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Tentative target date for preparing the PAD Stage ISDS:</w:t>
            </w:r>
          </w:p>
        </w:tc>
      </w:tr>
      <w:tr w:rsidR="005067C5" w:rsidRPr="00F336EC" w:rsidTr="005067C5">
        <w:tc>
          <w:tcPr>
            <w:tcW w:w="469" w:type="dxa"/>
            <w:gridSpan w:val="2"/>
            <w:vMerge/>
            <w:tcBorders>
              <w:top w:val="nil"/>
              <w:left w:val="nil"/>
              <w:bottom w:val="nil"/>
              <w:right w:val="nil"/>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c>
          <w:tcPr>
            <w:tcW w:w="8893" w:type="dxa"/>
            <w:gridSpan w:val="9"/>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469" w:type="dxa"/>
            <w:gridSpan w:val="2"/>
            <w:vMerge w:val="restart"/>
            <w:tcBorders>
              <w:top w:val="nil"/>
              <w:left w:val="nil"/>
              <w:bottom w:val="nil"/>
              <w:right w:val="nil"/>
            </w:tcBorders>
            <w:shd w:val="clear" w:color="auto" w:fill="FFFFFF"/>
            <w:tcMar>
              <w:top w:w="50" w:type="dxa"/>
              <w:left w:w="50" w:type="dxa"/>
              <w:bottom w:w="50" w:type="dxa"/>
              <w:right w:w="50" w:type="dxa"/>
            </w:tcMar>
          </w:tcPr>
          <w:p w:rsidR="005067C5" w:rsidRPr="00F336EC" w:rsidRDefault="005067C5">
            <w:pPr>
              <w:jc w:val="right"/>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 xml:space="preserve">  B.</w:t>
            </w:r>
          </w:p>
        </w:tc>
        <w:tc>
          <w:tcPr>
            <w:tcW w:w="8893" w:type="dxa"/>
            <w:gridSpan w:val="9"/>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b/>
                <w:bCs/>
                <w:sz w:val="22"/>
                <w:szCs w:val="22"/>
              </w:rPr>
              <w:t>Time frame for launching and completing the safeguard-related studies that may be needed. The specific studies and their timing should be specified in the PAD-stage ISDS.</w:t>
            </w:r>
          </w:p>
        </w:tc>
      </w:tr>
      <w:tr w:rsidR="005067C5" w:rsidRPr="00F336EC" w:rsidTr="005067C5">
        <w:tc>
          <w:tcPr>
            <w:tcW w:w="469" w:type="dxa"/>
            <w:gridSpan w:val="2"/>
            <w:vMerge/>
            <w:tcBorders>
              <w:top w:val="nil"/>
              <w:left w:val="nil"/>
              <w:bottom w:val="nil"/>
              <w:right w:val="nil"/>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p>
        </w:tc>
        <w:tc>
          <w:tcPr>
            <w:tcW w:w="8893" w:type="dxa"/>
            <w:gridSpan w:val="9"/>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sz w:val="22"/>
                <w:szCs w:val="22"/>
              </w:rPr>
            </w:pP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4"/>
                <w:szCs w:val="4"/>
              </w:rPr>
            </w:pPr>
            <w:r w:rsidRPr="00F336EC">
              <w:rPr>
                <w:rFonts w:ascii="Times" w:eastAsiaTheme="minorEastAsia" w:hAnsi="Times" w:cs="Times"/>
                <w:color w:val="FFFFFF"/>
                <w:sz w:val="4"/>
                <w:szCs w:val="4"/>
              </w:rPr>
              <w:t>.</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rPr>
            </w:pPr>
            <w:r w:rsidRPr="00F336EC">
              <w:rPr>
                <w:rFonts w:ascii="Times New Roman" w:eastAsiaTheme="minorEastAsia" w:hAnsi="Times New Roman" w:cs="Times New Roman"/>
                <w:b/>
                <w:bCs/>
              </w:rPr>
              <w:t>IV. APPROVALS</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80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Task Team Leader:</w:t>
            </w:r>
          </w:p>
        </w:tc>
        <w:tc>
          <w:tcPr>
            <w:tcW w:w="636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rsidP="00E061F8">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 xml:space="preserve">Name: </w:t>
            </w:r>
            <w:proofErr w:type="spellStart"/>
            <w:r w:rsidR="00D75D72" w:rsidRPr="00F336EC">
              <w:rPr>
                <w:rFonts w:ascii="Times New Roman" w:eastAsiaTheme="minorEastAsia" w:hAnsi="Times New Roman" w:cs="Times New Roman"/>
                <w:sz w:val="22"/>
                <w:szCs w:val="22"/>
              </w:rPr>
              <w:t>Yadviga</w:t>
            </w:r>
            <w:proofErr w:type="spellEnd"/>
            <w:r w:rsidR="00D75D72" w:rsidRPr="00F336EC">
              <w:rPr>
                <w:rFonts w:ascii="Times New Roman" w:eastAsiaTheme="minorEastAsia" w:hAnsi="Times New Roman" w:cs="Times New Roman"/>
                <w:sz w:val="22"/>
                <w:szCs w:val="22"/>
              </w:rPr>
              <w:t xml:space="preserve"> </w:t>
            </w:r>
            <w:proofErr w:type="spellStart"/>
            <w:r w:rsidR="00D75D72" w:rsidRPr="00F336EC">
              <w:rPr>
                <w:rFonts w:ascii="Times New Roman" w:eastAsiaTheme="minorEastAsia" w:hAnsi="Times New Roman" w:cs="Times New Roman"/>
                <w:sz w:val="22"/>
                <w:szCs w:val="22"/>
              </w:rPr>
              <w:t>Semikolenova</w:t>
            </w:r>
            <w:proofErr w:type="spellEnd"/>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i/>
                <w:iCs/>
                <w:sz w:val="22"/>
                <w:szCs w:val="22"/>
              </w:rPr>
              <w:t>Approved By:</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80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F219EB">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Acting </w:t>
            </w:r>
            <w:r w:rsidR="005067C5" w:rsidRPr="00F336EC">
              <w:rPr>
                <w:rFonts w:ascii="Times New Roman" w:eastAsiaTheme="minorEastAsia" w:hAnsi="Times New Roman" w:cs="Times New Roman"/>
                <w:sz w:val="22"/>
                <w:szCs w:val="22"/>
              </w:rPr>
              <w:t>Regional Safeguards Coordinator:</w:t>
            </w:r>
          </w:p>
        </w:tc>
        <w:tc>
          <w:tcPr>
            <w:tcW w:w="40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rsidP="00F219EB">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 xml:space="preserve">Name: </w:t>
            </w:r>
            <w:r w:rsidR="00F219EB">
              <w:rPr>
                <w:rFonts w:ascii="Times New Roman" w:eastAsiaTheme="minorEastAsia" w:hAnsi="Times New Roman" w:cs="Times New Roman"/>
                <w:sz w:val="22"/>
                <w:szCs w:val="22"/>
              </w:rPr>
              <w:t>John Butler</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rsidP="00F219EB">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 xml:space="preserve">Date: </w:t>
            </w:r>
            <w:r w:rsidR="00DC5AF0">
              <w:rPr>
                <w:rFonts w:ascii="Times New Roman" w:eastAsiaTheme="minorEastAsia" w:hAnsi="Times New Roman" w:cs="Times New Roman"/>
                <w:sz w:val="22"/>
                <w:szCs w:val="22"/>
              </w:rPr>
              <w:t>09/</w:t>
            </w:r>
            <w:r w:rsidR="00646049">
              <w:rPr>
                <w:rFonts w:ascii="Times New Roman" w:eastAsiaTheme="minorEastAsia" w:hAnsi="Times New Roman" w:cs="Times New Roman"/>
                <w:sz w:val="22"/>
                <w:szCs w:val="22"/>
              </w:rPr>
              <w:t>1</w:t>
            </w:r>
            <w:r w:rsidR="00F219EB">
              <w:rPr>
                <w:rFonts w:ascii="Times New Roman" w:eastAsiaTheme="minorEastAsia" w:hAnsi="Times New Roman" w:cs="Times New Roman"/>
                <w:sz w:val="22"/>
                <w:szCs w:val="22"/>
              </w:rPr>
              <w:t>7</w:t>
            </w:r>
            <w:r w:rsidR="00DC5AF0">
              <w:rPr>
                <w:rFonts w:ascii="Times New Roman" w:eastAsiaTheme="minorEastAsia" w:hAnsi="Times New Roman" w:cs="Times New Roman"/>
                <w:sz w:val="22"/>
                <w:szCs w:val="22"/>
              </w:rPr>
              <w:t>/201</w:t>
            </w:r>
            <w:r w:rsidR="00646049">
              <w:rPr>
                <w:rFonts w:ascii="Times New Roman" w:eastAsiaTheme="minorEastAsia" w:hAnsi="Times New Roman" w:cs="Times New Roman"/>
                <w:sz w:val="22"/>
                <w:szCs w:val="22"/>
              </w:rPr>
              <w:t>3</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280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Sector Manager:</w:t>
            </w:r>
          </w:p>
        </w:tc>
        <w:tc>
          <w:tcPr>
            <w:tcW w:w="402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rsidP="008F15AC">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 xml:space="preserve">Name: </w:t>
            </w:r>
            <w:proofErr w:type="spellStart"/>
            <w:r w:rsidR="008F15AC">
              <w:rPr>
                <w:rFonts w:ascii="Times New Roman" w:eastAsiaTheme="minorEastAsia" w:hAnsi="Times New Roman" w:cs="Times New Roman"/>
                <w:sz w:val="22"/>
                <w:szCs w:val="22"/>
              </w:rPr>
              <w:t>Ranjit</w:t>
            </w:r>
            <w:proofErr w:type="spellEnd"/>
            <w:r w:rsidR="008F15AC">
              <w:rPr>
                <w:rFonts w:ascii="Times New Roman" w:eastAsiaTheme="minorEastAsia" w:hAnsi="Times New Roman" w:cs="Times New Roman"/>
                <w:sz w:val="22"/>
                <w:szCs w:val="22"/>
              </w:rPr>
              <w:t xml:space="preserve"> </w:t>
            </w:r>
            <w:proofErr w:type="spellStart"/>
            <w:r w:rsidR="008F15AC">
              <w:rPr>
                <w:rFonts w:ascii="Times New Roman" w:eastAsiaTheme="minorEastAsia" w:hAnsi="Times New Roman" w:cs="Times New Roman"/>
                <w:sz w:val="22"/>
                <w:szCs w:val="22"/>
              </w:rPr>
              <w:t>Lamech</w:t>
            </w:r>
            <w:proofErr w:type="spellEnd"/>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067C5" w:rsidRPr="00F336EC" w:rsidRDefault="005067C5">
            <w:pPr>
              <w:rPr>
                <w:rFonts w:ascii="Times New Roman" w:eastAsiaTheme="minorEastAsia" w:hAnsi="Times New Roman" w:cs="Times New Roman"/>
                <w:sz w:val="22"/>
                <w:szCs w:val="22"/>
              </w:rPr>
            </w:pPr>
            <w:r w:rsidRPr="00F336EC">
              <w:rPr>
                <w:rFonts w:ascii="Times New Roman" w:eastAsiaTheme="minorEastAsia" w:hAnsi="Times New Roman" w:cs="Times New Roman"/>
                <w:sz w:val="22"/>
                <w:szCs w:val="22"/>
              </w:rPr>
              <w:t xml:space="preserve">Date: </w:t>
            </w:r>
            <w:r w:rsidR="008F15AC">
              <w:rPr>
                <w:rFonts w:ascii="Times New Roman" w:eastAsiaTheme="minorEastAsia" w:hAnsi="Times New Roman" w:cs="Times New Roman"/>
                <w:sz w:val="22"/>
                <w:szCs w:val="22"/>
              </w:rPr>
              <w:t>09/30/2013</w:t>
            </w:r>
          </w:p>
        </w:tc>
      </w:tr>
      <w:tr w:rsidR="005067C5" w:rsidRPr="00F336EC" w:rsidTr="005067C5">
        <w:tc>
          <w:tcPr>
            <w:tcW w:w="9362" w:type="dxa"/>
            <w:gridSpan w:val="11"/>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w:eastAsiaTheme="minorEastAsia" w:hAnsi="Times" w:cs="Times"/>
                <w:color w:val="FFFFFF"/>
                <w:sz w:val="60"/>
                <w:szCs w:val="60"/>
              </w:rPr>
            </w:pPr>
            <w:r w:rsidRPr="00F336EC">
              <w:rPr>
                <w:rFonts w:ascii="Times" w:eastAsiaTheme="minorEastAsia" w:hAnsi="Times" w:cs="Times"/>
                <w:color w:val="FFFFFF"/>
                <w:sz w:val="60"/>
                <w:szCs w:val="60"/>
              </w:rPr>
              <w:t>.</w:t>
            </w:r>
          </w:p>
        </w:tc>
      </w:tr>
      <w:tr w:rsidR="005067C5" w:rsidRPr="00F336EC" w:rsidTr="005067C5">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color w:val="auto"/>
              </w:rPr>
            </w:pPr>
          </w:p>
        </w:tc>
        <w:tc>
          <w:tcPr>
            <w:tcW w:w="9174" w:type="dxa"/>
            <w:gridSpan w:val="10"/>
            <w:tcBorders>
              <w:top w:val="nil"/>
              <w:left w:val="nil"/>
              <w:bottom w:val="nil"/>
              <w:right w:val="nil"/>
            </w:tcBorders>
            <w:shd w:val="clear" w:color="auto" w:fill="FFFFFF"/>
            <w:tcMar>
              <w:top w:w="50" w:type="dxa"/>
              <w:left w:w="50" w:type="dxa"/>
              <w:bottom w:w="50" w:type="dxa"/>
              <w:right w:w="50" w:type="dxa"/>
            </w:tcMar>
            <w:vAlign w:val="center"/>
          </w:tcPr>
          <w:p w:rsidR="005067C5" w:rsidRPr="00F336EC" w:rsidRDefault="005067C5">
            <w:pPr>
              <w:rPr>
                <w:rFonts w:ascii="Times New Roman" w:eastAsiaTheme="minorEastAsia" w:hAnsi="Times New Roman" w:cs="Times New Roman"/>
                <w:sz w:val="18"/>
                <w:szCs w:val="18"/>
              </w:rPr>
            </w:pPr>
            <w:r w:rsidRPr="00F336EC">
              <w:rPr>
                <w:rFonts w:ascii="Times New Roman" w:eastAsiaTheme="minorEastAsia" w:hAnsi="Times New Roman" w:cs="Times New Roman"/>
                <w:b/>
                <w:bCs/>
                <w:sz w:val="22"/>
                <w:szCs w:val="22"/>
                <w:vertAlign w:val="superscript"/>
              </w:rPr>
              <w:t xml:space="preserve"> 1 </w:t>
            </w:r>
            <w:r w:rsidRPr="00F336EC">
              <w:rPr>
                <w:rFonts w:ascii="Times New Roman" w:eastAsiaTheme="minorEastAsia" w:hAnsi="Times New Roman" w:cs="Times New Roman"/>
                <w:sz w:val="18"/>
                <w:szCs w:val="18"/>
              </w:rPr>
              <w:t>Reminder: The Bank's Disclosure Policy requires that safeguard-related documents be disclosed before appraisal (</w:t>
            </w:r>
            <w:proofErr w:type="spellStart"/>
            <w:r w:rsidRPr="00F336EC">
              <w:rPr>
                <w:rFonts w:ascii="Times New Roman" w:eastAsiaTheme="minorEastAsia" w:hAnsi="Times New Roman" w:cs="Times New Roman"/>
                <w:sz w:val="18"/>
                <w:szCs w:val="18"/>
              </w:rPr>
              <w:t>i</w:t>
            </w:r>
            <w:proofErr w:type="spellEnd"/>
            <w:r w:rsidRPr="00F336EC">
              <w:rPr>
                <w:rFonts w:ascii="Times New Roman" w:eastAsiaTheme="minorEastAsia" w:hAnsi="Times New Roman" w:cs="Times New Roman"/>
                <w:sz w:val="18"/>
                <w:szCs w:val="18"/>
              </w:rPr>
              <w:t xml:space="preserve">) at the </w:t>
            </w:r>
            <w:proofErr w:type="spellStart"/>
            <w:r w:rsidRPr="00F336EC">
              <w:rPr>
                <w:rFonts w:ascii="Times New Roman" w:eastAsiaTheme="minorEastAsia" w:hAnsi="Times New Roman" w:cs="Times New Roman"/>
                <w:sz w:val="18"/>
                <w:szCs w:val="18"/>
              </w:rPr>
              <w:t>InfoShop</w:t>
            </w:r>
            <w:proofErr w:type="spellEnd"/>
            <w:r w:rsidRPr="00F336EC">
              <w:rPr>
                <w:rFonts w:ascii="Times New Roman" w:eastAsiaTheme="minorEastAsia" w:hAnsi="Times New Roman" w:cs="Times New Roman"/>
                <w:sz w:val="18"/>
                <w:szCs w:val="18"/>
              </w:rPr>
              <w:t xml:space="preserve"> and (ii) in country, at publicly accessible locations and in a form and language that are accessible to potentially affected persons. </w:t>
            </w:r>
          </w:p>
        </w:tc>
      </w:tr>
    </w:tbl>
    <w:p w:rsidR="00E061F8" w:rsidRDefault="00E061F8"/>
    <w:sectPr w:rsidR="00E061F8" w:rsidSect="008F1B41">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79" w:rsidRDefault="00884879" w:rsidP="002A5A52">
      <w:r>
        <w:separator/>
      </w:r>
    </w:p>
  </w:endnote>
  <w:endnote w:type="continuationSeparator" w:id="0">
    <w:p w:rsidR="00884879" w:rsidRDefault="00884879" w:rsidP="002A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79" w:rsidRDefault="00884879" w:rsidP="002A5A52">
      <w:r>
        <w:separator/>
      </w:r>
    </w:p>
  </w:footnote>
  <w:footnote w:type="continuationSeparator" w:id="0">
    <w:p w:rsidR="00884879" w:rsidRDefault="00884879" w:rsidP="002A5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607B"/>
    <w:multiLevelType w:val="hybridMultilevel"/>
    <w:tmpl w:val="4628EE16"/>
    <w:lvl w:ilvl="0" w:tplc="DB6C7D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3B022988">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
    <w:nsid w:val="21D6562F"/>
    <w:multiLevelType w:val="hybridMultilevel"/>
    <w:tmpl w:val="3536D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3466A4"/>
    <w:multiLevelType w:val="hybridMultilevel"/>
    <w:tmpl w:val="B90218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76B42457"/>
    <w:multiLevelType w:val="hybridMultilevel"/>
    <w:tmpl w:val="1496FE02"/>
    <w:lvl w:ilvl="0" w:tplc="60EE0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F8"/>
    <w:rsid w:val="00002830"/>
    <w:rsid w:val="0003435F"/>
    <w:rsid w:val="0009068E"/>
    <w:rsid w:val="000B56F3"/>
    <w:rsid w:val="00124F89"/>
    <w:rsid w:val="00190636"/>
    <w:rsid w:val="00192422"/>
    <w:rsid w:val="00192C77"/>
    <w:rsid w:val="00197C0F"/>
    <w:rsid w:val="00224282"/>
    <w:rsid w:val="00236327"/>
    <w:rsid w:val="00246B3E"/>
    <w:rsid w:val="00256490"/>
    <w:rsid w:val="002576F3"/>
    <w:rsid w:val="002A2B68"/>
    <w:rsid w:val="002A5A52"/>
    <w:rsid w:val="002E1C0F"/>
    <w:rsid w:val="003372F8"/>
    <w:rsid w:val="003E570E"/>
    <w:rsid w:val="003E720A"/>
    <w:rsid w:val="004657D1"/>
    <w:rsid w:val="004E7E5B"/>
    <w:rsid w:val="005067C5"/>
    <w:rsid w:val="00526C46"/>
    <w:rsid w:val="005304E2"/>
    <w:rsid w:val="00561CE1"/>
    <w:rsid w:val="00562FBF"/>
    <w:rsid w:val="005B29EA"/>
    <w:rsid w:val="005D31BF"/>
    <w:rsid w:val="005F048E"/>
    <w:rsid w:val="005F16BB"/>
    <w:rsid w:val="00621FD5"/>
    <w:rsid w:val="00646049"/>
    <w:rsid w:val="00661D4E"/>
    <w:rsid w:val="006E073A"/>
    <w:rsid w:val="007041AF"/>
    <w:rsid w:val="00724E3C"/>
    <w:rsid w:val="007B4DA8"/>
    <w:rsid w:val="007C169B"/>
    <w:rsid w:val="007C736E"/>
    <w:rsid w:val="008203E7"/>
    <w:rsid w:val="00825F32"/>
    <w:rsid w:val="00842F17"/>
    <w:rsid w:val="008433DC"/>
    <w:rsid w:val="00855F55"/>
    <w:rsid w:val="008621CB"/>
    <w:rsid w:val="008754C8"/>
    <w:rsid w:val="00884879"/>
    <w:rsid w:val="008D0EE4"/>
    <w:rsid w:val="008F07EF"/>
    <w:rsid w:val="008F15AC"/>
    <w:rsid w:val="008F1B41"/>
    <w:rsid w:val="00922EB0"/>
    <w:rsid w:val="009421EA"/>
    <w:rsid w:val="00951AEC"/>
    <w:rsid w:val="00962BA1"/>
    <w:rsid w:val="009A6929"/>
    <w:rsid w:val="009C7E44"/>
    <w:rsid w:val="00A76977"/>
    <w:rsid w:val="00A92F57"/>
    <w:rsid w:val="00A94003"/>
    <w:rsid w:val="00AC2A47"/>
    <w:rsid w:val="00AF60DA"/>
    <w:rsid w:val="00B02FC8"/>
    <w:rsid w:val="00B275F0"/>
    <w:rsid w:val="00B50C0C"/>
    <w:rsid w:val="00B60E37"/>
    <w:rsid w:val="00B90DF3"/>
    <w:rsid w:val="00BE4D7E"/>
    <w:rsid w:val="00BF3435"/>
    <w:rsid w:val="00C1191D"/>
    <w:rsid w:val="00C246F5"/>
    <w:rsid w:val="00C27BF6"/>
    <w:rsid w:val="00C75267"/>
    <w:rsid w:val="00CA1875"/>
    <w:rsid w:val="00D17082"/>
    <w:rsid w:val="00D34856"/>
    <w:rsid w:val="00D53AC6"/>
    <w:rsid w:val="00D75D72"/>
    <w:rsid w:val="00D9242D"/>
    <w:rsid w:val="00DC5AF0"/>
    <w:rsid w:val="00E061F8"/>
    <w:rsid w:val="00E10964"/>
    <w:rsid w:val="00E27AFB"/>
    <w:rsid w:val="00E607DF"/>
    <w:rsid w:val="00E77A36"/>
    <w:rsid w:val="00E92FDD"/>
    <w:rsid w:val="00EE2DA9"/>
    <w:rsid w:val="00EE5104"/>
    <w:rsid w:val="00F10D8B"/>
    <w:rsid w:val="00F219EB"/>
    <w:rsid w:val="00F32AA1"/>
    <w:rsid w:val="00F336EC"/>
    <w:rsid w:val="00F81C90"/>
    <w:rsid w:val="00F9666B"/>
    <w:rsid w:val="00FD6E64"/>
    <w:rsid w:val="00FF07F1"/>
    <w:rsid w:val="00FF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41"/>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
    <w:qFormat/>
    <w:rsid w:val="008F1B41"/>
    <w:pPr>
      <w:outlineLvl w:val="0"/>
    </w:pPr>
    <w:rPr>
      <w:b/>
      <w:bCs/>
      <w:sz w:val="32"/>
      <w:szCs w:val="32"/>
    </w:rPr>
  </w:style>
  <w:style w:type="paragraph" w:styleId="Heading2">
    <w:name w:val="heading 2"/>
    <w:basedOn w:val="Normal"/>
    <w:next w:val="Normal"/>
    <w:link w:val="Heading2Char"/>
    <w:uiPriority w:val="99"/>
    <w:qFormat/>
    <w:rsid w:val="008F1B41"/>
    <w:pPr>
      <w:outlineLvl w:val="1"/>
    </w:pPr>
    <w:rPr>
      <w:b/>
      <w:bCs/>
      <w:i/>
      <w:iCs/>
      <w:sz w:val="28"/>
      <w:szCs w:val="28"/>
    </w:rPr>
  </w:style>
  <w:style w:type="paragraph" w:styleId="Heading3">
    <w:name w:val="heading 3"/>
    <w:basedOn w:val="Normal"/>
    <w:next w:val="Normal"/>
    <w:link w:val="Heading3Char"/>
    <w:uiPriority w:val="99"/>
    <w:qFormat/>
    <w:rsid w:val="008F1B41"/>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B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8F1B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8F1B41"/>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2242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282"/>
    <w:rPr>
      <w:rFonts w:ascii="Tahoma" w:hAnsi="Tahoma" w:cs="Tahoma"/>
      <w:color w:val="000000"/>
      <w:sz w:val="16"/>
      <w:szCs w:val="16"/>
    </w:rPr>
  </w:style>
  <w:style w:type="character" w:styleId="CommentReference">
    <w:name w:val="annotation reference"/>
    <w:basedOn w:val="DefaultParagraphFont"/>
    <w:uiPriority w:val="99"/>
    <w:semiHidden/>
    <w:unhideWhenUsed/>
    <w:rsid w:val="00AC2A47"/>
    <w:rPr>
      <w:sz w:val="16"/>
      <w:szCs w:val="16"/>
    </w:rPr>
  </w:style>
  <w:style w:type="paragraph" w:styleId="CommentText">
    <w:name w:val="annotation text"/>
    <w:basedOn w:val="Normal"/>
    <w:link w:val="CommentTextChar"/>
    <w:uiPriority w:val="99"/>
    <w:semiHidden/>
    <w:unhideWhenUsed/>
    <w:rsid w:val="00AC2A47"/>
    <w:rPr>
      <w:sz w:val="20"/>
      <w:szCs w:val="20"/>
    </w:rPr>
  </w:style>
  <w:style w:type="character" w:customStyle="1" w:styleId="CommentTextChar">
    <w:name w:val="Comment Text Char"/>
    <w:basedOn w:val="DefaultParagraphFont"/>
    <w:link w:val="CommentText"/>
    <w:uiPriority w:val="99"/>
    <w:semiHidden/>
    <w:rsid w:val="00AC2A47"/>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AC2A47"/>
    <w:rPr>
      <w:b/>
      <w:bCs/>
    </w:rPr>
  </w:style>
  <w:style w:type="character" w:customStyle="1" w:styleId="CommentSubjectChar">
    <w:name w:val="Comment Subject Char"/>
    <w:basedOn w:val="CommentTextChar"/>
    <w:link w:val="CommentSubject"/>
    <w:uiPriority w:val="99"/>
    <w:semiHidden/>
    <w:rsid w:val="00AC2A47"/>
    <w:rPr>
      <w:rFonts w:ascii="Arial" w:hAnsi="Arial" w:cs="Arial"/>
      <w:b/>
      <w:bCs/>
      <w:color w:val="000000"/>
    </w:rPr>
  </w:style>
  <w:style w:type="paragraph" w:styleId="ListParagraph">
    <w:name w:val="List Paragraph"/>
    <w:basedOn w:val="Normal"/>
    <w:uiPriority w:val="34"/>
    <w:qFormat/>
    <w:rsid w:val="00D17082"/>
    <w:pPr>
      <w:ind w:left="720"/>
      <w:contextualSpacing/>
    </w:pPr>
  </w:style>
  <w:style w:type="table" w:styleId="TableGrid">
    <w:name w:val="Table Grid"/>
    <w:basedOn w:val="TableNormal"/>
    <w:rsid w:val="002A5A5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A5A52"/>
    <w:pPr>
      <w:autoSpaceDE w:val="0"/>
      <w:autoSpaceDN w:val="0"/>
      <w:adjustRightInd w:val="0"/>
    </w:pPr>
    <w:rPr>
      <w:rFonts w:ascii="Times New Roman" w:hAnsi="Times New Roman"/>
      <w:color w:val="000000"/>
      <w:sz w:val="24"/>
      <w:szCs w:val="24"/>
    </w:rPr>
  </w:style>
  <w:style w:type="character" w:customStyle="1" w:styleId="FootnoteTextChar">
    <w:name w:val="Footnote Text Char"/>
    <w:aliases w:val="single space Char,footnote text Char,fn Char,Footnote text Char,FOOTNOTES Char,ft Char,ADB Char1,ADB Char Char,single space Char Char Char,Fußnotentext Char Char,Footnote Text Char2 Char Char,Footnote Text Char1 Char Char Char"/>
    <w:basedOn w:val="DefaultParagraphFont"/>
    <w:link w:val="FootnoteText"/>
    <w:locked/>
    <w:rsid w:val="002A5A52"/>
    <w:rPr>
      <w:rFonts w:ascii="Times New Roman" w:eastAsia="MS Mincho" w:hAnsi="Times New Roman"/>
    </w:rPr>
  </w:style>
  <w:style w:type="paragraph" w:styleId="FootnoteText">
    <w:name w:val="footnote text"/>
    <w:aliases w:val="single space,footnote text,fn,Footnote text,FOOTNOTES,ft,ADB,ADB Char,single space Char Char,Fußnotentext Char,Footnote Text Char2 Char,Footnote Text Char1 Char Char,Footnote Text Char2 Char Char Char,Footno,Footnote"/>
    <w:basedOn w:val="Normal"/>
    <w:link w:val="FootnoteTextChar"/>
    <w:unhideWhenUsed/>
    <w:rsid w:val="002A5A52"/>
    <w:pPr>
      <w:widowControl/>
      <w:autoSpaceDE/>
      <w:autoSpaceDN/>
      <w:adjustRightInd/>
    </w:pPr>
    <w:rPr>
      <w:rFonts w:ascii="Times New Roman" w:eastAsia="MS Mincho" w:hAnsi="Times New Roman" w:cs="Times New Roman"/>
      <w:color w:val="auto"/>
      <w:sz w:val="20"/>
      <w:szCs w:val="20"/>
    </w:rPr>
  </w:style>
  <w:style w:type="character" w:customStyle="1" w:styleId="FootnoteTextChar1">
    <w:name w:val="Footnote Text Char1"/>
    <w:basedOn w:val="DefaultParagraphFont"/>
    <w:uiPriority w:val="99"/>
    <w:semiHidden/>
    <w:rsid w:val="002A5A52"/>
    <w:rPr>
      <w:rFonts w:ascii="Arial" w:hAnsi="Arial" w:cs="Arial"/>
      <w:color w:val="00000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unhideWhenUsed/>
    <w:rsid w:val="002A5A52"/>
    <w:rPr>
      <w:vertAlign w:val="superscript"/>
    </w:rPr>
  </w:style>
  <w:style w:type="paragraph" w:customStyle="1" w:styleId="Label2">
    <w:name w:val="Label 2"/>
    <w:basedOn w:val="Normal"/>
    <w:link w:val="Label2Char"/>
    <w:autoRedefine/>
    <w:rsid w:val="002A5A52"/>
    <w:pPr>
      <w:widowControl/>
      <w:autoSpaceDE/>
      <w:autoSpaceDN/>
      <w:adjustRightInd/>
      <w:spacing w:before="60" w:line="480" w:lineRule="auto"/>
    </w:pPr>
    <w:rPr>
      <w:rFonts w:ascii="Trebuchet MS" w:hAnsi="Trebuchet MS" w:cs="Times New Roman"/>
      <w:b/>
      <w:i/>
      <w:color w:val="115096"/>
      <w:sz w:val="18"/>
    </w:rPr>
  </w:style>
  <w:style w:type="paragraph" w:customStyle="1" w:styleId="TableHeader">
    <w:name w:val="Table Header"/>
    <w:basedOn w:val="Normal"/>
    <w:link w:val="TableHeaderChar"/>
    <w:rsid w:val="002A5A52"/>
    <w:pPr>
      <w:widowControl/>
      <w:autoSpaceDE/>
      <w:autoSpaceDN/>
      <w:adjustRightInd/>
    </w:pPr>
    <w:rPr>
      <w:rFonts w:ascii="Trebuchet MS" w:hAnsi="Trebuchet MS" w:cs="Times New Roman"/>
      <w:b/>
      <w:color w:val="3A3A3A"/>
      <w:sz w:val="18"/>
    </w:rPr>
  </w:style>
  <w:style w:type="paragraph" w:customStyle="1" w:styleId="BodyText2">
    <w:name w:val="Body Text2"/>
    <w:basedOn w:val="Normal"/>
    <w:link w:val="BodyText2Char"/>
    <w:rsid w:val="002A5A52"/>
    <w:pPr>
      <w:widowControl/>
      <w:autoSpaceDE/>
      <w:autoSpaceDN/>
      <w:adjustRightInd/>
      <w:spacing w:line="300" w:lineRule="auto"/>
    </w:pPr>
    <w:rPr>
      <w:rFonts w:ascii="Trebuchet MS" w:hAnsi="Trebuchet MS" w:cs="Times New Roman"/>
      <w:sz w:val="18"/>
    </w:rPr>
  </w:style>
  <w:style w:type="paragraph" w:customStyle="1" w:styleId="Subhead">
    <w:name w:val="Subhead"/>
    <w:basedOn w:val="Normal"/>
    <w:link w:val="SubheadChar"/>
    <w:rsid w:val="002A5A52"/>
    <w:pPr>
      <w:widowControl/>
      <w:autoSpaceDE/>
      <w:autoSpaceDN/>
      <w:adjustRightInd/>
    </w:pPr>
    <w:rPr>
      <w:rFonts w:ascii="Trebuchet MS" w:hAnsi="Trebuchet MS" w:cs="Times New Roman"/>
      <w:b/>
      <w:i/>
      <w:color w:val="414141"/>
    </w:rPr>
  </w:style>
  <w:style w:type="character" w:customStyle="1" w:styleId="Label2Char">
    <w:name w:val="Label 2 Char"/>
    <w:basedOn w:val="DefaultParagraphFont"/>
    <w:link w:val="Label2"/>
    <w:rsid w:val="002A5A52"/>
    <w:rPr>
      <w:rFonts w:ascii="Trebuchet MS" w:hAnsi="Trebuchet MS"/>
      <w:b/>
      <w:i/>
      <w:color w:val="115096"/>
      <w:sz w:val="18"/>
      <w:szCs w:val="24"/>
    </w:rPr>
  </w:style>
  <w:style w:type="character" w:customStyle="1" w:styleId="BodyText2Char">
    <w:name w:val="Body Text2 Char"/>
    <w:basedOn w:val="DefaultParagraphFont"/>
    <w:link w:val="BodyText2"/>
    <w:rsid w:val="002A5A52"/>
    <w:rPr>
      <w:rFonts w:ascii="Trebuchet MS" w:hAnsi="Trebuchet MS"/>
      <w:color w:val="000000"/>
      <w:sz w:val="18"/>
      <w:szCs w:val="24"/>
    </w:rPr>
  </w:style>
  <w:style w:type="paragraph" w:customStyle="1" w:styleId="Superscript">
    <w:name w:val="Superscript"/>
    <w:basedOn w:val="Normal"/>
    <w:link w:val="SuperscriptChar"/>
    <w:rsid w:val="002A5A52"/>
    <w:pPr>
      <w:widowControl/>
      <w:tabs>
        <w:tab w:val="left" w:pos="540"/>
      </w:tabs>
      <w:autoSpaceDE/>
      <w:autoSpaceDN/>
      <w:adjustRightInd/>
    </w:pPr>
    <w:rPr>
      <w:rFonts w:ascii="Trebuchet MS" w:hAnsi="Trebuchet MS" w:cs="Times New Roman"/>
      <w:color w:val="808080"/>
      <w:sz w:val="18"/>
      <w:szCs w:val="15"/>
      <w:vertAlign w:val="superscript"/>
    </w:rPr>
  </w:style>
  <w:style w:type="character" w:customStyle="1" w:styleId="SuperscriptChar">
    <w:name w:val="Superscript Char"/>
    <w:basedOn w:val="DefaultParagraphFont"/>
    <w:link w:val="Superscript"/>
    <w:rsid w:val="002A5A52"/>
    <w:rPr>
      <w:rFonts w:ascii="Trebuchet MS" w:hAnsi="Trebuchet MS"/>
      <w:color w:val="808080"/>
      <w:sz w:val="18"/>
      <w:szCs w:val="15"/>
      <w:vertAlign w:val="superscript"/>
    </w:rPr>
  </w:style>
  <w:style w:type="character" w:customStyle="1" w:styleId="SubheadChar">
    <w:name w:val="Subhead Char"/>
    <w:basedOn w:val="DefaultParagraphFont"/>
    <w:link w:val="Subhead"/>
    <w:rsid w:val="002A5A52"/>
    <w:rPr>
      <w:rFonts w:ascii="Trebuchet MS" w:hAnsi="Trebuchet MS"/>
      <w:b/>
      <w:i/>
      <w:color w:val="414141"/>
      <w:sz w:val="24"/>
      <w:szCs w:val="24"/>
    </w:rPr>
  </w:style>
  <w:style w:type="character" w:customStyle="1" w:styleId="TableHeaderChar">
    <w:name w:val="Table Header Char"/>
    <w:basedOn w:val="DefaultParagraphFont"/>
    <w:link w:val="TableHeader"/>
    <w:rsid w:val="002A5A52"/>
    <w:rPr>
      <w:rFonts w:ascii="Trebuchet MS" w:hAnsi="Trebuchet MS"/>
      <w:b/>
      <w:color w:val="3A3A3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41"/>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
    <w:qFormat/>
    <w:rsid w:val="008F1B41"/>
    <w:pPr>
      <w:outlineLvl w:val="0"/>
    </w:pPr>
    <w:rPr>
      <w:b/>
      <w:bCs/>
      <w:sz w:val="32"/>
      <w:szCs w:val="32"/>
    </w:rPr>
  </w:style>
  <w:style w:type="paragraph" w:styleId="Heading2">
    <w:name w:val="heading 2"/>
    <w:basedOn w:val="Normal"/>
    <w:next w:val="Normal"/>
    <w:link w:val="Heading2Char"/>
    <w:uiPriority w:val="99"/>
    <w:qFormat/>
    <w:rsid w:val="008F1B41"/>
    <w:pPr>
      <w:outlineLvl w:val="1"/>
    </w:pPr>
    <w:rPr>
      <w:b/>
      <w:bCs/>
      <w:i/>
      <w:iCs/>
      <w:sz w:val="28"/>
      <w:szCs w:val="28"/>
    </w:rPr>
  </w:style>
  <w:style w:type="paragraph" w:styleId="Heading3">
    <w:name w:val="heading 3"/>
    <w:basedOn w:val="Normal"/>
    <w:next w:val="Normal"/>
    <w:link w:val="Heading3Char"/>
    <w:uiPriority w:val="99"/>
    <w:qFormat/>
    <w:rsid w:val="008F1B41"/>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B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8F1B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8F1B41"/>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2242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282"/>
    <w:rPr>
      <w:rFonts w:ascii="Tahoma" w:hAnsi="Tahoma" w:cs="Tahoma"/>
      <w:color w:val="000000"/>
      <w:sz w:val="16"/>
      <w:szCs w:val="16"/>
    </w:rPr>
  </w:style>
  <w:style w:type="character" w:styleId="CommentReference">
    <w:name w:val="annotation reference"/>
    <w:basedOn w:val="DefaultParagraphFont"/>
    <w:uiPriority w:val="99"/>
    <w:semiHidden/>
    <w:unhideWhenUsed/>
    <w:rsid w:val="00AC2A47"/>
    <w:rPr>
      <w:sz w:val="16"/>
      <w:szCs w:val="16"/>
    </w:rPr>
  </w:style>
  <w:style w:type="paragraph" w:styleId="CommentText">
    <w:name w:val="annotation text"/>
    <w:basedOn w:val="Normal"/>
    <w:link w:val="CommentTextChar"/>
    <w:uiPriority w:val="99"/>
    <w:semiHidden/>
    <w:unhideWhenUsed/>
    <w:rsid w:val="00AC2A47"/>
    <w:rPr>
      <w:sz w:val="20"/>
      <w:szCs w:val="20"/>
    </w:rPr>
  </w:style>
  <w:style w:type="character" w:customStyle="1" w:styleId="CommentTextChar">
    <w:name w:val="Comment Text Char"/>
    <w:basedOn w:val="DefaultParagraphFont"/>
    <w:link w:val="CommentText"/>
    <w:uiPriority w:val="99"/>
    <w:semiHidden/>
    <w:rsid w:val="00AC2A47"/>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AC2A47"/>
    <w:rPr>
      <w:b/>
      <w:bCs/>
    </w:rPr>
  </w:style>
  <w:style w:type="character" w:customStyle="1" w:styleId="CommentSubjectChar">
    <w:name w:val="Comment Subject Char"/>
    <w:basedOn w:val="CommentTextChar"/>
    <w:link w:val="CommentSubject"/>
    <w:uiPriority w:val="99"/>
    <w:semiHidden/>
    <w:rsid w:val="00AC2A47"/>
    <w:rPr>
      <w:rFonts w:ascii="Arial" w:hAnsi="Arial" w:cs="Arial"/>
      <w:b/>
      <w:bCs/>
      <w:color w:val="000000"/>
    </w:rPr>
  </w:style>
  <w:style w:type="paragraph" w:styleId="ListParagraph">
    <w:name w:val="List Paragraph"/>
    <w:basedOn w:val="Normal"/>
    <w:uiPriority w:val="34"/>
    <w:qFormat/>
    <w:rsid w:val="00D17082"/>
    <w:pPr>
      <w:ind w:left="720"/>
      <w:contextualSpacing/>
    </w:pPr>
  </w:style>
  <w:style w:type="table" w:styleId="TableGrid">
    <w:name w:val="Table Grid"/>
    <w:basedOn w:val="TableNormal"/>
    <w:rsid w:val="002A5A5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A5A52"/>
    <w:pPr>
      <w:autoSpaceDE w:val="0"/>
      <w:autoSpaceDN w:val="0"/>
      <w:adjustRightInd w:val="0"/>
    </w:pPr>
    <w:rPr>
      <w:rFonts w:ascii="Times New Roman" w:hAnsi="Times New Roman"/>
      <w:color w:val="000000"/>
      <w:sz w:val="24"/>
      <w:szCs w:val="24"/>
    </w:rPr>
  </w:style>
  <w:style w:type="character" w:customStyle="1" w:styleId="FootnoteTextChar">
    <w:name w:val="Footnote Text Char"/>
    <w:aliases w:val="single space Char,footnote text Char,fn Char,Footnote text Char,FOOTNOTES Char,ft Char,ADB Char1,ADB Char Char,single space Char Char Char,Fußnotentext Char Char,Footnote Text Char2 Char Char,Footnote Text Char1 Char Char Char"/>
    <w:basedOn w:val="DefaultParagraphFont"/>
    <w:link w:val="FootnoteText"/>
    <w:locked/>
    <w:rsid w:val="002A5A52"/>
    <w:rPr>
      <w:rFonts w:ascii="Times New Roman" w:eastAsia="MS Mincho" w:hAnsi="Times New Roman"/>
    </w:rPr>
  </w:style>
  <w:style w:type="paragraph" w:styleId="FootnoteText">
    <w:name w:val="footnote text"/>
    <w:aliases w:val="single space,footnote text,fn,Footnote text,FOOTNOTES,ft,ADB,ADB Char,single space Char Char,Fußnotentext Char,Footnote Text Char2 Char,Footnote Text Char1 Char Char,Footnote Text Char2 Char Char Char,Footno,Footnote"/>
    <w:basedOn w:val="Normal"/>
    <w:link w:val="FootnoteTextChar"/>
    <w:unhideWhenUsed/>
    <w:rsid w:val="002A5A52"/>
    <w:pPr>
      <w:widowControl/>
      <w:autoSpaceDE/>
      <w:autoSpaceDN/>
      <w:adjustRightInd/>
    </w:pPr>
    <w:rPr>
      <w:rFonts w:ascii="Times New Roman" w:eastAsia="MS Mincho" w:hAnsi="Times New Roman" w:cs="Times New Roman"/>
      <w:color w:val="auto"/>
      <w:sz w:val="20"/>
      <w:szCs w:val="20"/>
    </w:rPr>
  </w:style>
  <w:style w:type="character" w:customStyle="1" w:styleId="FootnoteTextChar1">
    <w:name w:val="Footnote Text Char1"/>
    <w:basedOn w:val="DefaultParagraphFont"/>
    <w:uiPriority w:val="99"/>
    <w:semiHidden/>
    <w:rsid w:val="002A5A52"/>
    <w:rPr>
      <w:rFonts w:ascii="Arial" w:hAnsi="Arial" w:cs="Arial"/>
      <w:color w:val="00000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unhideWhenUsed/>
    <w:rsid w:val="002A5A52"/>
    <w:rPr>
      <w:vertAlign w:val="superscript"/>
    </w:rPr>
  </w:style>
  <w:style w:type="paragraph" w:customStyle="1" w:styleId="Label2">
    <w:name w:val="Label 2"/>
    <w:basedOn w:val="Normal"/>
    <w:link w:val="Label2Char"/>
    <w:autoRedefine/>
    <w:rsid w:val="002A5A52"/>
    <w:pPr>
      <w:widowControl/>
      <w:autoSpaceDE/>
      <w:autoSpaceDN/>
      <w:adjustRightInd/>
      <w:spacing w:before="60" w:line="480" w:lineRule="auto"/>
    </w:pPr>
    <w:rPr>
      <w:rFonts w:ascii="Trebuchet MS" w:hAnsi="Trebuchet MS" w:cs="Times New Roman"/>
      <w:b/>
      <w:i/>
      <w:color w:val="115096"/>
      <w:sz w:val="18"/>
    </w:rPr>
  </w:style>
  <w:style w:type="paragraph" w:customStyle="1" w:styleId="TableHeader">
    <w:name w:val="Table Header"/>
    <w:basedOn w:val="Normal"/>
    <w:link w:val="TableHeaderChar"/>
    <w:rsid w:val="002A5A52"/>
    <w:pPr>
      <w:widowControl/>
      <w:autoSpaceDE/>
      <w:autoSpaceDN/>
      <w:adjustRightInd/>
    </w:pPr>
    <w:rPr>
      <w:rFonts w:ascii="Trebuchet MS" w:hAnsi="Trebuchet MS" w:cs="Times New Roman"/>
      <w:b/>
      <w:color w:val="3A3A3A"/>
      <w:sz w:val="18"/>
    </w:rPr>
  </w:style>
  <w:style w:type="paragraph" w:customStyle="1" w:styleId="BodyText2">
    <w:name w:val="Body Text2"/>
    <w:basedOn w:val="Normal"/>
    <w:link w:val="BodyText2Char"/>
    <w:rsid w:val="002A5A52"/>
    <w:pPr>
      <w:widowControl/>
      <w:autoSpaceDE/>
      <w:autoSpaceDN/>
      <w:adjustRightInd/>
      <w:spacing w:line="300" w:lineRule="auto"/>
    </w:pPr>
    <w:rPr>
      <w:rFonts w:ascii="Trebuchet MS" w:hAnsi="Trebuchet MS" w:cs="Times New Roman"/>
      <w:sz w:val="18"/>
    </w:rPr>
  </w:style>
  <w:style w:type="paragraph" w:customStyle="1" w:styleId="Subhead">
    <w:name w:val="Subhead"/>
    <w:basedOn w:val="Normal"/>
    <w:link w:val="SubheadChar"/>
    <w:rsid w:val="002A5A52"/>
    <w:pPr>
      <w:widowControl/>
      <w:autoSpaceDE/>
      <w:autoSpaceDN/>
      <w:adjustRightInd/>
    </w:pPr>
    <w:rPr>
      <w:rFonts w:ascii="Trebuchet MS" w:hAnsi="Trebuchet MS" w:cs="Times New Roman"/>
      <w:b/>
      <w:i/>
      <w:color w:val="414141"/>
    </w:rPr>
  </w:style>
  <w:style w:type="character" w:customStyle="1" w:styleId="Label2Char">
    <w:name w:val="Label 2 Char"/>
    <w:basedOn w:val="DefaultParagraphFont"/>
    <w:link w:val="Label2"/>
    <w:rsid w:val="002A5A52"/>
    <w:rPr>
      <w:rFonts w:ascii="Trebuchet MS" w:hAnsi="Trebuchet MS"/>
      <w:b/>
      <w:i/>
      <w:color w:val="115096"/>
      <w:sz w:val="18"/>
      <w:szCs w:val="24"/>
    </w:rPr>
  </w:style>
  <w:style w:type="character" w:customStyle="1" w:styleId="BodyText2Char">
    <w:name w:val="Body Text2 Char"/>
    <w:basedOn w:val="DefaultParagraphFont"/>
    <w:link w:val="BodyText2"/>
    <w:rsid w:val="002A5A52"/>
    <w:rPr>
      <w:rFonts w:ascii="Trebuchet MS" w:hAnsi="Trebuchet MS"/>
      <w:color w:val="000000"/>
      <w:sz w:val="18"/>
      <w:szCs w:val="24"/>
    </w:rPr>
  </w:style>
  <w:style w:type="paragraph" w:customStyle="1" w:styleId="Superscript">
    <w:name w:val="Superscript"/>
    <w:basedOn w:val="Normal"/>
    <w:link w:val="SuperscriptChar"/>
    <w:rsid w:val="002A5A52"/>
    <w:pPr>
      <w:widowControl/>
      <w:tabs>
        <w:tab w:val="left" w:pos="540"/>
      </w:tabs>
      <w:autoSpaceDE/>
      <w:autoSpaceDN/>
      <w:adjustRightInd/>
    </w:pPr>
    <w:rPr>
      <w:rFonts w:ascii="Trebuchet MS" w:hAnsi="Trebuchet MS" w:cs="Times New Roman"/>
      <w:color w:val="808080"/>
      <w:sz w:val="18"/>
      <w:szCs w:val="15"/>
      <w:vertAlign w:val="superscript"/>
    </w:rPr>
  </w:style>
  <w:style w:type="character" w:customStyle="1" w:styleId="SuperscriptChar">
    <w:name w:val="Superscript Char"/>
    <w:basedOn w:val="DefaultParagraphFont"/>
    <w:link w:val="Superscript"/>
    <w:rsid w:val="002A5A52"/>
    <w:rPr>
      <w:rFonts w:ascii="Trebuchet MS" w:hAnsi="Trebuchet MS"/>
      <w:color w:val="808080"/>
      <w:sz w:val="18"/>
      <w:szCs w:val="15"/>
      <w:vertAlign w:val="superscript"/>
    </w:rPr>
  </w:style>
  <w:style w:type="character" w:customStyle="1" w:styleId="SubheadChar">
    <w:name w:val="Subhead Char"/>
    <w:basedOn w:val="DefaultParagraphFont"/>
    <w:link w:val="Subhead"/>
    <w:rsid w:val="002A5A52"/>
    <w:rPr>
      <w:rFonts w:ascii="Trebuchet MS" w:hAnsi="Trebuchet MS"/>
      <w:b/>
      <w:i/>
      <w:color w:val="414141"/>
      <w:sz w:val="24"/>
      <w:szCs w:val="24"/>
    </w:rPr>
  </w:style>
  <w:style w:type="character" w:customStyle="1" w:styleId="TableHeaderChar">
    <w:name w:val="Table Header Char"/>
    <w:basedOn w:val="DefaultParagraphFont"/>
    <w:link w:val="TableHeader"/>
    <w:rsid w:val="002A5A52"/>
    <w:rPr>
      <w:rFonts w:ascii="Trebuchet MS" w:hAnsi="Trebuchet MS"/>
      <w:b/>
      <w:color w:val="3A3A3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4F06-20AA-4905-AFB8-9E21FC55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1170</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Keta Ruiz</dc:creator>
  <cp:lastModifiedBy>Lina Janenaite</cp:lastModifiedBy>
  <cp:revision>10</cp:revision>
  <cp:lastPrinted>2014-05-14T18:52:00Z</cp:lastPrinted>
  <dcterms:created xsi:type="dcterms:W3CDTF">2013-09-18T12:21:00Z</dcterms:created>
  <dcterms:modified xsi:type="dcterms:W3CDTF">2014-05-14T18:52:00Z</dcterms:modified>
</cp:coreProperties>
</file>