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A" w:rsidRDefault="00A706FA">
      <w:pPr>
        <w:jc w:val="center"/>
        <w:rPr>
          <w:b/>
          <w:bCs/>
        </w:rPr>
      </w:pPr>
      <w:bookmarkStart w:id="0" w:name="_GoBack"/>
      <w:bookmarkEnd w:id="0"/>
      <w:r>
        <w:rPr>
          <w:b/>
          <w:bCs/>
        </w:rPr>
        <w:t>PROJECT INFORMATION DOCUMENT (PID)</w:t>
      </w:r>
    </w:p>
    <w:p w:rsidR="00A706FA" w:rsidRDefault="00A706FA">
      <w:pPr>
        <w:jc w:val="center"/>
        <w:rPr>
          <w:b/>
          <w:bCs/>
        </w:rPr>
      </w:pPr>
      <w:r>
        <w:rPr>
          <w:b/>
          <w:bCs/>
        </w:rPr>
        <w:t>APPRAISAL STAGE</w:t>
      </w:r>
    </w:p>
    <w:p w:rsidR="00A706FA" w:rsidRDefault="00395C95">
      <w:pPr>
        <w:jc w:val="right"/>
      </w:pPr>
      <w:r>
        <w:t xml:space="preserve">Report No.:  </w:t>
      </w:r>
      <w:bookmarkStart w:id="1" w:name="ReportNo"/>
      <w:r>
        <w:t>AB7626</w:t>
      </w:r>
      <w:bookmarkEnd w:id="1"/>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6660"/>
      </w:tblGrid>
      <w:tr w:rsidR="00A706FA" w:rsidRPr="0095747B">
        <w:tc>
          <w:tcPr>
            <w:tcW w:w="2880" w:type="dxa"/>
            <w:tcBorders>
              <w:top w:val="single" w:sz="4" w:space="0" w:color="auto"/>
              <w:left w:val="single" w:sz="4" w:space="0" w:color="auto"/>
              <w:bottom w:val="single" w:sz="4" w:space="0" w:color="auto"/>
              <w:right w:val="single" w:sz="4" w:space="0" w:color="auto"/>
            </w:tcBorders>
          </w:tcPr>
          <w:p w:rsidR="00A706FA" w:rsidRPr="0095747B" w:rsidRDefault="00A706FA">
            <w:pPr>
              <w:pStyle w:val="Heading1"/>
              <w:rPr>
                <w:rFonts w:eastAsia="Arial Unicode MS"/>
                <w:sz w:val="22"/>
              </w:rPr>
            </w:pPr>
            <w:r w:rsidRPr="0095747B">
              <w:rPr>
                <w:sz w:val="22"/>
              </w:rPr>
              <w:t>Project Name</w:t>
            </w:r>
          </w:p>
        </w:tc>
        <w:tc>
          <w:tcPr>
            <w:tcW w:w="6660" w:type="dxa"/>
            <w:tcBorders>
              <w:top w:val="single" w:sz="4" w:space="0" w:color="auto"/>
              <w:left w:val="single" w:sz="4" w:space="0" w:color="auto"/>
              <w:bottom w:val="single" w:sz="4" w:space="0" w:color="auto"/>
              <w:right w:val="single" w:sz="4" w:space="0" w:color="auto"/>
            </w:tcBorders>
          </w:tcPr>
          <w:p w:rsidR="00A706FA" w:rsidRPr="0095747B" w:rsidRDefault="00F57AF9">
            <w:pPr>
              <w:rPr>
                <w:sz w:val="22"/>
              </w:rPr>
            </w:pPr>
            <w:bookmarkStart w:id="2" w:name="PROJECTNAME"/>
            <w:r w:rsidRPr="0095747B">
              <w:rPr>
                <w:sz w:val="22"/>
              </w:rPr>
              <w:t xml:space="preserve">Additional Financing for </w:t>
            </w:r>
            <w:r w:rsidR="00C82A88" w:rsidRPr="0095747B">
              <w:rPr>
                <w:sz w:val="22"/>
              </w:rPr>
              <w:t xml:space="preserve">Primary Education Development Program </w:t>
            </w:r>
            <w:bookmarkEnd w:id="2"/>
            <w:r w:rsidR="00F4564B">
              <w:rPr>
                <w:sz w:val="22"/>
              </w:rPr>
              <w:t>3</w:t>
            </w:r>
          </w:p>
        </w:tc>
      </w:tr>
      <w:tr w:rsidR="00A706FA" w:rsidRPr="0095747B">
        <w:tc>
          <w:tcPr>
            <w:tcW w:w="2880" w:type="dxa"/>
            <w:tcBorders>
              <w:top w:val="single" w:sz="4" w:space="0" w:color="auto"/>
              <w:left w:val="single" w:sz="4" w:space="0" w:color="auto"/>
              <w:bottom w:val="single" w:sz="4" w:space="0" w:color="auto"/>
              <w:right w:val="single" w:sz="4" w:space="0" w:color="auto"/>
            </w:tcBorders>
          </w:tcPr>
          <w:p w:rsidR="00A706FA" w:rsidRPr="0095747B" w:rsidRDefault="00A706FA">
            <w:pPr>
              <w:rPr>
                <w:b/>
                <w:bCs/>
                <w:sz w:val="22"/>
              </w:rPr>
            </w:pPr>
            <w:r w:rsidRPr="0095747B">
              <w:rPr>
                <w:b/>
                <w:bCs/>
                <w:sz w:val="22"/>
              </w:rPr>
              <w:t>Region</w:t>
            </w:r>
          </w:p>
        </w:tc>
        <w:tc>
          <w:tcPr>
            <w:tcW w:w="6660" w:type="dxa"/>
            <w:tcBorders>
              <w:top w:val="single" w:sz="4" w:space="0" w:color="auto"/>
              <w:left w:val="single" w:sz="4" w:space="0" w:color="auto"/>
              <w:bottom w:val="single" w:sz="4" w:space="0" w:color="auto"/>
              <w:right w:val="single" w:sz="4" w:space="0" w:color="auto"/>
            </w:tcBorders>
          </w:tcPr>
          <w:p w:rsidR="00A706FA" w:rsidRPr="0095747B" w:rsidRDefault="00C82A88">
            <w:pPr>
              <w:rPr>
                <w:sz w:val="22"/>
              </w:rPr>
            </w:pPr>
            <w:bookmarkStart w:id="3" w:name="REGION"/>
            <w:r w:rsidRPr="0095747B">
              <w:rPr>
                <w:sz w:val="22"/>
              </w:rPr>
              <w:t>SOUTH ASIA</w:t>
            </w:r>
            <w:bookmarkEnd w:id="3"/>
          </w:p>
        </w:tc>
      </w:tr>
      <w:tr w:rsidR="00A706FA" w:rsidRPr="0095747B">
        <w:tc>
          <w:tcPr>
            <w:tcW w:w="2880" w:type="dxa"/>
            <w:tcBorders>
              <w:top w:val="single" w:sz="4" w:space="0" w:color="auto"/>
              <w:left w:val="single" w:sz="4" w:space="0" w:color="auto"/>
              <w:bottom w:val="single" w:sz="4" w:space="0" w:color="auto"/>
              <w:right w:val="single" w:sz="4" w:space="0" w:color="auto"/>
            </w:tcBorders>
          </w:tcPr>
          <w:p w:rsidR="00A706FA" w:rsidRPr="0095747B" w:rsidRDefault="00A706FA">
            <w:pPr>
              <w:rPr>
                <w:b/>
                <w:bCs/>
                <w:sz w:val="22"/>
              </w:rPr>
            </w:pPr>
            <w:r w:rsidRPr="0095747B">
              <w:rPr>
                <w:b/>
                <w:bCs/>
                <w:sz w:val="22"/>
              </w:rPr>
              <w:t>Sector</w:t>
            </w:r>
          </w:p>
        </w:tc>
        <w:tc>
          <w:tcPr>
            <w:tcW w:w="6660" w:type="dxa"/>
            <w:tcBorders>
              <w:top w:val="single" w:sz="4" w:space="0" w:color="auto"/>
              <w:left w:val="single" w:sz="4" w:space="0" w:color="auto"/>
              <w:bottom w:val="single" w:sz="4" w:space="0" w:color="auto"/>
              <w:right w:val="single" w:sz="4" w:space="0" w:color="auto"/>
            </w:tcBorders>
          </w:tcPr>
          <w:p w:rsidR="00A706FA" w:rsidRPr="0095747B" w:rsidRDefault="00C82A88">
            <w:pPr>
              <w:rPr>
                <w:sz w:val="22"/>
              </w:rPr>
            </w:pPr>
            <w:bookmarkStart w:id="4" w:name="SECTOR"/>
            <w:r w:rsidRPr="0095747B">
              <w:rPr>
                <w:sz w:val="22"/>
              </w:rPr>
              <w:t>Primary education (100%)</w:t>
            </w:r>
            <w:bookmarkEnd w:id="4"/>
          </w:p>
        </w:tc>
      </w:tr>
      <w:tr w:rsidR="00A706FA" w:rsidRPr="0095747B">
        <w:tc>
          <w:tcPr>
            <w:tcW w:w="2880" w:type="dxa"/>
            <w:tcBorders>
              <w:top w:val="single" w:sz="4" w:space="0" w:color="auto"/>
              <w:left w:val="single" w:sz="4" w:space="0" w:color="auto"/>
              <w:bottom w:val="single" w:sz="4" w:space="0" w:color="auto"/>
              <w:right w:val="single" w:sz="4" w:space="0" w:color="auto"/>
            </w:tcBorders>
          </w:tcPr>
          <w:p w:rsidR="00A706FA" w:rsidRPr="0095747B" w:rsidRDefault="00A706FA">
            <w:pPr>
              <w:rPr>
                <w:b/>
                <w:bCs/>
                <w:sz w:val="22"/>
              </w:rPr>
            </w:pPr>
            <w:r w:rsidRPr="0095747B">
              <w:rPr>
                <w:b/>
                <w:bCs/>
                <w:sz w:val="22"/>
              </w:rPr>
              <w:t>Project ID</w:t>
            </w:r>
          </w:p>
        </w:tc>
        <w:tc>
          <w:tcPr>
            <w:tcW w:w="6660" w:type="dxa"/>
            <w:tcBorders>
              <w:top w:val="single" w:sz="4" w:space="0" w:color="auto"/>
              <w:left w:val="single" w:sz="4" w:space="0" w:color="auto"/>
              <w:bottom w:val="single" w:sz="4" w:space="0" w:color="auto"/>
              <w:right w:val="single" w:sz="4" w:space="0" w:color="auto"/>
            </w:tcBorders>
          </w:tcPr>
          <w:p w:rsidR="00A706FA" w:rsidRPr="0095747B" w:rsidRDefault="003F428F">
            <w:pPr>
              <w:rPr>
                <w:sz w:val="22"/>
              </w:rPr>
            </w:pPr>
            <w:r w:rsidRPr="0095747B">
              <w:rPr>
                <w:sz w:val="22"/>
              </w:rPr>
              <w:t>P150669</w:t>
            </w:r>
          </w:p>
        </w:tc>
      </w:tr>
      <w:tr w:rsidR="00A706FA" w:rsidRPr="0095747B">
        <w:tc>
          <w:tcPr>
            <w:tcW w:w="2880" w:type="dxa"/>
            <w:tcBorders>
              <w:top w:val="single" w:sz="4" w:space="0" w:color="auto"/>
              <w:left w:val="single" w:sz="4" w:space="0" w:color="auto"/>
              <w:bottom w:val="single" w:sz="4" w:space="0" w:color="auto"/>
              <w:right w:val="single" w:sz="4" w:space="0" w:color="auto"/>
            </w:tcBorders>
          </w:tcPr>
          <w:p w:rsidR="00A706FA" w:rsidRPr="0095747B" w:rsidRDefault="00A706FA">
            <w:pPr>
              <w:rPr>
                <w:b/>
                <w:bCs/>
                <w:sz w:val="22"/>
              </w:rPr>
            </w:pPr>
            <w:r w:rsidRPr="0095747B">
              <w:rPr>
                <w:b/>
                <w:bCs/>
                <w:sz w:val="22"/>
              </w:rPr>
              <w:t>Borrower(s)</w:t>
            </w:r>
          </w:p>
        </w:tc>
        <w:tc>
          <w:tcPr>
            <w:tcW w:w="6660" w:type="dxa"/>
            <w:tcBorders>
              <w:top w:val="single" w:sz="4" w:space="0" w:color="auto"/>
              <w:left w:val="single" w:sz="4" w:space="0" w:color="auto"/>
              <w:bottom w:val="single" w:sz="4" w:space="0" w:color="auto"/>
              <w:right w:val="single" w:sz="4" w:space="0" w:color="auto"/>
            </w:tcBorders>
          </w:tcPr>
          <w:p w:rsidR="00A706FA" w:rsidRPr="0095747B" w:rsidRDefault="00C82A88">
            <w:pPr>
              <w:rPr>
                <w:sz w:val="22"/>
              </w:rPr>
            </w:pPr>
            <w:bookmarkStart w:id="5" w:name="BORROWERNAME"/>
            <w:r w:rsidRPr="0095747B">
              <w:rPr>
                <w:sz w:val="22"/>
              </w:rPr>
              <w:t>PEOPLE'S REPUBLIC OF BANGLADESH</w:t>
            </w:r>
            <w:bookmarkEnd w:id="5"/>
          </w:p>
        </w:tc>
      </w:tr>
      <w:tr w:rsidR="00C82A88" w:rsidRPr="0095747B">
        <w:trPr>
          <w:trHeight w:val="140"/>
        </w:trPr>
        <w:tc>
          <w:tcPr>
            <w:tcW w:w="2880" w:type="dxa"/>
            <w:tcBorders>
              <w:top w:val="single" w:sz="4" w:space="0" w:color="auto"/>
              <w:left w:val="single" w:sz="4" w:space="0" w:color="auto"/>
              <w:bottom w:val="nil"/>
              <w:right w:val="single" w:sz="4" w:space="0" w:color="auto"/>
            </w:tcBorders>
          </w:tcPr>
          <w:p w:rsidR="00C82A88" w:rsidRPr="0095747B" w:rsidRDefault="00C82A88">
            <w:pPr>
              <w:rPr>
                <w:b/>
                <w:bCs/>
                <w:sz w:val="22"/>
              </w:rPr>
            </w:pPr>
          </w:p>
        </w:tc>
        <w:tc>
          <w:tcPr>
            <w:tcW w:w="6660" w:type="dxa"/>
            <w:tcBorders>
              <w:top w:val="single" w:sz="4" w:space="0" w:color="auto"/>
              <w:left w:val="single" w:sz="4" w:space="0" w:color="auto"/>
              <w:bottom w:val="nil"/>
              <w:right w:val="single" w:sz="4" w:space="0" w:color="auto"/>
            </w:tcBorders>
          </w:tcPr>
          <w:p w:rsidR="00C82A88" w:rsidRPr="0095747B" w:rsidRDefault="00C82A88">
            <w:pPr>
              <w:rPr>
                <w:sz w:val="22"/>
              </w:rPr>
            </w:pPr>
            <w:r w:rsidRPr="0095747B">
              <w:rPr>
                <w:sz w:val="22"/>
              </w:rPr>
              <w:t>Ministry of Primary and Mass Education</w:t>
            </w:r>
          </w:p>
          <w:p w:rsidR="00C82A88" w:rsidRPr="0095747B" w:rsidRDefault="00C82A88" w:rsidP="00E630DD">
            <w:pPr>
              <w:rPr>
                <w:sz w:val="22"/>
              </w:rPr>
            </w:pPr>
            <w:r w:rsidRPr="0095747B">
              <w:rPr>
                <w:sz w:val="22"/>
              </w:rPr>
              <w:t>Bangladesh</w:t>
            </w:r>
          </w:p>
        </w:tc>
      </w:tr>
      <w:tr w:rsidR="00A706FA" w:rsidRPr="0095747B">
        <w:trPr>
          <w:trHeight w:val="140"/>
        </w:trPr>
        <w:tc>
          <w:tcPr>
            <w:tcW w:w="2880" w:type="dxa"/>
            <w:tcBorders>
              <w:top w:val="single" w:sz="4" w:space="0" w:color="auto"/>
              <w:left w:val="single" w:sz="4" w:space="0" w:color="auto"/>
              <w:bottom w:val="nil"/>
              <w:right w:val="single" w:sz="4" w:space="0" w:color="auto"/>
            </w:tcBorders>
          </w:tcPr>
          <w:p w:rsidR="00A706FA" w:rsidRPr="0095747B" w:rsidRDefault="00A706FA">
            <w:pPr>
              <w:rPr>
                <w:b/>
                <w:bCs/>
                <w:sz w:val="22"/>
              </w:rPr>
            </w:pPr>
            <w:r w:rsidRPr="0095747B">
              <w:rPr>
                <w:b/>
                <w:bCs/>
                <w:sz w:val="22"/>
              </w:rPr>
              <w:t>Implementing Agency</w:t>
            </w:r>
          </w:p>
        </w:tc>
        <w:tc>
          <w:tcPr>
            <w:tcW w:w="6660" w:type="dxa"/>
            <w:tcBorders>
              <w:top w:val="single" w:sz="4" w:space="0" w:color="auto"/>
              <w:left w:val="single" w:sz="4" w:space="0" w:color="auto"/>
              <w:bottom w:val="nil"/>
              <w:right w:val="single" w:sz="4" w:space="0" w:color="auto"/>
            </w:tcBorders>
          </w:tcPr>
          <w:p w:rsidR="00093175" w:rsidRPr="0095747B" w:rsidRDefault="00093175" w:rsidP="00093175">
            <w:pPr>
              <w:rPr>
                <w:sz w:val="22"/>
              </w:rPr>
            </w:pPr>
            <w:bookmarkStart w:id="6" w:name="IMPLEMENTINGAGENCY"/>
            <w:bookmarkEnd w:id="6"/>
            <w:r w:rsidRPr="0095747B">
              <w:rPr>
                <w:sz w:val="22"/>
              </w:rPr>
              <w:t>Directorate of Primary Education</w:t>
            </w:r>
          </w:p>
          <w:p w:rsidR="00093175" w:rsidRPr="0095747B" w:rsidRDefault="00093175" w:rsidP="00093175">
            <w:pPr>
              <w:rPr>
                <w:sz w:val="22"/>
              </w:rPr>
            </w:pPr>
            <w:r w:rsidRPr="0095747B">
              <w:rPr>
                <w:sz w:val="22"/>
              </w:rPr>
              <w:t>Bangladesh</w:t>
            </w:r>
          </w:p>
          <w:p w:rsidR="00A706FA" w:rsidRPr="0095747B" w:rsidRDefault="00A706FA">
            <w:pPr>
              <w:rPr>
                <w:sz w:val="22"/>
              </w:rPr>
            </w:pPr>
          </w:p>
        </w:tc>
      </w:tr>
      <w:tr w:rsidR="00A706FA" w:rsidRPr="0095747B">
        <w:trPr>
          <w:trHeight w:val="285"/>
        </w:trPr>
        <w:tc>
          <w:tcPr>
            <w:tcW w:w="2880" w:type="dxa"/>
            <w:tcBorders>
              <w:top w:val="single" w:sz="4" w:space="0" w:color="auto"/>
              <w:left w:val="single" w:sz="4" w:space="0" w:color="auto"/>
              <w:bottom w:val="single" w:sz="4" w:space="0" w:color="auto"/>
              <w:right w:val="single" w:sz="4" w:space="0" w:color="auto"/>
            </w:tcBorders>
          </w:tcPr>
          <w:p w:rsidR="00A706FA" w:rsidRPr="0095747B" w:rsidRDefault="00A706FA">
            <w:pPr>
              <w:rPr>
                <w:b/>
                <w:bCs/>
                <w:sz w:val="22"/>
              </w:rPr>
            </w:pPr>
            <w:r w:rsidRPr="0095747B">
              <w:rPr>
                <w:b/>
                <w:bCs/>
                <w:sz w:val="22"/>
              </w:rPr>
              <w:t>Environment Category</w:t>
            </w:r>
          </w:p>
        </w:tc>
        <w:tc>
          <w:tcPr>
            <w:tcW w:w="6660" w:type="dxa"/>
            <w:tcBorders>
              <w:top w:val="single" w:sz="4" w:space="0" w:color="auto"/>
              <w:left w:val="single" w:sz="4" w:space="0" w:color="auto"/>
              <w:bottom w:val="single" w:sz="4" w:space="0" w:color="auto"/>
              <w:right w:val="single" w:sz="4" w:space="0" w:color="auto"/>
            </w:tcBorders>
          </w:tcPr>
          <w:p w:rsidR="00A706FA" w:rsidRPr="0095747B" w:rsidRDefault="00A706FA">
            <w:pPr>
              <w:rPr>
                <w:sz w:val="22"/>
              </w:rPr>
            </w:pPr>
            <w:r w:rsidRPr="0095747B">
              <w:rPr>
                <w:sz w:val="22"/>
              </w:rPr>
              <w:t>[</w:t>
            </w:r>
            <w:bookmarkStart w:id="7" w:name="ENVCAT_A"/>
            <w:r w:rsidRPr="0095747B">
              <w:rPr>
                <w:sz w:val="22"/>
              </w:rPr>
              <w:t xml:space="preserve"> </w:t>
            </w:r>
            <w:bookmarkEnd w:id="7"/>
            <w:r w:rsidRPr="0095747B">
              <w:rPr>
                <w:sz w:val="22"/>
              </w:rPr>
              <w:t>] A   [</w:t>
            </w:r>
            <w:bookmarkStart w:id="8" w:name="ENVCAT_B"/>
            <w:r w:rsidR="00C82A88" w:rsidRPr="0095747B">
              <w:rPr>
                <w:sz w:val="22"/>
              </w:rPr>
              <w:t>X</w:t>
            </w:r>
            <w:bookmarkEnd w:id="8"/>
            <w:r w:rsidRPr="0095747B">
              <w:rPr>
                <w:sz w:val="22"/>
              </w:rPr>
              <w:t>] B   [</w:t>
            </w:r>
            <w:bookmarkStart w:id="9" w:name="ENVCAT_C"/>
            <w:r w:rsidRPr="0095747B">
              <w:rPr>
                <w:sz w:val="22"/>
              </w:rPr>
              <w:t xml:space="preserve"> </w:t>
            </w:r>
            <w:bookmarkEnd w:id="9"/>
            <w:r w:rsidRPr="0095747B">
              <w:rPr>
                <w:sz w:val="22"/>
              </w:rPr>
              <w:t>] C   [</w:t>
            </w:r>
            <w:bookmarkStart w:id="10" w:name="ENVCAT_FI"/>
            <w:r w:rsidRPr="0095747B">
              <w:rPr>
                <w:sz w:val="22"/>
              </w:rPr>
              <w:t xml:space="preserve"> </w:t>
            </w:r>
            <w:bookmarkEnd w:id="10"/>
            <w:r w:rsidRPr="0095747B">
              <w:rPr>
                <w:sz w:val="22"/>
              </w:rPr>
              <w:t>] FI   [</w:t>
            </w:r>
            <w:bookmarkStart w:id="11" w:name="ENVCAT_TBD"/>
            <w:r w:rsidRPr="0095747B">
              <w:rPr>
                <w:sz w:val="22"/>
              </w:rPr>
              <w:t xml:space="preserve"> </w:t>
            </w:r>
            <w:bookmarkEnd w:id="11"/>
            <w:r w:rsidRPr="0095747B">
              <w:rPr>
                <w:sz w:val="22"/>
              </w:rPr>
              <w:t>] TBD (to be determined)</w:t>
            </w:r>
          </w:p>
        </w:tc>
      </w:tr>
      <w:tr w:rsidR="00A706FA" w:rsidRPr="0095747B">
        <w:tc>
          <w:tcPr>
            <w:tcW w:w="2880" w:type="dxa"/>
            <w:tcBorders>
              <w:top w:val="single" w:sz="4" w:space="0" w:color="auto"/>
              <w:left w:val="single" w:sz="4" w:space="0" w:color="auto"/>
              <w:bottom w:val="single" w:sz="4" w:space="0" w:color="auto"/>
              <w:right w:val="single" w:sz="4" w:space="0" w:color="auto"/>
            </w:tcBorders>
          </w:tcPr>
          <w:p w:rsidR="00A706FA" w:rsidRPr="0095747B" w:rsidRDefault="00A706FA">
            <w:pPr>
              <w:rPr>
                <w:b/>
                <w:bCs/>
                <w:sz w:val="22"/>
              </w:rPr>
            </w:pPr>
            <w:r w:rsidRPr="0095747B">
              <w:rPr>
                <w:b/>
                <w:bCs/>
                <w:sz w:val="22"/>
              </w:rPr>
              <w:t>Date PID Prepared</w:t>
            </w:r>
          </w:p>
        </w:tc>
        <w:tc>
          <w:tcPr>
            <w:tcW w:w="6660" w:type="dxa"/>
            <w:tcBorders>
              <w:top w:val="single" w:sz="4" w:space="0" w:color="auto"/>
              <w:left w:val="single" w:sz="4" w:space="0" w:color="auto"/>
              <w:bottom w:val="single" w:sz="4" w:space="0" w:color="auto"/>
              <w:right w:val="single" w:sz="4" w:space="0" w:color="auto"/>
            </w:tcBorders>
          </w:tcPr>
          <w:p w:rsidR="00A706FA" w:rsidRPr="0095747B" w:rsidRDefault="00F57AF9" w:rsidP="00F57AF9">
            <w:pPr>
              <w:rPr>
                <w:sz w:val="22"/>
              </w:rPr>
            </w:pPr>
            <w:bookmarkStart w:id="12" w:name="DATEPREPARED"/>
            <w:r w:rsidRPr="0095747B">
              <w:rPr>
                <w:sz w:val="22"/>
              </w:rPr>
              <w:t>September 20</w:t>
            </w:r>
            <w:r w:rsidR="00C82A88" w:rsidRPr="0095747B">
              <w:rPr>
                <w:sz w:val="22"/>
              </w:rPr>
              <w:t>, 201</w:t>
            </w:r>
            <w:bookmarkEnd w:id="12"/>
            <w:r w:rsidRPr="0095747B">
              <w:rPr>
                <w:sz w:val="22"/>
              </w:rPr>
              <w:t>4</w:t>
            </w:r>
          </w:p>
        </w:tc>
      </w:tr>
      <w:tr w:rsidR="00A706FA" w:rsidRPr="0095747B">
        <w:tc>
          <w:tcPr>
            <w:tcW w:w="2880" w:type="dxa"/>
            <w:tcBorders>
              <w:top w:val="single" w:sz="4" w:space="0" w:color="auto"/>
              <w:left w:val="single" w:sz="4" w:space="0" w:color="auto"/>
              <w:bottom w:val="single" w:sz="4" w:space="0" w:color="auto"/>
              <w:right w:val="single" w:sz="4" w:space="0" w:color="auto"/>
            </w:tcBorders>
          </w:tcPr>
          <w:p w:rsidR="00A706FA" w:rsidRPr="0095747B" w:rsidRDefault="00A706FA">
            <w:pPr>
              <w:rPr>
                <w:b/>
                <w:bCs/>
                <w:sz w:val="22"/>
              </w:rPr>
            </w:pPr>
            <w:r w:rsidRPr="0095747B">
              <w:rPr>
                <w:b/>
                <w:bCs/>
                <w:sz w:val="22"/>
              </w:rPr>
              <w:t>Date of Appraisal Authorization</w:t>
            </w:r>
          </w:p>
        </w:tc>
        <w:tc>
          <w:tcPr>
            <w:tcW w:w="6660" w:type="dxa"/>
            <w:tcBorders>
              <w:top w:val="single" w:sz="4" w:space="0" w:color="auto"/>
              <w:left w:val="single" w:sz="4" w:space="0" w:color="auto"/>
              <w:bottom w:val="single" w:sz="4" w:space="0" w:color="auto"/>
              <w:right w:val="single" w:sz="4" w:space="0" w:color="auto"/>
            </w:tcBorders>
          </w:tcPr>
          <w:p w:rsidR="00A706FA" w:rsidRPr="0095747B" w:rsidRDefault="00F57AF9" w:rsidP="00F83697">
            <w:pPr>
              <w:rPr>
                <w:sz w:val="22"/>
              </w:rPr>
            </w:pPr>
            <w:bookmarkStart w:id="13" w:name="APPRAISALDATE"/>
            <w:r w:rsidRPr="0095747B">
              <w:rPr>
                <w:sz w:val="22"/>
              </w:rPr>
              <w:t xml:space="preserve">September </w:t>
            </w:r>
            <w:r w:rsidR="00F83697">
              <w:rPr>
                <w:sz w:val="22"/>
              </w:rPr>
              <w:t>30</w:t>
            </w:r>
            <w:r w:rsidR="00C82A88" w:rsidRPr="0095747B">
              <w:rPr>
                <w:sz w:val="22"/>
              </w:rPr>
              <w:t>, 201</w:t>
            </w:r>
            <w:bookmarkEnd w:id="13"/>
            <w:r w:rsidRPr="0095747B">
              <w:rPr>
                <w:sz w:val="22"/>
              </w:rPr>
              <w:t>4</w:t>
            </w:r>
          </w:p>
        </w:tc>
      </w:tr>
      <w:tr w:rsidR="00A706FA" w:rsidRPr="0095747B">
        <w:tc>
          <w:tcPr>
            <w:tcW w:w="2880" w:type="dxa"/>
            <w:tcBorders>
              <w:top w:val="single" w:sz="4" w:space="0" w:color="auto"/>
              <w:left w:val="single" w:sz="4" w:space="0" w:color="auto"/>
              <w:bottom w:val="single" w:sz="4" w:space="0" w:color="auto"/>
              <w:right w:val="single" w:sz="4" w:space="0" w:color="auto"/>
            </w:tcBorders>
          </w:tcPr>
          <w:p w:rsidR="00A706FA" w:rsidRPr="0095747B" w:rsidRDefault="00A706FA">
            <w:pPr>
              <w:rPr>
                <w:b/>
                <w:bCs/>
                <w:sz w:val="22"/>
              </w:rPr>
            </w:pPr>
            <w:r w:rsidRPr="0095747B">
              <w:rPr>
                <w:b/>
                <w:bCs/>
                <w:sz w:val="22"/>
              </w:rPr>
              <w:t>Date of Board Approval</w:t>
            </w:r>
          </w:p>
        </w:tc>
        <w:tc>
          <w:tcPr>
            <w:tcW w:w="6660" w:type="dxa"/>
            <w:tcBorders>
              <w:top w:val="single" w:sz="4" w:space="0" w:color="auto"/>
              <w:left w:val="single" w:sz="4" w:space="0" w:color="auto"/>
              <w:bottom w:val="single" w:sz="4" w:space="0" w:color="auto"/>
              <w:right w:val="single" w:sz="4" w:space="0" w:color="auto"/>
            </w:tcBorders>
          </w:tcPr>
          <w:p w:rsidR="00A706FA" w:rsidRPr="0095747B" w:rsidRDefault="00F57AF9" w:rsidP="00F4564B">
            <w:pPr>
              <w:rPr>
                <w:sz w:val="22"/>
              </w:rPr>
            </w:pPr>
            <w:r w:rsidRPr="0095747B">
              <w:rPr>
                <w:sz w:val="22"/>
              </w:rPr>
              <w:t>December 1</w:t>
            </w:r>
            <w:r w:rsidR="00F4564B">
              <w:rPr>
                <w:sz w:val="22"/>
              </w:rPr>
              <w:t>6</w:t>
            </w:r>
            <w:r w:rsidRPr="0095747B">
              <w:rPr>
                <w:sz w:val="22"/>
              </w:rPr>
              <w:t>, 2014</w:t>
            </w:r>
          </w:p>
        </w:tc>
      </w:tr>
    </w:tbl>
    <w:p w:rsidR="00A706FA" w:rsidRDefault="00A706FA"/>
    <w:p w:rsidR="00A706FA" w:rsidRDefault="00A706FA" w:rsidP="000D0729">
      <w:pPr>
        <w:numPr>
          <w:ilvl w:val="0"/>
          <w:numId w:val="6"/>
        </w:numPr>
        <w:tabs>
          <w:tab w:val="clear" w:pos="720"/>
          <w:tab w:val="num" w:pos="360"/>
        </w:tabs>
        <w:ind w:left="360"/>
      </w:pPr>
      <w:r>
        <w:t>Country and Sector Background</w:t>
      </w:r>
      <w:bookmarkStart w:id="14" w:name="CountrySectorBackground"/>
    </w:p>
    <w:p w:rsidR="00756869" w:rsidRDefault="00756869" w:rsidP="000D0729">
      <w:pPr>
        <w:jc w:val="both"/>
        <w:rPr>
          <w:sz w:val="22"/>
          <w:szCs w:val="22"/>
        </w:rPr>
      </w:pPr>
    </w:p>
    <w:p w:rsidR="00F57AF9" w:rsidRPr="00F57AF9" w:rsidRDefault="00F57AF9" w:rsidP="000D0729">
      <w:pPr>
        <w:jc w:val="both"/>
        <w:rPr>
          <w:rFonts w:eastAsia="Calibri"/>
        </w:rPr>
      </w:pPr>
      <w:r>
        <w:rPr>
          <w:color w:val="000000"/>
        </w:rPr>
        <w:t xml:space="preserve">Bangladesh is recognized globally for its achievements and potential, despite </w:t>
      </w:r>
      <w:r w:rsidR="00CC4750">
        <w:rPr>
          <w:color w:val="000000"/>
        </w:rPr>
        <w:t xml:space="preserve">a number of difficult </w:t>
      </w:r>
      <w:r>
        <w:rPr>
          <w:color w:val="000000"/>
        </w:rPr>
        <w:t>challenges. Government policies which have sustained economic growth over the last three decades</w:t>
      </w:r>
      <w:r>
        <w:rPr>
          <w:rStyle w:val="FootnoteReference"/>
          <w:color w:val="000000"/>
        </w:rPr>
        <w:footnoteReference w:id="1"/>
      </w:r>
      <w:r>
        <w:rPr>
          <w:color w:val="000000"/>
        </w:rPr>
        <w:t xml:space="preserve"> and kept a systematic focus on poverty reduction contributed to sharp improvements in many social indicators. Bangladesh has met several Millennium Development Goals ahead of the target year, including achievement of gender parity in primary and secondary education</w:t>
      </w:r>
      <w:r w:rsidR="007B22E8">
        <w:rPr>
          <w:rFonts w:eastAsia="Calibri"/>
        </w:rPr>
        <w:t>.</w:t>
      </w:r>
    </w:p>
    <w:p w:rsidR="00A706FA" w:rsidRDefault="00A706FA" w:rsidP="000D0729"/>
    <w:p w:rsidR="00F57AF9" w:rsidRDefault="00F57AF9" w:rsidP="000D0729">
      <w:pPr>
        <w:pStyle w:val="InfoSubject"/>
        <w:tabs>
          <w:tab w:val="clear" w:pos="1080"/>
          <w:tab w:val="left" w:pos="-450"/>
          <w:tab w:val="left" w:pos="720"/>
        </w:tabs>
        <w:jc w:val="both"/>
        <w:rPr>
          <w:b w:val="0"/>
          <w:color w:val="000000"/>
          <w:sz w:val="24"/>
          <w:szCs w:val="24"/>
          <w:u w:val="none"/>
        </w:rPr>
      </w:pPr>
      <w:r>
        <w:rPr>
          <w:b w:val="0"/>
          <w:color w:val="000000"/>
          <w:sz w:val="24"/>
          <w:szCs w:val="24"/>
          <w:u w:val="none"/>
        </w:rPr>
        <w:t>After the country’s independence in 1971, the Government nationalized most primary schools and in 1990 approved a Compulsory Primary Education Act. The General Education Project and Primary Education Support Project were launched in 1990, followed by two “Primary Education Development Programs” – PEDP I (1997-2003) and PEDP II (2004-2011). Key reform initiatives involved targeted stipends to bring the poorest and girls into schools, and interventions to improve the quality of primary education</w:t>
      </w:r>
      <w:r w:rsidR="009D336A">
        <w:rPr>
          <w:b w:val="0"/>
          <w:color w:val="000000"/>
          <w:sz w:val="24"/>
          <w:szCs w:val="24"/>
          <w:u w:val="none"/>
        </w:rPr>
        <w:t xml:space="preserve">. </w:t>
      </w:r>
      <w:r>
        <w:rPr>
          <w:b w:val="0"/>
          <w:color w:val="000000"/>
          <w:sz w:val="24"/>
          <w:szCs w:val="24"/>
          <w:u w:val="none"/>
        </w:rPr>
        <w:t xml:space="preserve"> In 1993, demographic and health surveys reported that 74 percent of children aged 6 to 10 were in school. This rose to 88 percent by 2011</w:t>
      </w:r>
      <w:r w:rsidR="009D336A">
        <w:rPr>
          <w:b w:val="0"/>
          <w:color w:val="000000"/>
          <w:sz w:val="24"/>
          <w:szCs w:val="24"/>
          <w:u w:val="none"/>
        </w:rPr>
        <w:t>.</w:t>
      </w:r>
      <w:r>
        <w:rPr>
          <w:b w:val="0"/>
          <w:color w:val="000000"/>
          <w:sz w:val="24"/>
          <w:szCs w:val="24"/>
          <w:u w:val="none"/>
        </w:rPr>
        <w:t xml:space="preserve"> Disparities in access remain nonetheless; for example, children from poor and extremely poor households in the slums attend school far less than their non-slum urban peers, especially at earlier ages of schooling, and education for minority children generally trails behind that of non-minority children.</w:t>
      </w:r>
      <w:r>
        <w:rPr>
          <w:rStyle w:val="FootnoteReference"/>
          <w:rFonts w:eastAsia="Calibri"/>
          <w:b w:val="0"/>
          <w:color w:val="000000"/>
          <w:sz w:val="24"/>
          <w:szCs w:val="24"/>
          <w:u w:val="none"/>
        </w:rPr>
        <w:footnoteReference w:id="2"/>
      </w:r>
    </w:p>
    <w:p w:rsidR="00BF16D7" w:rsidRDefault="00BF16D7" w:rsidP="000D0729">
      <w:pPr>
        <w:pStyle w:val="InfoSubject"/>
        <w:tabs>
          <w:tab w:val="clear" w:pos="1080"/>
          <w:tab w:val="left" w:pos="-450"/>
          <w:tab w:val="left" w:pos="720"/>
          <w:tab w:val="num" w:pos="1440"/>
        </w:tabs>
        <w:jc w:val="both"/>
        <w:rPr>
          <w:color w:val="000000"/>
          <w:sz w:val="24"/>
          <w:szCs w:val="24"/>
          <w:u w:val="none"/>
          <w:lang w:eastAsia="x-none"/>
        </w:rPr>
      </w:pPr>
    </w:p>
    <w:p w:rsidR="00F57AF9" w:rsidRDefault="00F57AF9" w:rsidP="000D0729">
      <w:pPr>
        <w:pStyle w:val="InfoSubject"/>
        <w:tabs>
          <w:tab w:val="clear" w:pos="1080"/>
          <w:tab w:val="left" w:pos="-450"/>
          <w:tab w:val="left" w:pos="720"/>
          <w:tab w:val="num" w:pos="1440"/>
        </w:tabs>
        <w:jc w:val="both"/>
        <w:rPr>
          <w:b w:val="0"/>
          <w:sz w:val="24"/>
          <w:szCs w:val="24"/>
          <w:u w:val="none"/>
        </w:rPr>
      </w:pPr>
      <w:r>
        <w:rPr>
          <w:b w:val="0"/>
          <w:color w:val="000000"/>
          <w:sz w:val="24"/>
          <w:szCs w:val="24"/>
          <w:u w:val="none"/>
        </w:rPr>
        <w:t xml:space="preserve">Under PEDP I and PEDP II there were some trends toward improved learning environments, notably in Government Primary Schools (GPS), but learning </w:t>
      </w:r>
      <w:r>
        <w:rPr>
          <w:b w:val="0"/>
          <w:i/>
          <w:color w:val="000000"/>
          <w:sz w:val="24"/>
          <w:szCs w:val="24"/>
          <w:u w:val="none"/>
        </w:rPr>
        <w:t>outcomes</w:t>
      </w:r>
      <w:r>
        <w:rPr>
          <w:b w:val="0"/>
          <w:color w:val="000000"/>
          <w:sz w:val="24"/>
          <w:szCs w:val="24"/>
          <w:u w:val="none"/>
        </w:rPr>
        <w:t xml:space="preserve"> lagged behind improvements in access, with marked disparities between regions</w:t>
      </w:r>
      <w:r>
        <w:rPr>
          <w:color w:val="000000"/>
          <w:sz w:val="24"/>
          <w:szCs w:val="24"/>
          <w:u w:val="none"/>
        </w:rPr>
        <w:t xml:space="preserve">, </w:t>
      </w:r>
      <w:r>
        <w:rPr>
          <w:b w:val="0"/>
          <w:color w:val="000000"/>
          <w:sz w:val="24"/>
          <w:szCs w:val="24"/>
          <w:u w:val="none"/>
        </w:rPr>
        <w:t xml:space="preserve">types of schools, and social groups. </w:t>
      </w:r>
      <w:r>
        <w:rPr>
          <w:b w:val="0"/>
          <w:sz w:val="24"/>
          <w:szCs w:val="24"/>
          <w:u w:val="none"/>
        </w:rPr>
        <w:t>The 2011 N</w:t>
      </w:r>
      <w:r w:rsidR="009D336A">
        <w:rPr>
          <w:b w:val="0"/>
          <w:sz w:val="24"/>
          <w:szCs w:val="24"/>
          <w:u w:val="none"/>
        </w:rPr>
        <w:t xml:space="preserve">ational </w:t>
      </w:r>
      <w:r>
        <w:rPr>
          <w:b w:val="0"/>
          <w:sz w:val="24"/>
          <w:szCs w:val="24"/>
          <w:u w:val="none"/>
        </w:rPr>
        <w:t>S</w:t>
      </w:r>
      <w:r w:rsidR="009D336A">
        <w:rPr>
          <w:b w:val="0"/>
          <w:sz w:val="24"/>
          <w:szCs w:val="24"/>
          <w:u w:val="none"/>
        </w:rPr>
        <w:t xml:space="preserve">tudent </w:t>
      </w:r>
      <w:r>
        <w:rPr>
          <w:b w:val="0"/>
          <w:sz w:val="24"/>
          <w:szCs w:val="24"/>
          <w:u w:val="none"/>
        </w:rPr>
        <w:t>A</w:t>
      </w:r>
      <w:r w:rsidR="009D336A">
        <w:rPr>
          <w:b w:val="0"/>
          <w:sz w:val="24"/>
          <w:szCs w:val="24"/>
          <w:u w:val="none"/>
        </w:rPr>
        <w:t>ssessment (NSA)</w:t>
      </w:r>
      <w:r>
        <w:rPr>
          <w:b w:val="0"/>
          <w:sz w:val="24"/>
          <w:szCs w:val="24"/>
          <w:u w:val="none"/>
        </w:rPr>
        <w:t xml:space="preserve"> revealed that only 25 percent of Grade 5 </w:t>
      </w:r>
      <w:r>
        <w:rPr>
          <w:b w:val="0"/>
          <w:sz w:val="24"/>
          <w:szCs w:val="24"/>
          <w:u w:val="none"/>
        </w:rPr>
        <w:lastRenderedPageBreak/>
        <w:t>students mastered competencies in Bangla (language) and only 33 percent mastered competencies in mathematics. Those from poor households performed worse</w:t>
      </w:r>
      <w:r w:rsidR="00CC4750">
        <w:rPr>
          <w:b w:val="0"/>
          <w:sz w:val="24"/>
          <w:szCs w:val="24"/>
          <w:u w:val="none"/>
        </w:rPr>
        <w:t>,</w:t>
      </w:r>
      <w:r>
        <w:rPr>
          <w:rStyle w:val="FootnoteReference"/>
          <w:rFonts w:eastAsia="Calibri"/>
          <w:b w:val="0"/>
          <w:sz w:val="24"/>
          <w:szCs w:val="24"/>
          <w:u w:val="none"/>
        </w:rPr>
        <w:footnoteReference w:id="3"/>
      </w:r>
      <w:r>
        <w:rPr>
          <w:b w:val="0"/>
          <w:sz w:val="24"/>
          <w:szCs w:val="24"/>
          <w:u w:val="none"/>
        </w:rPr>
        <w:t xml:space="preserve"> as did students in “staggered” shift schools</w:t>
      </w:r>
      <w:r w:rsidR="00F4564B">
        <w:rPr>
          <w:rStyle w:val="FootnoteReference"/>
          <w:b w:val="0"/>
          <w:sz w:val="24"/>
          <w:szCs w:val="24"/>
          <w:u w:val="none"/>
        </w:rPr>
        <w:footnoteReference w:id="4"/>
      </w:r>
      <w:r>
        <w:rPr>
          <w:b w:val="0"/>
          <w:sz w:val="24"/>
          <w:szCs w:val="24"/>
          <w:u w:val="none"/>
        </w:rPr>
        <w:t xml:space="preserve"> compared with single shift. Students from </w:t>
      </w:r>
      <w:r w:rsidR="009B6040">
        <w:rPr>
          <w:b w:val="0"/>
          <w:sz w:val="24"/>
          <w:szCs w:val="24"/>
          <w:u w:val="none"/>
        </w:rPr>
        <w:t>Registered Non-Government Primary Schools (</w:t>
      </w:r>
      <w:r>
        <w:rPr>
          <w:b w:val="0"/>
          <w:sz w:val="24"/>
          <w:szCs w:val="24"/>
          <w:u w:val="none"/>
        </w:rPr>
        <w:t>RNGPS</w:t>
      </w:r>
      <w:r w:rsidR="009B6040">
        <w:rPr>
          <w:b w:val="0"/>
          <w:sz w:val="24"/>
          <w:szCs w:val="24"/>
          <w:u w:val="none"/>
        </w:rPr>
        <w:t>)</w:t>
      </w:r>
      <w:r>
        <w:rPr>
          <w:b w:val="0"/>
          <w:sz w:val="24"/>
          <w:szCs w:val="24"/>
          <w:u w:val="none"/>
        </w:rPr>
        <w:t xml:space="preserve"> performed less well than GPS students. </w:t>
      </w:r>
    </w:p>
    <w:p w:rsidR="00BF16D7" w:rsidRDefault="00BF16D7" w:rsidP="000D0729">
      <w:pPr>
        <w:pStyle w:val="InfoSubject"/>
        <w:tabs>
          <w:tab w:val="clear" w:pos="1080"/>
          <w:tab w:val="left" w:pos="-450"/>
          <w:tab w:val="left" w:pos="720"/>
          <w:tab w:val="num" w:pos="1440"/>
        </w:tabs>
        <w:jc w:val="both"/>
        <w:rPr>
          <w:b w:val="0"/>
          <w:color w:val="000000"/>
          <w:sz w:val="24"/>
          <w:szCs w:val="24"/>
          <w:u w:val="none"/>
        </w:rPr>
      </w:pPr>
    </w:p>
    <w:p w:rsidR="00F57AF9" w:rsidRDefault="00F57AF9" w:rsidP="000D0729">
      <w:pPr>
        <w:pStyle w:val="InfoSubject"/>
        <w:tabs>
          <w:tab w:val="clear" w:pos="1080"/>
          <w:tab w:val="left" w:pos="-450"/>
          <w:tab w:val="left" w:pos="720"/>
          <w:tab w:val="num" w:pos="1440"/>
        </w:tabs>
        <w:jc w:val="both"/>
        <w:rPr>
          <w:color w:val="000000"/>
          <w:sz w:val="24"/>
          <w:szCs w:val="24"/>
        </w:rPr>
      </w:pPr>
      <w:r>
        <w:rPr>
          <w:b w:val="0"/>
          <w:color w:val="000000"/>
          <w:sz w:val="24"/>
          <w:szCs w:val="24"/>
          <w:u w:val="none"/>
        </w:rPr>
        <w:t xml:space="preserve">The comprehensive National Education Policy (NEP; 2010) lays out operational objectives and expected results across the entire spectrum of the education sector and accords </w:t>
      </w:r>
      <w:r w:rsidR="00660CEA">
        <w:rPr>
          <w:b w:val="0"/>
          <w:color w:val="000000"/>
          <w:sz w:val="24"/>
          <w:szCs w:val="24"/>
          <w:u w:val="none"/>
        </w:rPr>
        <w:t>PEDP3</w:t>
      </w:r>
      <w:r w:rsidR="00932F0E">
        <w:rPr>
          <w:b w:val="0"/>
          <w:color w:val="000000"/>
          <w:sz w:val="24"/>
          <w:szCs w:val="24"/>
          <w:u w:val="none"/>
        </w:rPr>
        <w:t xml:space="preserve"> </w:t>
      </w:r>
      <w:r>
        <w:rPr>
          <w:b w:val="0"/>
          <w:color w:val="000000"/>
          <w:sz w:val="24"/>
          <w:szCs w:val="24"/>
          <w:u w:val="none"/>
        </w:rPr>
        <w:t xml:space="preserve">a major role in addressing challenges related to quality and equity in primary and pre-primary education. </w:t>
      </w:r>
      <w:r w:rsidR="00660CEA">
        <w:rPr>
          <w:b w:val="0"/>
          <w:color w:val="000000"/>
          <w:sz w:val="24"/>
          <w:szCs w:val="24"/>
          <w:u w:val="none"/>
        </w:rPr>
        <w:t>PEDP3</w:t>
      </w:r>
      <w:r w:rsidR="00932F0E">
        <w:rPr>
          <w:b w:val="0"/>
          <w:color w:val="000000"/>
          <w:sz w:val="24"/>
          <w:szCs w:val="24"/>
          <w:u w:val="none"/>
        </w:rPr>
        <w:t xml:space="preserve"> </w:t>
      </w:r>
      <w:r>
        <w:rPr>
          <w:b w:val="0"/>
          <w:color w:val="000000"/>
          <w:sz w:val="24"/>
          <w:szCs w:val="24"/>
          <w:u w:val="none"/>
        </w:rPr>
        <w:t xml:space="preserve">embodies the four main foci of the NEP, </w:t>
      </w:r>
      <w:r>
        <w:rPr>
          <w:b w:val="0"/>
          <w:i/>
          <w:color w:val="000000"/>
          <w:sz w:val="24"/>
          <w:szCs w:val="24"/>
          <w:u w:val="none"/>
        </w:rPr>
        <w:t>viz</w:t>
      </w:r>
      <w:r>
        <w:rPr>
          <w:b w:val="0"/>
          <w:color w:val="000000"/>
          <w:sz w:val="24"/>
          <w:szCs w:val="24"/>
          <w:u w:val="none"/>
        </w:rPr>
        <w:t xml:space="preserve">. (i) establishing an integrated school system under a framework that unifies public, NGO and private providers; (ii) improving quality through reduced class size, improved teaching practices, and a focus on ICT literacy; (iii) decentralizing primary education administration and management; and (iv) engaging in partnerships with NGOs and the private </w:t>
      </w:r>
      <w:r>
        <w:rPr>
          <w:b w:val="0"/>
          <w:sz w:val="24"/>
          <w:szCs w:val="24"/>
          <w:u w:val="none"/>
        </w:rPr>
        <w:t>sector.</w:t>
      </w:r>
    </w:p>
    <w:p w:rsidR="00F57AF9" w:rsidRDefault="00F57AF9" w:rsidP="000D0729">
      <w:pPr>
        <w:pStyle w:val="ListParagraph"/>
        <w:rPr>
          <w:b/>
          <w:color w:val="000000"/>
        </w:rPr>
      </w:pPr>
    </w:p>
    <w:p w:rsidR="007B22E8" w:rsidRDefault="00F57AF9" w:rsidP="009C6544">
      <w:pPr>
        <w:pStyle w:val="BodyText"/>
        <w:jc w:val="both"/>
      </w:pPr>
      <w:r>
        <w:rPr>
          <w:color w:val="000000"/>
        </w:rPr>
        <w:t>GoB and the nine participating D</w:t>
      </w:r>
      <w:r w:rsidR="005C1C1B">
        <w:rPr>
          <w:color w:val="000000"/>
        </w:rPr>
        <w:t xml:space="preserve">evelopment </w:t>
      </w:r>
      <w:r>
        <w:rPr>
          <w:color w:val="000000"/>
        </w:rPr>
        <w:t>P</w:t>
      </w:r>
      <w:r w:rsidR="005C1C1B">
        <w:rPr>
          <w:color w:val="000000"/>
        </w:rPr>
        <w:t>artner</w:t>
      </w:r>
      <w:r>
        <w:rPr>
          <w:color w:val="000000"/>
        </w:rPr>
        <w:t>s used a strategic planning process to identify the expected development outcomes – “Program Results Framework” – and the operational framework (4 result areas represented by 29 Sub-components under the GoB’s program) through which to achieve these outcomes. Nine of these Sub-components were selected strategically as the Disbursement Linked Indicators (DLIs) under the program.</w:t>
      </w:r>
      <w:r>
        <w:t xml:space="preserve">       </w:t>
      </w:r>
    </w:p>
    <w:bookmarkEnd w:id="14"/>
    <w:p w:rsidR="00A706FA" w:rsidRDefault="00A706FA" w:rsidP="000D0729">
      <w:pPr>
        <w:numPr>
          <w:ilvl w:val="0"/>
          <w:numId w:val="6"/>
        </w:numPr>
        <w:tabs>
          <w:tab w:val="clear" w:pos="720"/>
          <w:tab w:val="num" w:pos="360"/>
        </w:tabs>
        <w:ind w:left="360"/>
        <w:jc w:val="both"/>
      </w:pPr>
      <w:r>
        <w:t>Objectives</w:t>
      </w:r>
      <w:bookmarkStart w:id="15" w:name="Objectives"/>
    </w:p>
    <w:p w:rsidR="00756869" w:rsidRDefault="00756869" w:rsidP="000D0729">
      <w:pPr>
        <w:jc w:val="both"/>
      </w:pPr>
    </w:p>
    <w:p w:rsidR="00406393" w:rsidRPr="007F4073" w:rsidRDefault="00406393" w:rsidP="000D0729">
      <w:pPr>
        <w:jc w:val="both"/>
        <w:rPr>
          <w:rFonts w:eastAsia="Calibri"/>
        </w:rPr>
      </w:pPr>
      <w:r w:rsidRPr="007F4073">
        <w:t>The development objectives of the proposed program are to</w:t>
      </w:r>
      <w:r w:rsidR="00660CEA">
        <w:t>:</w:t>
      </w:r>
      <w:r w:rsidRPr="007F4073">
        <w:t xml:space="preserve"> </w:t>
      </w:r>
      <w:r w:rsidRPr="007F4073">
        <w:rPr>
          <w:rFonts w:eastAsia="Calibri"/>
        </w:rPr>
        <w:t>(</w:t>
      </w:r>
      <w:proofErr w:type="spellStart"/>
      <w:r w:rsidRPr="007F4073">
        <w:rPr>
          <w:rFonts w:eastAsia="Calibri"/>
        </w:rPr>
        <w:t>i</w:t>
      </w:r>
      <w:proofErr w:type="spellEnd"/>
      <w:r w:rsidRPr="007F4073">
        <w:rPr>
          <w:rFonts w:eastAsia="Calibri"/>
        </w:rPr>
        <w:t>) increase the number of children enrolled and completing primary education; (ii) reduce social disparities in terms of access to education; and (iii) improve the measurement of student learning.</w:t>
      </w:r>
    </w:p>
    <w:p w:rsidR="00A706FA" w:rsidRDefault="00A706FA" w:rsidP="000D0729">
      <w:pPr>
        <w:jc w:val="both"/>
      </w:pPr>
    </w:p>
    <w:p w:rsidR="00A706FA" w:rsidRDefault="00341FEE" w:rsidP="000D0729">
      <w:pPr>
        <w:numPr>
          <w:ilvl w:val="0"/>
          <w:numId w:val="6"/>
        </w:numPr>
        <w:tabs>
          <w:tab w:val="clear" w:pos="720"/>
          <w:tab w:val="num" w:pos="360"/>
        </w:tabs>
        <w:ind w:left="360"/>
        <w:jc w:val="both"/>
      </w:pPr>
      <w:bookmarkStart w:id="16" w:name="RationaleBankInvolvement"/>
      <w:bookmarkEnd w:id="15"/>
      <w:r>
        <w:t>Description</w:t>
      </w:r>
    </w:p>
    <w:p w:rsidR="00BF16D7" w:rsidRDefault="00BF16D7" w:rsidP="000D0729">
      <w:pPr>
        <w:jc w:val="both"/>
      </w:pPr>
    </w:p>
    <w:p w:rsidR="00BF16D7" w:rsidRDefault="00BF16D7" w:rsidP="000D0729">
      <w:pPr>
        <w:jc w:val="both"/>
      </w:pPr>
      <w:r>
        <w:t>The operation uses a Sector Wide approach (SWAp) to support implementation of the Government of Bangladesh’s Third Primary Education Development Program (PED</w:t>
      </w:r>
      <w:r w:rsidR="00A748B3">
        <w:t>P</w:t>
      </w:r>
      <w:r>
        <w:t>3). The Credit finances recurrent and development expenditures</w:t>
      </w:r>
      <w:r w:rsidR="00F4765A">
        <w:t xml:space="preserve"> in</w:t>
      </w:r>
      <w:r>
        <w:t xml:space="preserve"> the entire primary education sector</w:t>
      </w:r>
      <w:r w:rsidR="004E7497">
        <w:t xml:space="preserve"> and </w:t>
      </w:r>
      <w:r w:rsidR="004E7497" w:rsidRPr="004E7497">
        <w:rPr>
          <w:spacing w:val="-1"/>
        </w:rPr>
        <w:t>funds</w:t>
      </w:r>
      <w:r w:rsidR="004E7497" w:rsidRPr="004E7497">
        <w:rPr>
          <w:spacing w:val="27"/>
        </w:rPr>
        <w:t xml:space="preserve"> </w:t>
      </w:r>
      <w:r w:rsidR="004E7497" w:rsidRPr="004E7497">
        <w:t>are</w:t>
      </w:r>
      <w:r w:rsidR="004E7497" w:rsidRPr="004E7497">
        <w:rPr>
          <w:spacing w:val="33"/>
          <w:w w:val="99"/>
        </w:rPr>
        <w:t xml:space="preserve"> </w:t>
      </w:r>
      <w:r w:rsidR="004E7497" w:rsidRPr="004E7497">
        <w:t>disbursed</w:t>
      </w:r>
      <w:r w:rsidR="004E7497" w:rsidRPr="004E7497">
        <w:rPr>
          <w:spacing w:val="24"/>
        </w:rPr>
        <w:t xml:space="preserve"> </w:t>
      </w:r>
      <w:r w:rsidR="004E7497" w:rsidRPr="004E7497">
        <w:t>when</w:t>
      </w:r>
      <w:r w:rsidR="004E7497" w:rsidRPr="004E7497">
        <w:rPr>
          <w:spacing w:val="25"/>
        </w:rPr>
        <w:t xml:space="preserve"> </w:t>
      </w:r>
      <w:r w:rsidR="004E7497" w:rsidRPr="004E7497">
        <w:t>DLIs,</w:t>
      </w:r>
      <w:r w:rsidR="004E7497" w:rsidRPr="004E7497">
        <w:rPr>
          <w:spacing w:val="24"/>
        </w:rPr>
        <w:t xml:space="preserve"> </w:t>
      </w:r>
      <w:r w:rsidR="004E7497" w:rsidRPr="004E7497">
        <w:t>covering</w:t>
      </w:r>
      <w:r w:rsidR="004E7497" w:rsidRPr="004E7497">
        <w:rPr>
          <w:spacing w:val="25"/>
        </w:rPr>
        <w:t xml:space="preserve"> </w:t>
      </w:r>
      <w:r w:rsidR="004E7497" w:rsidRPr="004E7497">
        <w:t>nine</w:t>
      </w:r>
      <w:r w:rsidR="004E7497" w:rsidRPr="004E7497">
        <w:rPr>
          <w:spacing w:val="25"/>
        </w:rPr>
        <w:t xml:space="preserve"> </w:t>
      </w:r>
      <w:r w:rsidR="004E7497" w:rsidRPr="004E7497">
        <w:t>areas,</w:t>
      </w:r>
      <w:r w:rsidR="004E7497" w:rsidRPr="004E7497">
        <w:rPr>
          <w:spacing w:val="25"/>
        </w:rPr>
        <w:t xml:space="preserve"> </w:t>
      </w:r>
      <w:r w:rsidR="004E7497" w:rsidRPr="004E7497">
        <w:t>are</w:t>
      </w:r>
      <w:r w:rsidR="004E7497" w:rsidRPr="004E7497">
        <w:rPr>
          <w:spacing w:val="26"/>
        </w:rPr>
        <w:t xml:space="preserve"> </w:t>
      </w:r>
      <w:r w:rsidR="004E7497" w:rsidRPr="004E7497">
        <w:t>met.</w:t>
      </w:r>
      <w:r w:rsidR="002D06E0">
        <w:t xml:space="preserve"> </w:t>
      </w:r>
    </w:p>
    <w:p w:rsidR="00A748B3" w:rsidRDefault="00A748B3" w:rsidP="000D0729">
      <w:pPr>
        <w:jc w:val="both"/>
      </w:pPr>
    </w:p>
    <w:p w:rsidR="00A748B3" w:rsidRDefault="00A748B3" w:rsidP="000D0729">
      <w:pPr>
        <w:pStyle w:val="ListParagraph"/>
        <w:tabs>
          <w:tab w:val="left" w:pos="-450"/>
          <w:tab w:val="left" w:pos="720"/>
        </w:tabs>
        <w:ind w:left="0"/>
        <w:jc w:val="both"/>
        <w:rPr>
          <w:color w:val="000000"/>
        </w:rPr>
      </w:pPr>
      <w:r>
        <w:t xml:space="preserve">An extensive Mid-term Review (MTR) was carried out during the period July 2013 till </w:t>
      </w:r>
      <w:r w:rsidR="004E7497">
        <w:rPr>
          <w:lang w:val="en-US"/>
        </w:rPr>
        <w:t>September</w:t>
      </w:r>
      <w:r w:rsidR="004E7497">
        <w:t xml:space="preserve"> </w:t>
      </w:r>
      <w:r>
        <w:t>2014</w:t>
      </w:r>
      <w:r w:rsidR="004E7497">
        <w:rPr>
          <w:lang w:val="en-US"/>
        </w:rPr>
        <w:t xml:space="preserve">, as a part of this </w:t>
      </w:r>
      <w:r w:rsidRPr="00494BC1">
        <w:t xml:space="preserve">MoPME/DPE/DPs conducted a series of internal assessments </w:t>
      </w:r>
      <w:r w:rsidR="004E7497">
        <w:rPr>
          <w:lang w:val="en-US"/>
        </w:rPr>
        <w:t>along</w:t>
      </w:r>
      <w:r w:rsidRPr="00494BC1">
        <w:t xml:space="preserve"> with five in-depth independent analyses: Economic, Financial, Governance and Institutional, an Education Quality Study, and a Population Study. Results reaffirmed the strength of PEDP3’s conceptual design</w:t>
      </w:r>
      <w:r w:rsidR="002D06E0">
        <w:rPr>
          <w:lang w:val="en-US"/>
        </w:rPr>
        <w:t xml:space="preserve"> </w:t>
      </w:r>
      <w:r w:rsidR="002D06E0" w:rsidRPr="00ED6E24">
        <w:rPr>
          <w:bCs/>
        </w:rPr>
        <w:t>finding its emphasis on quality of learning, use of government systems, strengthening government engagement and ownership as well as systems’ accountability, and exemplary donor harmonization put the program at the forefront of global best practic</w:t>
      </w:r>
      <w:r w:rsidR="002D06E0">
        <w:rPr>
          <w:bCs/>
          <w:lang w:val="en-US"/>
        </w:rPr>
        <w:t>e</w:t>
      </w:r>
      <w:r w:rsidRPr="00494BC1">
        <w:t>.</w:t>
      </w:r>
      <w:r w:rsidRPr="00494BC1">
        <w:rPr>
          <w:color w:val="000000"/>
        </w:rPr>
        <w:t xml:space="preserve"> </w:t>
      </w:r>
    </w:p>
    <w:p w:rsidR="00A748B3" w:rsidRDefault="00A748B3" w:rsidP="000D0729">
      <w:pPr>
        <w:jc w:val="both"/>
      </w:pPr>
    </w:p>
    <w:p w:rsidR="00BC6AEA" w:rsidRDefault="00BC6AEA" w:rsidP="000D0729">
      <w:pPr>
        <w:jc w:val="both"/>
        <w:rPr>
          <w:i/>
        </w:rPr>
      </w:pPr>
    </w:p>
    <w:p w:rsidR="00A706FA" w:rsidRPr="00BC6AEA" w:rsidRDefault="0001258A" w:rsidP="002D06E0">
      <w:pPr>
        <w:keepNext/>
        <w:jc w:val="both"/>
        <w:rPr>
          <w:i/>
        </w:rPr>
      </w:pPr>
      <w:r w:rsidRPr="00BC6AEA">
        <w:rPr>
          <w:i/>
        </w:rPr>
        <w:lastRenderedPageBreak/>
        <w:t>Rationale for Additional Financing</w:t>
      </w:r>
      <w:r w:rsidR="006E0162" w:rsidRPr="00BC6AEA">
        <w:rPr>
          <w:i/>
        </w:rPr>
        <w:t xml:space="preserve"> (AF)</w:t>
      </w:r>
    </w:p>
    <w:p w:rsidR="0001258A" w:rsidRDefault="0001258A" w:rsidP="002D06E0">
      <w:pPr>
        <w:keepNext/>
        <w:jc w:val="both"/>
        <w:rPr>
          <w:b/>
        </w:rPr>
      </w:pPr>
    </w:p>
    <w:p w:rsidR="0001258A" w:rsidRDefault="0001258A" w:rsidP="002D06E0">
      <w:pPr>
        <w:keepNext/>
        <w:jc w:val="both"/>
      </w:pPr>
      <w:r>
        <w:t>The MTR</w:t>
      </w:r>
      <w:r w:rsidRPr="006C0D69">
        <w:t xml:space="preserve"> process has identified a financing gap due to the proposed progra</w:t>
      </w:r>
      <w:r w:rsidR="005A68F1">
        <w:t>m extension until December 2017. The initial costing for the program was for USD 8.3 billion which is currently calculated to be USD 7.5 billion due to exchange rate fluctuations. Going forward extending the program by one more year will require additional funds making the revised costing for PEDP3 for 2011 to 2017 USD 9.</w:t>
      </w:r>
      <w:r w:rsidR="00E224BF">
        <w:t>8</w:t>
      </w:r>
      <w:r w:rsidR="005A68F1">
        <w:t xml:space="preserve"> billion</w:t>
      </w:r>
      <w:r w:rsidR="00E224BF">
        <w:t xml:space="preserve"> (at current exchange rate)</w:t>
      </w:r>
      <w:r w:rsidR="005A68F1">
        <w:t xml:space="preserve">. Moreover, </w:t>
      </w:r>
      <w:r w:rsidR="00E224BF">
        <w:t>a</w:t>
      </w:r>
      <w:r w:rsidR="005A68F1">
        <w:t xml:space="preserve"> financing gap will arise </w:t>
      </w:r>
      <w:r w:rsidRPr="006C0D69">
        <w:t>as a result of the higher national pay scale implemented since FY2012/13 and increased infrastructure costs because of changes in the standard school design and inflation in the cost of construction materials.</w:t>
      </w:r>
      <w:r w:rsidR="005A68F1">
        <w:t xml:space="preserve"> </w:t>
      </w:r>
    </w:p>
    <w:p w:rsidR="005A68F1" w:rsidRPr="006C0D69" w:rsidRDefault="005A68F1" w:rsidP="000D0729">
      <w:pPr>
        <w:widowControl w:val="0"/>
        <w:jc w:val="both"/>
      </w:pPr>
    </w:p>
    <w:p w:rsidR="0001258A" w:rsidRDefault="0001258A" w:rsidP="000D0729">
      <w:pPr>
        <w:jc w:val="both"/>
      </w:pPr>
      <w:r>
        <w:t xml:space="preserve">The activities to be financed under the AF fall under the following </w:t>
      </w:r>
      <w:r w:rsidR="00D627D1">
        <w:t>categories (selected from the Program activities listed below and included in the Annual Plans)</w:t>
      </w:r>
      <w:r>
        <w:t>:</w:t>
      </w:r>
    </w:p>
    <w:p w:rsidR="007B22E8" w:rsidRDefault="007B22E8" w:rsidP="000D0729">
      <w:pPr>
        <w:jc w:val="both"/>
      </w:pPr>
    </w:p>
    <w:p w:rsidR="00BF16D7" w:rsidRPr="00BF16D7" w:rsidRDefault="00BC6AEA" w:rsidP="000D0729">
      <w:pPr>
        <w:autoSpaceDE w:val="0"/>
        <w:autoSpaceDN w:val="0"/>
        <w:adjustRightInd w:val="0"/>
        <w:jc w:val="both"/>
        <w:rPr>
          <w:rFonts w:eastAsia="Calibri"/>
        </w:rPr>
      </w:pPr>
      <w:bookmarkStart w:id="17" w:name="Description"/>
      <w:bookmarkEnd w:id="16"/>
      <w:r>
        <w:rPr>
          <w:rFonts w:eastAsia="Calibri"/>
          <w:u w:val="single"/>
        </w:rPr>
        <w:t>I</w:t>
      </w:r>
      <w:r w:rsidR="0001258A" w:rsidRPr="00BF16D7">
        <w:rPr>
          <w:rFonts w:eastAsia="Calibri"/>
          <w:u w:val="single"/>
        </w:rPr>
        <w:t xml:space="preserve">. </w:t>
      </w:r>
      <w:r w:rsidR="00BF16D7" w:rsidRPr="00BF16D7">
        <w:rPr>
          <w:rFonts w:eastAsia="Calibri"/>
          <w:u w:val="single"/>
        </w:rPr>
        <w:t>Improving the Quality of the Learning Environment and the Measurement of Student Learning</w:t>
      </w:r>
    </w:p>
    <w:p w:rsidR="00BF16D7" w:rsidRPr="00BF16D7" w:rsidRDefault="00BF16D7" w:rsidP="000D0729">
      <w:pPr>
        <w:autoSpaceDE w:val="0"/>
        <w:autoSpaceDN w:val="0"/>
        <w:adjustRightInd w:val="0"/>
        <w:jc w:val="both"/>
        <w:rPr>
          <w:rFonts w:eastAsia="Calibri"/>
          <w:sz w:val="25"/>
          <w:szCs w:val="25"/>
        </w:rPr>
      </w:pPr>
    </w:p>
    <w:p w:rsidR="00E705B3" w:rsidRPr="00E705B3" w:rsidRDefault="00BF16D7" w:rsidP="000D0729">
      <w:pPr>
        <w:pStyle w:val="ListParagraph"/>
        <w:numPr>
          <w:ilvl w:val="0"/>
          <w:numId w:val="16"/>
        </w:numPr>
        <w:autoSpaceDE w:val="0"/>
        <w:autoSpaceDN w:val="0"/>
        <w:adjustRightInd w:val="0"/>
        <w:jc w:val="both"/>
        <w:rPr>
          <w:rFonts w:eastAsia="Calibri"/>
        </w:rPr>
      </w:pPr>
      <w:r w:rsidRPr="00D627D1">
        <w:rPr>
          <w:rFonts w:eastAsia="Calibri"/>
        </w:rPr>
        <w:t>Improvement of the timely delivery of free textbooks to all eligible schools and the quality of textbook content through the provision of quality learning materials</w:t>
      </w:r>
      <w:r w:rsidR="00D627D1">
        <w:rPr>
          <w:rFonts w:eastAsia="Calibri"/>
          <w:lang w:val="en-US"/>
        </w:rPr>
        <w:t>.</w:t>
      </w:r>
    </w:p>
    <w:p w:rsidR="00D627D1" w:rsidRPr="00D627D1" w:rsidRDefault="00BF16D7" w:rsidP="000D0729">
      <w:pPr>
        <w:pStyle w:val="ListParagraph"/>
        <w:numPr>
          <w:ilvl w:val="0"/>
          <w:numId w:val="16"/>
        </w:numPr>
        <w:autoSpaceDE w:val="0"/>
        <w:autoSpaceDN w:val="0"/>
        <w:adjustRightInd w:val="0"/>
        <w:jc w:val="both"/>
        <w:rPr>
          <w:rFonts w:eastAsia="Calibri"/>
        </w:rPr>
      </w:pPr>
      <w:r w:rsidRPr="00BF16D7">
        <w:rPr>
          <w:rFonts w:eastAsia="Calibri"/>
        </w:rPr>
        <w:t>Improvement of the effectiveness of teacher training through the carrying out of a comprehensive teacher education and development plan</w:t>
      </w:r>
      <w:r w:rsidR="00D627D1">
        <w:rPr>
          <w:rFonts w:eastAsia="Calibri"/>
          <w:lang w:val="en-US"/>
        </w:rPr>
        <w:t>.</w:t>
      </w:r>
    </w:p>
    <w:p w:rsidR="00BF16D7" w:rsidRPr="00BF16D7" w:rsidRDefault="00BF16D7" w:rsidP="000D0729">
      <w:pPr>
        <w:pStyle w:val="ListParagraph"/>
        <w:numPr>
          <w:ilvl w:val="0"/>
          <w:numId w:val="16"/>
        </w:numPr>
        <w:autoSpaceDE w:val="0"/>
        <w:autoSpaceDN w:val="0"/>
        <w:adjustRightInd w:val="0"/>
        <w:jc w:val="both"/>
        <w:rPr>
          <w:rFonts w:eastAsia="Calibri"/>
        </w:rPr>
      </w:pPr>
      <w:r w:rsidRPr="00BF16D7">
        <w:rPr>
          <w:rFonts w:eastAsia="Calibri"/>
        </w:rPr>
        <w:t>Recruitment of teachers and head-teachers, and application of the competitive, merit-based recruitment as per the Recipient's rules in place, as well as taking account of vacancies to be filled as a result of new classrooms constructed through the needs-based. Infrastructure approach.</w:t>
      </w:r>
    </w:p>
    <w:p w:rsidR="00BF16D7" w:rsidRPr="00BF16D7" w:rsidRDefault="00BF16D7" w:rsidP="000D0729">
      <w:pPr>
        <w:pStyle w:val="ListParagraph"/>
        <w:numPr>
          <w:ilvl w:val="0"/>
          <w:numId w:val="16"/>
        </w:numPr>
        <w:autoSpaceDE w:val="0"/>
        <w:autoSpaceDN w:val="0"/>
        <w:adjustRightInd w:val="0"/>
        <w:jc w:val="both"/>
        <w:rPr>
          <w:rFonts w:eastAsia="Calibri"/>
        </w:rPr>
      </w:pPr>
      <w:r w:rsidRPr="00BF16D7">
        <w:rPr>
          <w:rFonts w:eastAsia="Calibri"/>
        </w:rPr>
        <w:t>Improvement of the quality, transparency and effectiveness of the primary completion examination through the carrying out of an action plan to improve the Grade 5 completion examination</w:t>
      </w:r>
      <w:r w:rsidR="00D627D1">
        <w:rPr>
          <w:rFonts w:eastAsia="Calibri"/>
          <w:lang w:val="en-US"/>
        </w:rPr>
        <w:t>.</w:t>
      </w:r>
    </w:p>
    <w:p w:rsidR="00BF16D7" w:rsidRPr="00BF16D7" w:rsidRDefault="00BF16D7" w:rsidP="000D0729">
      <w:pPr>
        <w:pStyle w:val="ListParagraph"/>
        <w:numPr>
          <w:ilvl w:val="0"/>
          <w:numId w:val="16"/>
        </w:numPr>
        <w:autoSpaceDE w:val="0"/>
        <w:autoSpaceDN w:val="0"/>
        <w:adjustRightInd w:val="0"/>
        <w:jc w:val="both"/>
        <w:rPr>
          <w:rFonts w:eastAsia="Calibri"/>
        </w:rPr>
      </w:pPr>
      <w:r w:rsidRPr="00BF16D7">
        <w:rPr>
          <w:rFonts w:eastAsia="Calibri"/>
        </w:rPr>
        <w:t>Improvement of the national assessment program, including the organizational management of the said program.</w:t>
      </w:r>
    </w:p>
    <w:p w:rsidR="00BF16D7" w:rsidRPr="00BF16D7" w:rsidRDefault="00BF16D7" w:rsidP="000D0729">
      <w:pPr>
        <w:pStyle w:val="ListParagraph"/>
        <w:numPr>
          <w:ilvl w:val="0"/>
          <w:numId w:val="16"/>
        </w:numPr>
        <w:autoSpaceDE w:val="0"/>
        <w:autoSpaceDN w:val="0"/>
        <w:adjustRightInd w:val="0"/>
        <w:jc w:val="both"/>
        <w:rPr>
          <w:rFonts w:eastAsia="Calibri"/>
        </w:rPr>
      </w:pPr>
      <w:r w:rsidRPr="00BF16D7">
        <w:rPr>
          <w:rFonts w:eastAsia="Calibri"/>
        </w:rPr>
        <w:t>Development of techniques to determine pupils' current knowledge and skill level, including through the training of teachers to identify students' learning strengths and weaknesses.</w:t>
      </w:r>
    </w:p>
    <w:p w:rsidR="00BF16D7" w:rsidRPr="00BF16D7" w:rsidRDefault="00BF16D7" w:rsidP="000D0729">
      <w:pPr>
        <w:pStyle w:val="ListParagraph"/>
        <w:numPr>
          <w:ilvl w:val="0"/>
          <w:numId w:val="16"/>
        </w:numPr>
        <w:autoSpaceDE w:val="0"/>
        <w:autoSpaceDN w:val="0"/>
        <w:adjustRightInd w:val="0"/>
        <w:jc w:val="both"/>
        <w:rPr>
          <w:rFonts w:eastAsia="Calibri"/>
        </w:rPr>
      </w:pPr>
      <w:r w:rsidRPr="00BF16D7">
        <w:rPr>
          <w:rFonts w:eastAsia="Calibri"/>
        </w:rPr>
        <w:t>Improvement of the curricula for grades one to five, including the carrying out of a regional comparative study on competencies, curriculum substance and revision practices, and capacity building of staff for curriculum development.</w:t>
      </w:r>
    </w:p>
    <w:p w:rsidR="00BF16D7" w:rsidRPr="00BF16D7" w:rsidRDefault="00BF16D7" w:rsidP="000D0729">
      <w:pPr>
        <w:pStyle w:val="ListParagraph"/>
        <w:numPr>
          <w:ilvl w:val="0"/>
          <w:numId w:val="16"/>
        </w:numPr>
        <w:autoSpaceDE w:val="0"/>
        <w:autoSpaceDN w:val="0"/>
        <w:adjustRightInd w:val="0"/>
        <w:jc w:val="both"/>
        <w:rPr>
          <w:rFonts w:eastAsia="Calibri"/>
        </w:rPr>
      </w:pPr>
      <w:r w:rsidRPr="00BF16D7">
        <w:rPr>
          <w:rFonts w:eastAsia="Calibri"/>
        </w:rPr>
        <w:t xml:space="preserve">Implementation of a pilot initiative </w:t>
      </w:r>
      <w:r w:rsidRPr="00BF16D7">
        <w:rPr>
          <w:rFonts w:eastAsia="Calibri"/>
          <w:i/>
          <w:iCs/>
          <w:sz w:val="22"/>
          <w:szCs w:val="22"/>
        </w:rPr>
        <w:t xml:space="preserve">Shikhbe Protiti Shishu </w:t>
      </w:r>
      <w:r w:rsidRPr="00BF16D7">
        <w:rPr>
          <w:rFonts w:eastAsia="Calibri"/>
        </w:rPr>
        <w:t>(Each Child Learns) to improve learning of basic skills in Bangla and mathematics, and dissemination of good practices and lessons learned to a progressively larger number of schools.</w:t>
      </w:r>
    </w:p>
    <w:p w:rsidR="00BF16D7" w:rsidRPr="00BF16D7" w:rsidRDefault="00BF16D7" w:rsidP="000D0729">
      <w:pPr>
        <w:pStyle w:val="ListParagraph"/>
        <w:numPr>
          <w:ilvl w:val="0"/>
          <w:numId w:val="16"/>
        </w:numPr>
        <w:autoSpaceDE w:val="0"/>
        <w:autoSpaceDN w:val="0"/>
        <w:adjustRightInd w:val="0"/>
        <w:jc w:val="both"/>
        <w:rPr>
          <w:rFonts w:eastAsia="Calibri"/>
        </w:rPr>
      </w:pPr>
      <w:r w:rsidRPr="00BF16D7">
        <w:rPr>
          <w:rFonts w:eastAsia="Calibri"/>
        </w:rPr>
        <w:t>Provision of equipment and materials for the setting-up of multi-media classrooms.</w:t>
      </w:r>
    </w:p>
    <w:p w:rsidR="00BF16D7" w:rsidRPr="006E0162" w:rsidRDefault="00BF16D7" w:rsidP="000D0729">
      <w:pPr>
        <w:pStyle w:val="ListParagraph"/>
        <w:numPr>
          <w:ilvl w:val="0"/>
          <w:numId w:val="16"/>
        </w:numPr>
        <w:autoSpaceDE w:val="0"/>
        <w:autoSpaceDN w:val="0"/>
        <w:adjustRightInd w:val="0"/>
        <w:jc w:val="both"/>
        <w:rPr>
          <w:rFonts w:eastAsia="Calibri"/>
        </w:rPr>
      </w:pPr>
      <w:r w:rsidRPr="00BF16D7">
        <w:rPr>
          <w:rFonts w:eastAsia="Calibri"/>
        </w:rPr>
        <w:t>Any other activity as the Recipient and the Association may agree.</w:t>
      </w:r>
    </w:p>
    <w:p w:rsidR="006E0162" w:rsidRPr="00BF16D7" w:rsidRDefault="006E0162" w:rsidP="006E0162">
      <w:pPr>
        <w:pStyle w:val="ListParagraph"/>
        <w:autoSpaceDE w:val="0"/>
        <w:autoSpaceDN w:val="0"/>
        <w:adjustRightInd w:val="0"/>
        <w:ind w:left="360"/>
        <w:jc w:val="both"/>
        <w:rPr>
          <w:rFonts w:eastAsia="Calibri"/>
        </w:rPr>
      </w:pPr>
    </w:p>
    <w:p w:rsidR="00BF16D7" w:rsidRPr="00BF16D7" w:rsidRDefault="00BC6AEA" w:rsidP="000D0729">
      <w:pPr>
        <w:autoSpaceDE w:val="0"/>
        <w:autoSpaceDN w:val="0"/>
        <w:adjustRightInd w:val="0"/>
        <w:jc w:val="both"/>
        <w:rPr>
          <w:rFonts w:eastAsia="Calibri"/>
          <w:u w:val="single"/>
        </w:rPr>
      </w:pPr>
      <w:r>
        <w:rPr>
          <w:rFonts w:eastAsia="Calibri"/>
          <w:u w:val="single"/>
        </w:rPr>
        <w:t>II</w:t>
      </w:r>
      <w:r w:rsidR="00BF16D7" w:rsidRPr="00BF16D7">
        <w:rPr>
          <w:rFonts w:eastAsia="Calibri"/>
          <w:u w:val="single"/>
        </w:rPr>
        <w:t>. Improving Access and Reducing Social Disparities</w:t>
      </w:r>
    </w:p>
    <w:p w:rsidR="00BF16D7" w:rsidRPr="00BF16D7" w:rsidRDefault="00BF16D7" w:rsidP="00E224BF">
      <w:pPr>
        <w:autoSpaceDE w:val="0"/>
        <w:autoSpaceDN w:val="0"/>
        <w:adjustRightInd w:val="0"/>
        <w:jc w:val="both"/>
        <w:rPr>
          <w:rFonts w:eastAsia="Calibri"/>
          <w:sz w:val="22"/>
          <w:szCs w:val="22"/>
        </w:rPr>
      </w:pPr>
    </w:p>
    <w:p w:rsidR="00BF16D7" w:rsidRPr="00BF16D7" w:rsidRDefault="00BF16D7" w:rsidP="00E224BF">
      <w:pPr>
        <w:pStyle w:val="ListParagraph"/>
        <w:numPr>
          <w:ilvl w:val="0"/>
          <w:numId w:val="26"/>
        </w:numPr>
        <w:autoSpaceDE w:val="0"/>
        <w:autoSpaceDN w:val="0"/>
        <w:adjustRightInd w:val="0"/>
        <w:jc w:val="both"/>
        <w:rPr>
          <w:rFonts w:eastAsia="Calibri"/>
        </w:rPr>
      </w:pPr>
      <w:r w:rsidRPr="00BF16D7">
        <w:rPr>
          <w:rFonts w:eastAsia="Calibri"/>
        </w:rPr>
        <w:t>Provision of one year of free pre-primary education for five-year olds through a new school-based approach to reach coverage of all children in government primary schools</w:t>
      </w:r>
      <w:r w:rsidR="009C6544" w:rsidRPr="00E224BF">
        <w:rPr>
          <w:rFonts w:eastAsia="Calibri"/>
        </w:rPr>
        <w:t>.</w:t>
      </w:r>
      <w:r w:rsidRPr="00BF16D7">
        <w:rPr>
          <w:rFonts w:eastAsia="Calibri"/>
        </w:rPr>
        <w:t xml:space="preserve"> </w:t>
      </w:r>
    </w:p>
    <w:p w:rsidR="00BF16D7" w:rsidRPr="00BF16D7" w:rsidRDefault="00BF16D7" w:rsidP="00E224BF">
      <w:pPr>
        <w:pStyle w:val="ListParagraph"/>
        <w:numPr>
          <w:ilvl w:val="0"/>
          <w:numId w:val="26"/>
        </w:numPr>
        <w:autoSpaceDE w:val="0"/>
        <w:autoSpaceDN w:val="0"/>
        <w:adjustRightInd w:val="0"/>
        <w:jc w:val="both"/>
        <w:rPr>
          <w:rFonts w:eastAsia="Calibri"/>
        </w:rPr>
      </w:pPr>
      <w:r w:rsidRPr="00BF16D7">
        <w:rPr>
          <w:rFonts w:eastAsia="Calibri"/>
        </w:rPr>
        <w:t>Initiating a needs-based approach to improve physical facilities (reconstruction of schools, additional classrooms, toilets and safe water source) through the preparation and implementation of an action plan for infrastructure development.</w:t>
      </w:r>
    </w:p>
    <w:p w:rsidR="00BF16D7" w:rsidRPr="00BF16D7" w:rsidRDefault="00BF16D7" w:rsidP="00E224BF">
      <w:pPr>
        <w:pStyle w:val="ListParagraph"/>
        <w:numPr>
          <w:ilvl w:val="0"/>
          <w:numId w:val="26"/>
        </w:numPr>
        <w:autoSpaceDE w:val="0"/>
        <w:autoSpaceDN w:val="0"/>
        <w:adjustRightInd w:val="0"/>
        <w:jc w:val="both"/>
        <w:rPr>
          <w:rFonts w:eastAsia="Calibri"/>
        </w:rPr>
      </w:pPr>
      <w:r w:rsidRPr="00BF16D7">
        <w:rPr>
          <w:rFonts w:eastAsia="Calibri"/>
        </w:rPr>
        <w:lastRenderedPageBreak/>
        <w:t>Development and implementation of a public relations and communications strategy to inform and encourage enrollment and retention of children in school for the full primary cycle, targeting different groups of stakeholders</w:t>
      </w:r>
      <w:r w:rsidR="00D627D1" w:rsidRPr="00E224BF">
        <w:rPr>
          <w:rFonts w:eastAsia="Calibri"/>
        </w:rPr>
        <w:t>.</w:t>
      </w:r>
    </w:p>
    <w:p w:rsidR="00BF16D7" w:rsidRPr="00BF16D7" w:rsidRDefault="00BF16D7" w:rsidP="00E224BF">
      <w:pPr>
        <w:pStyle w:val="ListParagraph"/>
        <w:numPr>
          <w:ilvl w:val="0"/>
          <w:numId w:val="26"/>
        </w:numPr>
        <w:autoSpaceDE w:val="0"/>
        <w:autoSpaceDN w:val="0"/>
        <w:adjustRightInd w:val="0"/>
        <w:jc w:val="both"/>
        <w:rPr>
          <w:rFonts w:eastAsia="Calibri"/>
        </w:rPr>
      </w:pPr>
      <w:r w:rsidRPr="00BF16D7">
        <w:rPr>
          <w:rFonts w:eastAsia="Calibri"/>
        </w:rPr>
        <w:t>Implementation of a revamped stipend program to support participation of children in primary educations.</w:t>
      </w:r>
    </w:p>
    <w:p w:rsidR="00BF16D7" w:rsidRPr="00BF16D7" w:rsidRDefault="00BF16D7" w:rsidP="00E224BF">
      <w:pPr>
        <w:pStyle w:val="ListParagraph"/>
        <w:numPr>
          <w:ilvl w:val="0"/>
          <w:numId w:val="26"/>
        </w:numPr>
        <w:autoSpaceDE w:val="0"/>
        <w:autoSpaceDN w:val="0"/>
        <w:adjustRightInd w:val="0"/>
        <w:jc w:val="both"/>
        <w:rPr>
          <w:rFonts w:eastAsia="Calibri"/>
        </w:rPr>
      </w:pPr>
      <w:r w:rsidRPr="00BF16D7">
        <w:rPr>
          <w:rFonts w:eastAsia="Calibri"/>
        </w:rPr>
        <w:t>Coordination and implementation of a school health and nutrition program, including curriculum development on health and nutrition practices and health screenings in selected areas, and nutritional interventions such as school feeding.</w:t>
      </w:r>
    </w:p>
    <w:p w:rsidR="00BF16D7" w:rsidRPr="00BF16D7" w:rsidRDefault="00BF16D7" w:rsidP="00E224BF">
      <w:pPr>
        <w:pStyle w:val="ListParagraph"/>
        <w:numPr>
          <w:ilvl w:val="0"/>
          <w:numId w:val="26"/>
        </w:numPr>
        <w:autoSpaceDE w:val="0"/>
        <w:autoSpaceDN w:val="0"/>
        <w:adjustRightInd w:val="0"/>
        <w:jc w:val="both"/>
        <w:rPr>
          <w:rFonts w:eastAsia="Calibri"/>
        </w:rPr>
      </w:pPr>
      <w:r w:rsidRPr="00BF16D7">
        <w:rPr>
          <w:rFonts w:eastAsia="Calibri"/>
        </w:rPr>
        <w:t xml:space="preserve">Implementation of an inclusive primary education plan at the </w:t>
      </w:r>
      <w:r w:rsidRPr="00E224BF">
        <w:rPr>
          <w:rFonts w:eastAsia="Calibri"/>
        </w:rPr>
        <w:t xml:space="preserve">upazila </w:t>
      </w:r>
      <w:r w:rsidRPr="00BF16D7">
        <w:rPr>
          <w:rFonts w:eastAsia="Calibri"/>
        </w:rPr>
        <w:t>level, with support from a block grant</w:t>
      </w:r>
      <w:r w:rsidR="00D627D1" w:rsidRPr="00E224BF">
        <w:rPr>
          <w:rFonts w:eastAsia="Calibri"/>
        </w:rPr>
        <w:t xml:space="preserve"> </w:t>
      </w:r>
      <w:r w:rsidRPr="00BF16D7">
        <w:rPr>
          <w:rFonts w:eastAsia="Calibri"/>
        </w:rPr>
        <w:t>to schools accommodating previously excluded children, develop supplementary learning materials, and strengthen the capacity of teachers to identify and teach children with special needs.</w:t>
      </w:r>
    </w:p>
    <w:p w:rsidR="00E705B3" w:rsidRPr="00E224BF" w:rsidRDefault="00BF16D7" w:rsidP="00E224BF">
      <w:pPr>
        <w:pStyle w:val="ListParagraph"/>
        <w:numPr>
          <w:ilvl w:val="0"/>
          <w:numId w:val="26"/>
        </w:numPr>
        <w:autoSpaceDE w:val="0"/>
        <w:autoSpaceDN w:val="0"/>
        <w:adjustRightInd w:val="0"/>
        <w:jc w:val="both"/>
        <w:rPr>
          <w:rFonts w:eastAsia="Calibri"/>
        </w:rPr>
      </w:pPr>
      <w:r w:rsidRPr="00E705B3">
        <w:rPr>
          <w:rFonts w:eastAsia="Calibri"/>
        </w:rPr>
        <w:t>Coordinating alternative primary education opportunities with education service delivery in the formal, public sector</w:t>
      </w:r>
      <w:r w:rsidR="00E705B3" w:rsidRPr="00E224BF">
        <w:rPr>
          <w:rFonts w:eastAsia="Calibri"/>
        </w:rPr>
        <w:t>.</w:t>
      </w:r>
    </w:p>
    <w:p w:rsidR="00BF16D7" w:rsidRPr="00BF16D7" w:rsidRDefault="00BF16D7" w:rsidP="00E224BF">
      <w:pPr>
        <w:pStyle w:val="ListParagraph"/>
        <w:numPr>
          <w:ilvl w:val="0"/>
          <w:numId w:val="26"/>
        </w:numPr>
        <w:autoSpaceDE w:val="0"/>
        <w:autoSpaceDN w:val="0"/>
        <w:adjustRightInd w:val="0"/>
        <w:jc w:val="both"/>
        <w:rPr>
          <w:rFonts w:eastAsia="Calibri"/>
        </w:rPr>
      </w:pPr>
      <w:r w:rsidRPr="00E705B3">
        <w:rPr>
          <w:rFonts w:eastAsia="Calibri"/>
        </w:rPr>
        <w:t xml:space="preserve"> </w:t>
      </w:r>
      <w:r w:rsidRPr="00BF16D7">
        <w:rPr>
          <w:rFonts w:eastAsia="Calibri"/>
        </w:rPr>
        <w:t>Any other activity as the Recipient and the Association may agree.</w:t>
      </w:r>
    </w:p>
    <w:p w:rsidR="00764444" w:rsidRDefault="00764444" w:rsidP="000D0729">
      <w:pPr>
        <w:autoSpaceDE w:val="0"/>
        <w:autoSpaceDN w:val="0"/>
        <w:adjustRightInd w:val="0"/>
        <w:ind w:left="360"/>
        <w:rPr>
          <w:rFonts w:eastAsia="Calibri"/>
          <w:u w:val="single"/>
        </w:rPr>
      </w:pPr>
    </w:p>
    <w:p w:rsidR="00BF16D7" w:rsidRPr="00BF16D7" w:rsidRDefault="00BC6AEA" w:rsidP="000D0729">
      <w:pPr>
        <w:autoSpaceDE w:val="0"/>
        <w:autoSpaceDN w:val="0"/>
        <w:adjustRightInd w:val="0"/>
        <w:jc w:val="both"/>
        <w:rPr>
          <w:rFonts w:eastAsia="Calibri"/>
          <w:u w:val="single"/>
        </w:rPr>
      </w:pPr>
      <w:r>
        <w:rPr>
          <w:rFonts w:eastAsia="Calibri"/>
          <w:u w:val="single"/>
        </w:rPr>
        <w:t xml:space="preserve">III. </w:t>
      </w:r>
      <w:r w:rsidR="00BF16D7" w:rsidRPr="00BF16D7">
        <w:rPr>
          <w:rFonts w:eastAsia="Calibri"/>
          <w:u w:val="single"/>
        </w:rPr>
        <w:t>Improving Program Planning and Management, and Strengthening Institutions</w:t>
      </w:r>
    </w:p>
    <w:p w:rsidR="00BF16D7" w:rsidRPr="00BF16D7" w:rsidRDefault="00BF16D7" w:rsidP="000D0729">
      <w:pPr>
        <w:autoSpaceDE w:val="0"/>
        <w:autoSpaceDN w:val="0"/>
        <w:adjustRightInd w:val="0"/>
        <w:rPr>
          <w:rFonts w:eastAsia="Calibri"/>
        </w:rPr>
      </w:pPr>
    </w:p>
    <w:p w:rsidR="00BF16D7" w:rsidRPr="00E705B3" w:rsidRDefault="00BF16D7" w:rsidP="000D0729">
      <w:pPr>
        <w:pStyle w:val="ListParagraph"/>
        <w:numPr>
          <w:ilvl w:val="0"/>
          <w:numId w:val="18"/>
        </w:numPr>
        <w:autoSpaceDE w:val="0"/>
        <w:autoSpaceDN w:val="0"/>
        <w:adjustRightInd w:val="0"/>
        <w:jc w:val="both"/>
        <w:rPr>
          <w:rFonts w:eastAsia="Calibri"/>
        </w:rPr>
      </w:pPr>
      <w:r w:rsidRPr="00E705B3">
        <w:rPr>
          <w:rFonts w:eastAsia="Calibri"/>
        </w:rPr>
        <w:t>Improvement of the efficiency and effectiveness of service delivery at central and decentralized levels through the provision of grants to schools based on their school-level improvement plans</w:t>
      </w:r>
      <w:r w:rsidR="00E705B3">
        <w:rPr>
          <w:rFonts w:eastAsia="Calibri"/>
          <w:lang w:val="en-US"/>
        </w:rPr>
        <w:t>.</w:t>
      </w:r>
    </w:p>
    <w:p w:rsidR="00BF16D7" w:rsidRPr="00BF16D7" w:rsidRDefault="00BF16D7" w:rsidP="000D0729">
      <w:pPr>
        <w:pStyle w:val="ListParagraph"/>
        <w:numPr>
          <w:ilvl w:val="0"/>
          <w:numId w:val="18"/>
        </w:numPr>
        <w:autoSpaceDE w:val="0"/>
        <w:autoSpaceDN w:val="0"/>
        <w:adjustRightInd w:val="0"/>
        <w:jc w:val="both"/>
        <w:rPr>
          <w:rFonts w:eastAsia="Calibri"/>
        </w:rPr>
      </w:pPr>
      <w:r w:rsidRPr="00BF16D7">
        <w:rPr>
          <w:rFonts w:eastAsia="Calibri"/>
        </w:rPr>
        <w:t>Enhancement of the primary education subsector budget preparation process by improving the linkage between the budgetary process and the medium-term primary education subsector strategy, and the consistency between annually approved primary education subsector budgets and the PEDPIII results framework and medium term budgetary framework</w:t>
      </w:r>
      <w:r w:rsidR="00E705B3">
        <w:rPr>
          <w:rFonts w:eastAsia="Calibri"/>
          <w:lang w:val="en-US"/>
        </w:rPr>
        <w:t>,</w:t>
      </w:r>
      <w:r w:rsidRPr="00BF16D7">
        <w:rPr>
          <w:rFonts w:eastAsia="Calibri"/>
        </w:rPr>
        <w:t xml:space="preserve"> and improvement of fiscal and budget management.</w:t>
      </w:r>
    </w:p>
    <w:p w:rsidR="009C6544" w:rsidRPr="00BF16D7" w:rsidRDefault="00BF16D7" w:rsidP="000D0729">
      <w:pPr>
        <w:pStyle w:val="ListParagraph"/>
        <w:numPr>
          <w:ilvl w:val="0"/>
          <w:numId w:val="18"/>
        </w:numPr>
        <w:autoSpaceDE w:val="0"/>
        <w:autoSpaceDN w:val="0"/>
        <w:adjustRightInd w:val="0"/>
        <w:jc w:val="both"/>
        <w:rPr>
          <w:rFonts w:eastAsia="Calibri"/>
        </w:rPr>
      </w:pPr>
      <w:r w:rsidRPr="00BF16D7">
        <w:rPr>
          <w:rFonts w:eastAsia="Calibri"/>
        </w:rPr>
        <w:t>Improvement of the timeliness, quality and coverage of the Recipient's Annual School Census</w:t>
      </w:r>
      <w:r w:rsidR="009C6544">
        <w:rPr>
          <w:rFonts w:eastAsia="Calibri"/>
          <w:lang w:val="en-US"/>
        </w:rPr>
        <w:t>.</w:t>
      </w:r>
      <w:r w:rsidRPr="00BF16D7">
        <w:rPr>
          <w:rFonts w:eastAsia="Calibri"/>
        </w:rPr>
        <w:t xml:space="preserve"> </w:t>
      </w:r>
    </w:p>
    <w:p w:rsidR="00BF16D7" w:rsidRPr="00BF16D7" w:rsidRDefault="00BF16D7" w:rsidP="009C6544">
      <w:pPr>
        <w:pStyle w:val="ListParagraph"/>
        <w:numPr>
          <w:ilvl w:val="0"/>
          <w:numId w:val="18"/>
        </w:numPr>
        <w:autoSpaceDE w:val="0"/>
        <w:autoSpaceDN w:val="0"/>
        <w:adjustRightInd w:val="0"/>
        <w:jc w:val="both"/>
        <w:rPr>
          <w:rFonts w:eastAsia="Calibri"/>
        </w:rPr>
      </w:pPr>
      <w:r w:rsidRPr="00BF16D7">
        <w:rPr>
          <w:rFonts w:eastAsia="Calibri"/>
        </w:rPr>
        <w:t xml:space="preserve">Development and implementation of a human resource management plan to, </w:t>
      </w:r>
      <w:r w:rsidRPr="00BF16D7">
        <w:rPr>
          <w:rFonts w:eastAsia="Calibri"/>
          <w:i/>
          <w:iCs/>
        </w:rPr>
        <w:t xml:space="preserve">inter alia, </w:t>
      </w:r>
      <w:r w:rsidRPr="00BF16D7">
        <w:rPr>
          <w:rFonts w:eastAsia="Calibri"/>
        </w:rPr>
        <w:t>strengthen the Directorate of Primary Education and improve delivery of teacher education programs.</w:t>
      </w:r>
    </w:p>
    <w:p w:rsidR="00BF16D7" w:rsidRPr="00BF16D7" w:rsidRDefault="00BF16D7" w:rsidP="000D0729">
      <w:pPr>
        <w:pStyle w:val="ListParagraph"/>
        <w:numPr>
          <w:ilvl w:val="0"/>
          <w:numId w:val="18"/>
        </w:numPr>
        <w:autoSpaceDE w:val="0"/>
        <w:autoSpaceDN w:val="0"/>
        <w:adjustRightInd w:val="0"/>
        <w:jc w:val="both"/>
        <w:rPr>
          <w:rFonts w:eastAsia="Calibri"/>
        </w:rPr>
      </w:pPr>
      <w:r w:rsidRPr="00BF16D7">
        <w:rPr>
          <w:rFonts w:eastAsia="Calibri"/>
        </w:rPr>
        <w:t>Carrying out of analyses and stakeholder consultations to clarify issues and potential actions to develop an integrated, comprehensive framework to include school standards for all categories of primary schools in the country.</w:t>
      </w:r>
    </w:p>
    <w:p w:rsidR="00BF16D7" w:rsidRPr="00BF16D7" w:rsidRDefault="00BF16D7" w:rsidP="000D0729">
      <w:pPr>
        <w:pStyle w:val="ListParagraph"/>
        <w:numPr>
          <w:ilvl w:val="0"/>
          <w:numId w:val="18"/>
        </w:numPr>
        <w:autoSpaceDE w:val="0"/>
        <w:autoSpaceDN w:val="0"/>
        <w:adjustRightInd w:val="0"/>
        <w:jc w:val="both"/>
        <w:rPr>
          <w:rFonts w:eastAsia="Calibri"/>
        </w:rPr>
      </w:pPr>
      <w:r w:rsidRPr="00BF16D7">
        <w:rPr>
          <w:rFonts w:eastAsia="Calibri"/>
        </w:rPr>
        <w:t>Any other activity as the Recipient and Association may agree.</w:t>
      </w:r>
    </w:p>
    <w:p w:rsidR="00341FEE" w:rsidRDefault="00341FEE" w:rsidP="000D0729">
      <w:pPr>
        <w:pStyle w:val="ListParagraph"/>
        <w:ind w:left="0"/>
        <w:jc w:val="both"/>
        <w:rPr>
          <w:sz w:val="22"/>
          <w:szCs w:val="22"/>
          <w:lang w:val="en-GB"/>
        </w:rPr>
      </w:pPr>
    </w:p>
    <w:bookmarkEnd w:id="17"/>
    <w:p w:rsidR="00A706FA" w:rsidRPr="00993D8E" w:rsidRDefault="00A706FA" w:rsidP="000D0729">
      <w:pPr>
        <w:numPr>
          <w:ilvl w:val="0"/>
          <w:numId w:val="6"/>
        </w:numPr>
        <w:tabs>
          <w:tab w:val="clear" w:pos="720"/>
          <w:tab w:val="num" w:pos="360"/>
        </w:tabs>
        <w:ind w:left="360"/>
      </w:pPr>
      <w:r w:rsidRPr="00993D8E">
        <w:t>Financing</w:t>
      </w:r>
    </w:p>
    <w:tbl>
      <w:tblPr>
        <w:tblW w:w="0" w:type="auto"/>
        <w:tblLook w:val="0000" w:firstRow="0" w:lastRow="0" w:firstColumn="0" w:lastColumn="0" w:noHBand="0" w:noVBand="0"/>
      </w:tblPr>
      <w:tblGrid>
        <w:gridCol w:w="7488"/>
        <w:gridCol w:w="1368"/>
      </w:tblGrid>
      <w:tr w:rsidR="00A706FA" w:rsidRPr="000D0729">
        <w:tc>
          <w:tcPr>
            <w:tcW w:w="7488" w:type="dxa"/>
          </w:tcPr>
          <w:p w:rsidR="00993D8E" w:rsidRPr="000D0729" w:rsidRDefault="00993D8E" w:rsidP="000D0729">
            <w:pPr>
              <w:rPr>
                <w:sz w:val="22"/>
              </w:rPr>
            </w:pPr>
          </w:p>
          <w:p w:rsidR="00A706FA" w:rsidRPr="000D0729" w:rsidRDefault="008B7F60" w:rsidP="000D0729">
            <w:pPr>
              <w:rPr>
                <w:sz w:val="22"/>
              </w:rPr>
            </w:pPr>
            <w:r w:rsidRPr="000D0729">
              <w:rPr>
                <w:sz w:val="22"/>
              </w:rPr>
              <w:t>S</w:t>
            </w:r>
            <w:r w:rsidR="00A706FA" w:rsidRPr="000D0729">
              <w:rPr>
                <w:sz w:val="22"/>
              </w:rPr>
              <w:t>ource:</w:t>
            </w:r>
            <w:bookmarkStart w:id="18" w:name="FINANCINGTAB_PID"/>
            <w:bookmarkEnd w:id="18"/>
          </w:p>
        </w:tc>
        <w:tc>
          <w:tcPr>
            <w:tcW w:w="1368" w:type="dxa"/>
          </w:tcPr>
          <w:p w:rsidR="00993D8E" w:rsidRPr="000D0729" w:rsidRDefault="00993D8E" w:rsidP="000D0729">
            <w:pPr>
              <w:tabs>
                <w:tab w:val="decimal" w:pos="252"/>
              </w:tabs>
              <w:jc w:val="center"/>
              <w:rPr>
                <w:sz w:val="22"/>
              </w:rPr>
            </w:pPr>
          </w:p>
          <w:p w:rsidR="00A706FA" w:rsidRPr="000D0729" w:rsidRDefault="00A706FA" w:rsidP="000D0729">
            <w:pPr>
              <w:tabs>
                <w:tab w:val="decimal" w:pos="252"/>
              </w:tabs>
              <w:jc w:val="center"/>
              <w:rPr>
                <w:sz w:val="22"/>
              </w:rPr>
            </w:pPr>
            <w:r w:rsidRPr="000D0729">
              <w:rPr>
                <w:sz w:val="22"/>
              </w:rPr>
              <w:t>($m.)</w:t>
            </w:r>
          </w:p>
        </w:tc>
      </w:tr>
      <w:tr w:rsidR="00C82A88" w:rsidRPr="000D0729">
        <w:tc>
          <w:tcPr>
            <w:tcW w:w="7488" w:type="dxa"/>
          </w:tcPr>
          <w:p w:rsidR="008B7F60" w:rsidRPr="000D0729" w:rsidRDefault="008B7F60" w:rsidP="000D0729">
            <w:pPr>
              <w:tabs>
                <w:tab w:val="right" w:pos="7200"/>
              </w:tabs>
              <w:rPr>
                <w:sz w:val="22"/>
              </w:rPr>
            </w:pPr>
          </w:p>
          <w:p w:rsidR="00C82A88" w:rsidRPr="000D0729" w:rsidRDefault="00C82A88" w:rsidP="000D0729">
            <w:pPr>
              <w:tabs>
                <w:tab w:val="right" w:pos="7200"/>
              </w:tabs>
              <w:rPr>
                <w:sz w:val="22"/>
              </w:rPr>
            </w:pPr>
            <w:r w:rsidRPr="000D0729">
              <w:rPr>
                <w:sz w:val="22"/>
              </w:rPr>
              <w:t>BORROWER/RECIPIENT</w:t>
            </w:r>
          </w:p>
        </w:tc>
        <w:tc>
          <w:tcPr>
            <w:tcW w:w="1368" w:type="dxa"/>
          </w:tcPr>
          <w:p w:rsidR="00993D8E" w:rsidRPr="000D0729" w:rsidRDefault="00993D8E" w:rsidP="000D0729">
            <w:pPr>
              <w:tabs>
                <w:tab w:val="decimal" w:pos="252"/>
              </w:tabs>
              <w:jc w:val="center"/>
              <w:rPr>
                <w:sz w:val="22"/>
              </w:rPr>
            </w:pPr>
          </w:p>
          <w:p w:rsidR="00C82A88" w:rsidRPr="000D0729" w:rsidRDefault="00BD43C8" w:rsidP="000D0729">
            <w:pPr>
              <w:tabs>
                <w:tab w:val="decimal" w:pos="252"/>
              </w:tabs>
              <w:jc w:val="center"/>
              <w:rPr>
                <w:sz w:val="22"/>
              </w:rPr>
            </w:pPr>
            <w:r w:rsidRPr="000D0729">
              <w:rPr>
                <w:sz w:val="22"/>
              </w:rPr>
              <w:t>4976</w:t>
            </w:r>
            <w:r w:rsidR="00BF16D7" w:rsidRPr="000D0729">
              <w:rPr>
                <w:sz w:val="22"/>
              </w:rPr>
              <w:t>.0</w:t>
            </w:r>
          </w:p>
        </w:tc>
      </w:tr>
      <w:tr w:rsidR="00C82A88" w:rsidRPr="000D0729">
        <w:tc>
          <w:tcPr>
            <w:tcW w:w="7488" w:type="dxa"/>
          </w:tcPr>
          <w:p w:rsidR="00C82A88" w:rsidRPr="000D0729" w:rsidRDefault="008B7F60" w:rsidP="000D0729">
            <w:pPr>
              <w:tabs>
                <w:tab w:val="right" w:pos="7200"/>
              </w:tabs>
              <w:rPr>
                <w:sz w:val="22"/>
              </w:rPr>
            </w:pPr>
            <w:r w:rsidRPr="000D0729">
              <w:rPr>
                <w:sz w:val="22"/>
              </w:rPr>
              <w:t>I</w:t>
            </w:r>
            <w:r w:rsidR="00C82A88" w:rsidRPr="000D0729">
              <w:rPr>
                <w:sz w:val="22"/>
              </w:rPr>
              <w:t>nternational Development Association (IDA)</w:t>
            </w:r>
          </w:p>
        </w:tc>
        <w:tc>
          <w:tcPr>
            <w:tcW w:w="1368" w:type="dxa"/>
          </w:tcPr>
          <w:p w:rsidR="00C82A88" w:rsidRPr="000D0729" w:rsidRDefault="00BF16D7" w:rsidP="000D0729">
            <w:pPr>
              <w:tabs>
                <w:tab w:val="decimal" w:pos="252"/>
              </w:tabs>
              <w:jc w:val="center"/>
              <w:rPr>
                <w:sz w:val="22"/>
              </w:rPr>
            </w:pPr>
            <w:r w:rsidRPr="000D0729">
              <w:rPr>
                <w:sz w:val="22"/>
              </w:rPr>
              <w:t>4</w:t>
            </w:r>
            <w:r w:rsidR="00C82A88" w:rsidRPr="000D0729">
              <w:rPr>
                <w:sz w:val="22"/>
              </w:rPr>
              <w:t>00</w:t>
            </w:r>
            <w:r w:rsidR="00993D8E" w:rsidRPr="000D0729">
              <w:rPr>
                <w:sz w:val="22"/>
              </w:rPr>
              <w:t>.0</w:t>
            </w:r>
          </w:p>
        </w:tc>
      </w:tr>
      <w:tr w:rsidR="00C82A88" w:rsidRPr="000D0729">
        <w:tc>
          <w:tcPr>
            <w:tcW w:w="7488" w:type="dxa"/>
          </w:tcPr>
          <w:p w:rsidR="00C82A88" w:rsidRPr="000D0729" w:rsidRDefault="00C82A88" w:rsidP="000D0729">
            <w:pPr>
              <w:tabs>
                <w:tab w:val="right" w:pos="7200"/>
              </w:tabs>
              <w:rPr>
                <w:sz w:val="22"/>
              </w:rPr>
            </w:pPr>
            <w:r w:rsidRPr="000D0729">
              <w:rPr>
                <w:sz w:val="22"/>
              </w:rPr>
              <w:t>Asian Development Bank</w:t>
            </w:r>
          </w:p>
        </w:tc>
        <w:tc>
          <w:tcPr>
            <w:tcW w:w="1368" w:type="dxa"/>
          </w:tcPr>
          <w:p w:rsidR="00C82A88" w:rsidRPr="000D0729" w:rsidRDefault="00BF16D7" w:rsidP="000D0729">
            <w:pPr>
              <w:tabs>
                <w:tab w:val="decimal" w:pos="252"/>
              </w:tabs>
              <w:jc w:val="center"/>
              <w:rPr>
                <w:sz w:val="22"/>
              </w:rPr>
            </w:pPr>
            <w:r w:rsidRPr="000D0729">
              <w:rPr>
                <w:sz w:val="22"/>
              </w:rPr>
              <w:t>120.</w:t>
            </w:r>
            <w:r w:rsidR="00993D8E" w:rsidRPr="000D0729">
              <w:rPr>
                <w:sz w:val="22"/>
              </w:rPr>
              <w:t>0</w:t>
            </w:r>
          </w:p>
        </w:tc>
      </w:tr>
      <w:tr w:rsidR="00C82A88" w:rsidRPr="000D0729">
        <w:tc>
          <w:tcPr>
            <w:tcW w:w="7488" w:type="dxa"/>
          </w:tcPr>
          <w:p w:rsidR="00BF16D7" w:rsidRPr="000D0729" w:rsidRDefault="00BF16D7" w:rsidP="000D0729">
            <w:pPr>
              <w:tabs>
                <w:tab w:val="right" w:pos="7200"/>
              </w:tabs>
              <w:rPr>
                <w:sz w:val="22"/>
              </w:rPr>
            </w:pPr>
            <w:r w:rsidRPr="000D0729">
              <w:rPr>
                <w:sz w:val="22"/>
              </w:rPr>
              <w:t>EU</w:t>
            </w:r>
          </w:p>
          <w:p w:rsidR="00C82A88" w:rsidRPr="000D0729" w:rsidRDefault="00BD43C8" w:rsidP="000D0729">
            <w:pPr>
              <w:tabs>
                <w:tab w:val="right" w:pos="7200"/>
              </w:tabs>
              <w:rPr>
                <w:sz w:val="22"/>
              </w:rPr>
            </w:pPr>
            <w:r w:rsidRPr="000D0729">
              <w:rPr>
                <w:sz w:val="22"/>
              </w:rPr>
              <w:t>GPE</w:t>
            </w:r>
          </w:p>
        </w:tc>
        <w:tc>
          <w:tcPr>
            <w:tcW w:w="1368" w:type="dxa"/>
          </w:tcPr>
          <w:p w:rsidR="00C82A88" w:rsidRPr="000D0729" w:rsidRDefault="00BF16D7" w:rsidP="000D0729">
            <w:pPr>
              <w:tabs>
                <w:tab w:val="decimal" w:pos="252"/>
              </w:tabs>
              <w:jc w:val="center"/>
              <w:rPr>
                <w:sz w:val="22"/>
              </w:rPr>
            </w:pPr>
            <w:r w:rsidRPr="000D0729">
              <w:rPr>
                <w:sz w:val="22"/>
              </w:rPr>
              <w:t>45.0</w:t>
            </w:r>
          </w:p>
          <w:p w:rsidR="00BF16D7" w:rsidRPr="000D0729" w:rsidRDefault="00BD43C8" w:rsidP="000D0729">
            <w:pPr>
              <w:tabs>
                <w:tab w:val="decimal" w:pos="252"/>
              </w:tabs>
              <w:jc w:val="center"/>
              <w:rPr>
                <w:sz w:val="22"/>
              </w:rPr>
            </w:pPr>
            <w:r w:rsidRPr="000D0729">
              <w:rPr>
                <w:sz w:val="22"/>
              </w:rPr>
              <w:t>100</w:t>
            </w:r>
          </w:p>
        </w:tc>
      </w:tr>
      <w:tr w:rsidR="00A706FA" w:rsidRPr="000D0729">
        <w:tc>
          <w:tcPr>
            <w:tcW w:w="7488" w:type="dxa"/>
          </w:tcPr>
          <w:p w:rsidR="00A706FA" w:rsidRPr="000D0729" w:rsidRDefault="00A706FA" w:rsidP="000D0729">
            <w:pPr>
              <w:tabs>
                <w:tab w:val="right" w:pos="7200"/>
              </w:tabs>
              <w:rPr>
                <w:sz w:val="22"/>
              </w:rPr>
            </w:pPr>
            <w:r w:rsidRPr="000D0729">
              <w:rPr>
                <w:sz w:val="22"/>
              </w:rPr>
              <w:t>Total</w:t>
            </w:r>
          </w:p>
        </w:tc>
        <w:tc>
          <w:tcPr>
            <w:tcW w:w="1368" w:type="dxa"/>
          </w:tcPr>
          <w:p w:rsidR="00993D8E" w:rsidRPr="000D0729" w:rsidRDefault="00BD43C8" w:rsidP="000D0729">
            <w:pPr>
              <w:tabs>
                <w:tab w:val="decimal" w:pos="252"/>
              </w:tabs>
              <w:jc w:val="center"/>
              <w:rPr>
                <w:sz w:val="22"/>
              </w:rPr>
            </w:pPr>
            <w:r w:rsidRPr="000D0729">
              <w:rPr>
                <w:sz w:val="22"/>
              </w:rPr>
              <w:t>5641.</w:t>
            </w:r>
            <w:r w:rsidR="00993D8E" w:rsidRPr="000D0729">
              <w:rPr>
                <w:sz w:val="22"/>
              </w:rPr>
              <w:t>0</w:t>
            </w:r>
          </w:p>
        </w:tc>
      </w:tr>
      <w:tr w:rsidR="00BD43C8" w:rsidRPr="000D0729">
        <w:tc>
          <w:tcPr>
            <w:tcW w:w="7488" w:type="dxa"/>
          </w:tcPr>
          <w:p w:rsidR="00BD43C8" w:rsidRPr="000D0729" w:rsidRDefault="00BD43C8" w:rsidP="000D0729">
            <w:pPr>
              <w:tabs>
                <w:tab w:val="right" w:pos="7200"/>
              </w:tabs>
              <w:rPr>
                <w:sz w:val="22"/>
              </w:rPr>
            </w:pPr>
          </w:p>
        </w:tc>
        <w:tc>
          <w:tcPr>
            <w:tcW w:w="1368" w:type="dxa"/>
          </w:tcPr>
          <w:p w:rsidR="00BD43C8" w:rsidRPr="000D0729" w:rsidRDefault="00BD43C8" w:rsidP="000D0729">
            <w:pPr>
              <w:tabs>
                <w:tab w:val="decimal" w:pos="252"/>
              </w:tabs>
              <w:jc w:val="center"/>
              <w:rPr>
                <w:sz w:val="22"/>
              </w:rPr>
            </w:pPr>
          </w:p>
        </w:tc>
      </w:tr>
    </w:tbl>
    <w:p w:rsidR="00A706FA" w:rsidRDefault="00A706FA" w:rsidP="000D0729">
      <w:pPr>
        <w:numPr>
          <w:ilvl w:val="0"/>
          <w:numId w:val="6"/>
        </w:numPr>
        <w:tabs>
          <w:tab w:val="clear" w:pos="720"/>
          <w:tab w:val="num" w:pos="360"/>
        </w:tabs>
        <w:ind w:left="360"/>
      </w:pPr>
      <w:r>
        <w:lastRenderedPageBreak/>
        <w:t>Implementation</w:t>
      </w:r>
      <w:bookmarkStart w:id="19" w:name="Implementation"/>
    </w:p>
    <w:p w:rsidR="00C82A88" w:rsidRPr="00605300" w:rsidRDefault="00C82A88" w:rsidP="000D0729">
      <w:pPr>
        <w:jc w:val="both"/>
      </w:pPr>
    </w:p>
    <w:p w:rsidR="00C82A88" w:rsidRPr="00605300" w:rsidRDefault="00C82A88" w:rsidP="000D0729">
      <w:pPr>
        <w:tabs>
          <w:tab w:val="num" w:pos="720"/>
        </w:tabs>
        <w:jc w:val="both"/>
      </w:pPr>
      <w:r w:rsidRPr="00605300">
        <w:t>Overall policy guidance, program oversight and coordination</w:t>
      </w:r>
      <w:r w:rsidR="009C6544">
        <w:t>, and resolution of critical inter-ministerial implementation issues</w:t>
      </w:r>
      <w:r w:rsidRPr="00605300">
        <w:t xml:space="preserve"> will be provided by an Inter-Ministerial Steering Committee chaired by the Secretary, MOPME, and comprising representatives of key ministries and agencies with a representative group of five development partners. </w:t>
      </w:r>
    </w:p>
    <w:p w:rsidR="00C82A88" w:rsidRPr="00605300" w:rsidRDefault="00C82A88" w:rsidP="000D0729">
      <w:pPr>
        <w:tabs>
          <w:tab w:val="num" w:pos="810"/>
        </w:tabs>
        <w:jc w:val="both"/>
      </w:pPr>
    </w:p>
    <w:p w:rsidR="00C82A88" w:rsidRDefault="00C82A88" w:rsidP="000D0729">
      <w:pPr>
        <w:tabs>
          <w:tab w:val="num" w:pos="720"/>
        </w:tabs>
        <w:jc w:val="both"/>
      </w:pPr>
      <w:r w:rsidRPr="00605300">
        <w:t xml:space="preserve">The Directorate of Primary Education (DPE) headed by a Director General will be responsible for day-to-day program implementation under the guidance of the Steering Committee.  DPE will be assisted by a Technical Committee, chaired and coordinated by the Director General, who would be assisted by an Additional Director General. The Technical Committee will comprise all DPE directors and representatives from all agencies involved </w:t>
      </w:r>
      <w:r w:rsidR="00354D52">
        <w:t>in the implementation of PEDP3</w:t>
      </w:r>
      <w:r w:rsidRPr="00605300">
        <w:t>.</w:t>
      </w:r>
      <w:r w:rsidRPr="00605300">
        <w:rPr>
          <w:rStyle w:val="FootnoteReference"/>
        </w:rPr>
        <w:footnoteReference w:id="5"/>
      </w:r>
      <w:r w:rsidRPr="00605300">
        <w:t xml:space="preserve">  </w:t>
      </w:r>
    </w:p>
    <w:p w:rsidR="0095747B" w:rsidRDefault="0095747B" w:rsidP="000D0729">
      <w:pPr>
        <w:tabs>
          <w:tab w:val="num" w:pos="720"/>
        </w:tabs>
        <w:jc w:val="both"/>
      </w:pPr>
    </w:p>
    <w:p w:rsidR="00C82A88" w:rsidRPr="00605300" w:rsidRDefault="00C82A88" w:rsidP="000D0729">
      <w:pPr>
        <w:tabs>
          <w:tab w:val="num" w:pos="720"/>
        </w:tabs>
        <w:jc w:val="both"/>
      </w:pPr>
      <w:r w:rsidRPr="00605300">
        <w:t>DPE line directors will be given responsibility for implementation of key area</w:t>
      </w:r>
      <w:r w:rsidR="00354D52">
        <w:t>s of PEDP3</w:t>
      </w:r>
      <w:r w:rsidRPr="00605300">
        <w:t xml:space="preserve">. The intention is to develop long-term capacity of the regular staff of DPE and strengthen the interface between the central level personnel and decentralized levels (Upazila, District and Division officers) as well as the outreach to teachers and head teachers at school level. </w:t>
      </w:r>
    </w:p>
    <w:p w:rsidR="00C82A88" w:rsidRPr="00605300" w:rsidRDefault="00C82A88" w:rsidP="000D0729">
      <w:pPr>
        <w:pStyle w:val="ListParagraph"/>
        <w:jc w:val="both"/>
      </w:pPr>
    </w:p>
    <w:p w:rsidR="00CF325B" w:rsidRDefault="00C82A88" w:rsidP="009C6544">
      <w:pPr>
        <w:tabs>
          <w:tab w:val="num" w:pos="720"/>
        </w:tabs>
        <w:jc w:val="both"/>
      </w:pPr>
      <w:r w:rsidRPr="00605300">
        <w:t>The financial management arrangements of the Program would be based on the country financial management systems for budget execution, accounting, internal controls, financial reporting and auditing (</w:t>
      </w:r>
      <w:r>
        <w:t xml:space="preserve">i.e. </w:t>
      </w:r>
      <w:r w:rsidRPr="00605300">
        <w:t xml:space="preserve">“treasury model”). </w:t>
      </w:r>
      <w:r w:rsidR="00CF325B">
        <w:t>C</w:t>
      </w:r>
      <w:r w:rsidRPr="00605300">
        <w:t>ontingent upon meeting a set of DLIs for each of the fiscal years – donor funds will be routed through sub-accounts of the Government’s Consolidated Fund. Thereafter, DPE would access funds according to the normal government budgeting process</w:t>
      </w:r>
      <w:r w:rsidR="009C6544">
        <w:t xml:space="preserve"> and monitor the process v</w:t>
      </w:r>
      <w:r w:rsidRPr="00605300">
        <w:t xml:space="preserve">ia the </w:t>
      </w:r>
      <w:r>
        <w:t>integrated budgeting and accounting system (</w:t>
      </w:r>
      <w:proofErr w:type="spellStart"/>
      <w:r w:rsidR="00354D52">
        <w:t>i</w:t>
      </w:r>
      <w:r w:rsidRPr="00605300">
        <w:t>BAS</w:t>
      </w:r>
      <w:proofErr w:type="spellEnd"/>
      <w:r w:rsidR="009C6544">
        <w:t>).</w:t>
      </w:r>
      <w:r w:rsidRPr="00605300">
        <w:t xml:space="preserve"> </w:t>
      </w:r>
    </w:p>
    <w:p w:rsidR="009C6544" w:rsidRPr="00605300" w:rsidRDefault="009C6544" w:rsidP="000D0729">
      <w:pPr>
        <w:tabs>
          <w:tab w:val="num" w:pos="720"/>
        </w:tabs>
        <w:jc w:val="both"/>
      </w:pPr>
    </w:p>
    <w:bookmarkEnd w:id="19"/>
    <w:p w:rsidR="00A706FA" w:rsidRDefault="00A706FA" w:rsidP="000D0729">
      <w:pPr>
        <w:numPr>
          <w:ilvl w:val="0"/>
          <w:numId w:val="6"/>
        </w:numPr>
        <w:tabs>
          <w:tab w:val="clear" w:pos="720"/>
          <w:tab w:val="num" w:pos="360"/>
        </w:tabs>
        <w:ind w:left="360"/>
      </w:pPr>
      <w:r>
        <w:t>Sustainability</w:t>
      </w:r>
      <w:bookmarkStart w:id="20" w:name="Sustainability"/>
    </w:p>
    <w:p w:rsidR="00827134" w:rsidRDefault="00827134" w:rsidP="000D0729">
      <w:pPr>
        <w:pStyle w:val="ListParagraph"/>
        <w:tabs>
          <w:tab w:val="left" w:pos="720"/>
        </w:tabs>
        <w:autoSpaceDE w:val="0"/>
        <w:autoSpaceDN w:val="0"/>
        <w:adjustRightInd w:val="0"/>
        <w:ind w:left="0"/>
        <w:jc w:val="both"/>
        <w:rPr>
          <w:rFonts w:eastAsia="Calibri"/>
          <w:color w:val="000000"/>
        </w:rPr>
      </w:pPr>
    </w:p>
    <w:p w:rsidR="00756869" w:rsidRPr="00605300" w:rsidRDefault="00764444" w:rsidP="00257343">
      <w:pPr>
        <w:pStyle w:val="ListParagraph"/>
        <w:tabs>
          <w:tab w:val="left" w:pos="720"/>
        </w:tabs>
        <w:autoSpaceDE w:val="0"/>
        <w:autoSpaceDN w:val="0"/>
        <w:adjustRightInd w:val="0"/>
        <w:ind w:left="0"/>
        <w:jc w:val="both"/>
        <w:rPr>
          <w:rFonts w:eastAsia="Calibri"/>
          <w:color w:val="000000"/>
        </w:rPr>
      </w:pPr>
      <w:r w:rsidRPr="00605300">
        <w:rPr>
          <w:rFonts w:eastAsia="Calibri"/>
          <w:color w:val="000000"/>
        </w:rPr>
        <w:t>Sustainability considerations are</w:t>
      </w:r>
      <w:r w:rsidR="00354D52">
        <w:rPr>
          <w:rFonts w:eastAsia="Calibri"/>
          <w:color w:val="000000"/>
        </w:rPr>
        <w:t xml:space="preserve"> built directly into the PEDP</w:t>
      </w:r>
      <w:r w:rsidR="00354D52">
        <w:rPr>
          <w:rFonts w:eastAsia="Calibri"/>
          <w:color w:val="000000"/>
          <w:lang w:val="en-US"/>
        </w:rPr>
        <w:t>3</w:t>
      </w:r>
      <w:r w:rsidRPr="00605300">
        <w:rPr>
          <w:rFonts w:eastAsia="Calibri"/>
          <w:color w:val="000000"/>
        </w:rPr>
        <w:t xml:space="preserve"> design through improvements in budgetary processes to refocus program implementation under a results-based management model. In addition, the country’s growth prospects make it possible to envisage an increasing allocation of resources to education. </w:t>
      </w:r>
      <w:r w:rsidR="00257343">
        <w:rPr>
          <w:rFonts w:eastAsia="Calibri"/>
          <w:color w:val="000000"/>
          <w:lang w:val="en-US"/>
        </w:rPr>
        <w:t>Moreover, the</w:t>
      </w:r>
      <w:r w:rsidR="00756869" w:rsidRPr="00605300">
        <w:rPr>
          <w:rFonts w:eastAsia="Calibri"/>
          <w:color w:val="000000"/>
        </w:rPr>
        <w:t xml:space="preserve"> political commitment to basic education</w:t>
      </w:r>
      <w:r w:rsidR="00257343">
        <w:rPr>
          <w:rFonts w:eastAsia="Calibri"/>
          <w:color w:val="000000"/>
          <w:lang w:val="en-US"/>
        </w:rPr>
        <w:t xml:space="preserve"> is</w:t>
      </w:r>
      <w:r w:rsidR="00C545D4">
        <w:rPr>
          <w:rFonts w:eastAsia="Calibri"/>
          <w:color w:val="000000"/>
          <w:lang w:val="en-US"/>
        </w:rPr>
        <w:t xml:space="preserve"> </w:t>
      </w:r>
      <w:r w:rsidR="00756869" w:rsidRPr="00605300">
        <w:rPr>
          <w:rFonts w:eastAsia="Calibri"/>
          <w:color w:val="000000"/>
        </w:rPr>
        <w:t xml:space="preserve">reaffirmed in the Government’s vision 2021, the Second National Strategy for Accelerated Poverty Reduction (FY2009-2011), and the National Education Policy (2010). </w:t>
      </w:r>
      <w:r w:rsidR="00C545D4">
        <w:rPr>
          <w:rFonts w:eastAsia="Calibri"/>
          <w:color w:val="000000"/>
          <w:lang w:val="en-US"/>
        </w:rPr>
        <w:t xml:space="preserve">The country </w:t>
      </w:r>
      <w:r w:rsidR="00257343">
        <w:rPr>
          <w:rFonts w:eastAsia="Calibri"/>
          <w:color w:val="000000"/>
          <w:lang w:val="en-US"/>
        </w:rPr>
        <w:t xml:space="preserve">also </w:t>
      </w:r>
      <w:r w:rsidR="00756869" w:rsidRPr="00605300">
        <w:rPr>
          <w:rFonts w:eastAsia="Calibri"/>
          <w:color w:val="000000"/>
        </w:rPr>
        <w:t>has a track record of meeting milestones for access and equity in basic education</w:t>
      </w:r>
      <w:r w:rsidR="00354D52">
        <w:rPr>
          <w:rFonts w:eastAsia="Calibri"/>
          <w:color w:val="000000"/>
          <w:lang w:val="en-US"/>
        </w:rPr>
        <w:t>.</w:t>
      </w:r>
      <w:r w:rsidR="00C545D4">
        <w:rPr>
          <w:rFonts w:eastAsia="Calibri"/>
          <w:color w:val="000000"/>
          <w:lang w:val="en-US"/>
        </w:rPr>
        <w:t xml:space="preserve"> </w:t>
      </w:r>
      <w:r w:rsidR="00257343">
        <w:rPr>
          <w:rFonts w:eastAsia="Calibri"/>
          <w:color w:val="000000"/>
          <w:lang w:val="en-US"/>
        </w:rPr>
        <w:t xml:space="preserve">Furthermore, the </w:t>
      </w:r>
      <w:r w:rsidR="00756869" w:rsidRPr="00605300">
        <w:rPr>
          <w:rFonts w:eastAsia="Calibri"/>
          <w:color w:val="000000"/>
        </w:rPr>
        <w:t>Government’s financial commitment to primary and mass education is nested in the country’s broader medium-term budgetary framework (MTBF)</w:t>
      </w:r>
      <w:r w:rsidR="00354D52">
        <w:rPr>
          <w:rFonts w:eastAsia="Calibri"/>
          <w:color w:val="000000"/>
          <w:lang w:val="en-US"/>
        </w:rPr>
        <w:t xml:space="preserve"> and is reaffirmed in the 7</w:t>
      </w:r>
      <w:r w:rsidR="00354D52" w:rsidRPr="00354D52">
        <w:rPr>
          <w:rFonts w:eastAsia="Calibri"/>
          <w:color w:val="000000"/>
          <w:vertAlign w:val="superscript"/>
          <w:lang w:val="en-US"/>
        </w:rPr>
        <w:t>th</w:t>
      </w:r>
      <w:r w:rsidR="00354D52">
        <w:rPr>
          <w:rFonts w:eastAsia="Calibri"/>
          <w:color w:val="000000"/>
          <w:lang w:val="en-US"/>
        </w:rPr>
        <w:t xml:space="preserve"> Five Year Plan (under preparation)</w:t>
      </w:r>
      <w:r w:rsidR="00756869" w:rsidRPr="00605300">
        <w:rPr>
          <w:rFonts w:eastAsia="Calibri"/>
          <w:color w:val="000000"/>
        </w:rPr>
        <w:t xml:space="preserve">. </w:t>
      </w:r>
    </w:p>
    <w:p w:rsidR="00A706FA" w:rsidRDefault="00A706FA" w:rsidP="000D0729"/>
    <w:bookmarkEnd w:id="20"/>
    <w:p w:rsidR="00A706FA" w:rsidRDefault="00A706FA" w:rsidP="000D0729">
      <w:pPr>
        <w:numPr>
          <w:ilvl w:val="0"/>
          <w:numId w:val="6"/>
        </w:numPr>
        <w:tabs>
          <w:tab w:val="clear" w:pos="720"/>
          <w:tab w:val="num" w:pos="360"/>
        </w:tabs>
        <w:ind w:left="360"/>
      </w:pPr>
      <w:r>
        <w:t>Lessons Learned from Past Operations in the Country/Sector</w:t>
      </w:r>
      <w:bookmarkStart w:id="21" w:name="LessonsLearned"/>
    </w:p>
    <w:p w:rsidR="00756869" w:rsidRDefault="00756869" w:rsidP="000D0729">
      <w:pPr>
        <w:pStyle w:val="ListParagraph"/>
        <w:ind w:left="0"/>
        <w:jc w:val="both"/>
      </w:pPr>
    </w:p>
    <w:p w:rsidR="00BD43C8" w:rsidRPr="007B22E8" w:rsidRDefault="00BD43C8" w:rsidP="000D0729">
      <w:pPr>
        <w:pStyle w:val="ListParagraph"/>
        <w:numPr>
          <w:ilvl w:val="0"/>
          <w:numId w:val="13"/>
        </w:numPr>
        <w:tabs>
          <w:tab w:val="left" w:pos="-450"/>
          <w:tab w:val="left" w:pos="720"/>
          <w:tab w:val="num" w:pos="1080"/>
          <w:tab w:val="num" w:pos="1440"/>
        </w:tabs>
        <w:spacing w:after="240"/>
        <w:jc w:val="both"/>
      </w:pPr>
      <w:r w:rsidRPr="007B22E8">
        <w:t>DLIs are effective mechanisms</w:t>
      </w:r>
    </w:p>
    <w:p w:rsidR="00BD43C8" w:rsidRPr="00953371" w:rsidRDefault="00BD43C8" w:rsidP="000D0729">
      <w:pPr>
        <w:pStyle w:val="ListParagraph"/>
        <w:tabs>
          <w:tab w:val="left" w:pos="-450"/>
          <w:tab w:val="left" w:pos="720"/>
        </w:tabs>
        <w:ind w:left="346" w:hanging="346"/>
        <w:jc w:val="both"/>
        <w:rPr>
          <w:sz w:val="18"/>
          <w:szCs w:val="18"/>
        </w:rPr>
      </w:pPr>
    </w:p>
    <w:p w:rsidR="00BD43C8" w:rsidRPr="00494BC1" w:rsidRDefault="00BD43C8" w:rsidP="007B22E8">
      <w:pPr>
        <w:pStyle w:val="ListParagraph"/>
        <w:tabs>
          <w:tab w:val="left" w:pos="-450"/>
          <w:tab w:val="left" w:pos="720"/>
        </w:tabs>
        <w:ind w:left="0"/>
        <w:jc w:val="both"/>
      </w:pPr>
      <w:r w:rsidRPr="00494BC1">
        <w:lastRenderedPageBreak/>
        <w:t>The project is the first to introduce a results framework on a national, sector-wide scale in Bangladesh.  The system is beginning to respond positively.</w:t>
      </w:r>
    </w:p>
    <w:p w:rsidR="00BD43C8" w:rsidRPr="00494BC1" w:rsidRDefault="00BD43C8" w:rsidP="000D0729">
      <w:pPr>
        <w:pStyle w:val="ListParagraph"/>
        <w:tabs>
          <w:tab w:val="left" w:pos="-450"/>
          <w:tab w:val="left" w:pos="720"/>
        </w:tabs>
        <w:ind w:left="346" w:hanging="346"/>
        <w:jc w:val="both"/>
        <w:rPr>
          <w:color w:val="000000"/>
        </w:rPr>
      </w:pPr>
    </w:p>
    <w:p w:rsidR="00BD43C8" w:rsidRPr="007B22E8" w:rsidRDefault="00BD43C8" w:rsidP="000D0729">
      <w:pPr>
        <w:pStyle w:val="ListParagraph"/>
        <w:numPr>
          <w:ilvl w:val="0"/>
          <w:numId w:val="13"/>
        </w:numPr>
        <w:tabs>
          <w:tab w:val="left" w:pos="-450"/>
          <w:tab w:val="left" w:pos="720"/>
          <w:tab w:val="num" w:pos="1080"/>
          <w:tab w:val="num" w:pos="1440"/>
        </w:tabs>
        <w:spacing w:after="240"/>
        <w:jc w:val="both"/>
      </w:pPr>
      <w:r w:rsidRPr="007B22E8">
        <w:t>Importance of phased approach to major sector development</w:t>
      </w:r>
    </w:p>
    <w:p w:rsidR="00BD43C8" w:rsidRPr="00953371" w:rsidRDefault="00BD43C8" w:rsidP="000D0729">
      <w:pPr>
        <w:pStyle w:val="ListParagraph"/>
        <w:tabs>
          <w:tab w:val="left" w:pos="-450"/>
          <w:tab w:val="left" w:pos="720"/>
        </w:tabs>
        <w:ind w:left="0"/>
        <w:jc w:val="both"/>
        <w:rPr>
          <w:sz w:val="18"/>
          <w:szCs w:val="18"/>
        </w:rPr>
      </w:pPr>
    </w:p>
    <w:p w:rsidR="007B22E8" w:rsidRPr="007B22E8" w:rsidRDefault="00BD43C8" w:rsidP="000D0729">
      <w:pPr>
        <w:pStyle w:val="ListParagraph"/>
        <w:numPr>
          <w:ilvl w:val="0"/>
          <w:numId w:val="23"/>
        </w:numPr>
        <w:tabs>
          <w:tab w:val="left" w:pos="-450"/>
          <w:tab w:val="left" w:pos="720"/>
        </w:tabs>
        <w:ind w:left="288" w:hanging="288"/>
        <w:jc w:val="both"/>
        <w:rPr>
          <w:color w:val="000000"/>
        </w:rPr>
      </w:pPr>
      <w:r w:rsidRPr="007B22E8">
        <w:rPr>
          <w:color w:val="000000"/>
        </w:rPr>
        <w:t xml:space="preserve">The MTR emphasized that </w:t>
      </w:r>
      <w:r w:rsidR="00B15380" w:rsidRPr="007B22E8">
        <w:rPr>
          <w:color w:val="000000"/>
          <w:lang w:val="en-US"/>
        </w:rPr>
        <w:t xml:space="preserve"> the quality reforms under the program are </w:t>
      </w:r>
      <w:r w:rsidRPr="007B22E8">
        <w:rPr>
          <w:color w:val="000000"/>
        </w:rPr>
        <w:t>ready for the next stage of expansion</w:t>
      </w:r>
      <w:r w:rsidR="00257343" w:rsidRPr="007B22E8">
        <w:rPr>
          <w:lang w:val="en-US"/>
        </w:rPr>
        <w:t xml:space="preserve">- </w:t>
      </w:r>
      <w:r w:rsidRPr="00494BC1">
        <w:t>a</w:t>
      </w:r>
      <w:r w:rsidR="00B15380" w:rsidRPr="007B22E8">
        <w:rPr>
          <w:lang w:val="en-US"/>
        </w:rPr>
        <w:t xml:space="preserve"> </w:t>
      </w:r>
      <w:r w:rsidRPr="00494BC1">
        <w:t>transformative shift in educational quality</w:t>
      </w:r>
      <w:r w:rsidR="00B15380" w:rsidRPr="007B22E8">
        <w:rPr>
          <w:lang w:val="en-US"/>
        </w:rPr>
        <w:t xml:space="preserve">. </w:t>
      </w:r>
      <w:r w:rsidR="00764444" w:rsidRPr="00494BC1" w:rsidDel="00B15380">
        <w:t xml:space="preserve"> </w:t>
      </w:r>
    </w:p>
    <w:p w:rsidR="007B22E8" w:rsidRPr="007B22E8" w:rsidRDefault="00BD43C8" w:rsidP="000D0729">
      <w:pPr>
        <w:pStyle w:val="ListParagraph"/>
        <w:numPr>
          <w:ilvl w:val="0"/>
          <w:numId w:val="23"/>
        </w:numPr>
        <w:tabs>
          <w:tab w:val="left" w:pos="-450"/>
          <w:tab w:val="left" w:pos="720"/>
        </w:tabs>
        <w:ind w:left="288" w:hanging="288"/>
        <w:jc w:val="both"/>
        <w:rPr>
          <w:color w:val="000000"/>
        </w:rPr>
      </w:pPr>
      <w:r w:rsidRPr="00494BC1">
        <w:t xml:space="preserve">The </w:t>
      </w:r>
      <w:r w:rsidR="00B15380" w:rsidRPr="007B22E8">
        <w:rPr>
          <w:lang w:val="en-US"/>
        </w:rPr>
        <w:t xml:space="preserve">Diploma in Education (DPEd), </w:t>
      </w:r>
      <w:r w:rsidRPr="00494BC1">
        <w:t>needs to be recognized as only one element of a broad and consistent teacher management framework</w:t>
      </w:r>
      <w:r w:rsidR="00257343" w:rsidRPr="007B22E8">
        <w:rPr>
          <w:lang w:val="en-US"/>
        </w:rPr>
        <w:t>;</w:t>
      </w:r>
      <w:r w:rsidR="0095747B" w:rsidRPr="007B22E8">
        <w:rPr>
          <w:lang w:val="en-US"/>
        </w:rPr>
        <w:t xml:space="preserve"> </w:t>
      </w:r>
      <w:r w:rsidRPr="00494BC1">
        <w:t xml:space="preserve"> </w:t>
      </w:r>
      <w:r w:rsidR="00764444" w:rsidRPr="007B22E8">
        <w:rPr>
          <w:lang w:val="en-US"/>
        </w:rPr>
        <w:t>teacher training</w:t>
      </w:r>
      <w:r w:rsidR="0095747B" w:rsidRPr="007B22E8">
        <w:rPr>
          <w:lang w:val="en-US"/>
        </w:rPr>
        <w:t xml:space="preserve">, continuous professional development and career path development need to be viewed as key elements for teacher motivation and performance. </w:t>
      </w:r>
    </w:p>
    <w:p w:rsidR="007B22E8" w:rsidRPr="007B22E8" w:rsidRDefault="00BD43C8" w:rsidP="000D0729">
      <w:pPr>
        <w:pStyle w:val="ListParagraph"/>
        <w:numPr>
          <w:ilvl w:val="0"/>
          <w:numId w:val="23"/>
        </w:numPr>
        <w:tabs>
          <w:tab w:val="left" w:pos="-450"/>
          <w:tab w:val="left" w:pos="720"/>
        </w:tabs>
        <w:ind w:left="288" w:hanging="288"/>
        <w:jc w:val="both"/>
      </w:pPr>
      <w:r w:rsidRPr="007B22E8">
        <w:rPr>
          <w:color w:val="000000"/>
        </w:rPr>
        <w:t>Nationalization of RNGPS opened the possibility for major systemic reform, but actual quality improvement requires that interventions of the original Credit continue and deepen across this expanded spectrum</w:t>
      </w:r>
      <w:r w:rsidR="0095747B" w:rsidRPr="007B22E8">
        <w:rPr>
          <w:color w:val="000000"/>
          <w:lang w:val="en-US"/>
        </w:rPr>
        <w:t xml:space="preserve"> with</w:t>
      </w:r>
      <w:r w:rsidRPr="007B22E8">
        <w:rPr>
          <w:color w:val="000000"/>
        </w:rPr>
        <w:t xml:space="preserve"> adequate development budget.</w:t>
      </w:r>
    </w:p>
    <w:p w:rsidR="00BD43C8" w:rsidRDefault="007B22E8" w:rsidP="000D0729">
      <w:pPr>
        <w:pStyle w:val="ListParagraph"/>
        <w:numPr>
          <w:ilvl w:val="0"/>
          <w:numId w:val="23"/>
        </w:numPr>
        <w:tabs>
          <w:tab w:val="left" w:pos="-450"/>
          <w:tab w:val="left" w:pos="720"/>
        </w:tabs>
        <w:ind w:left="288" w:hanging="288"/>
        <w:jc w:val="both"/>
      </w:pPr>
      <w:r>
        <w:rPr>
          <w:lang w:val="en-US"/>
        </w:rPr>
        <w:t>T</w:t>
      </w:r>
      <w:r w:rsidR="000D0729" w:rsidRPr="00494BC1">
        <w:t>he</w:t>
      </w:r>
      <w:r w:rsidR="00BD43C8" w:rsidRPr="00494BC1">
        <w:t xml:space="preserve"> various initiatives must be consistent in reinforcing a core set of messages about the quality agenda</w:t>
      </w:r>
      <w:r w:rsidR="003347B0" w:rsidRPr="007B22E8">
        <w:rPr>
          <w:lang w:val="en-US"/>
        </w:rPr>
        <w:t>.</w:t>
      </w:r>
      <w:r w:rsidR="00BD43C8" w:rsidRPr="00494BC1">
        <w:t xml:space="preserve"> </w:t>
      </w:r>
    </w:p>
    <w:p w:rsidR="00BD43C8" w:rsidRPr="00953371" w:rsidRDefault="00BD43C8" w:rsidP="000D0729">
      <w:pPr>
        <w:tabs>
          <w:tab w:val="left" w:pos="-450"/>
          <w:tab w:val="num" w:pos="450"/>
          <w:tab w:val="left" w:pos="720"/>
          <w:tab w:val="num" w:pos="1080"/>
          <w:tab w:val="num" w:pos="1440"/>
        </w:tabs>
        <w:jc w:val="both"/>
        <w:rPr>
          <w:color w:val="000000"/>
          <w:sz w:val="18"/>
          <w:szCs w:val="18"/>
        </w:rPr>
      </w:pPr>
    </w:p>
    <w:p w:rsidR="00BD43C8" w:rsidRPr="007B22E8" w:rsidRDefault="00BD43C8" w:rsidP="000D0729">
      <w:pPr>
        <w:pStyle w:val="ListParagraph"/>
        <w:numPr>
          <w:ilvl w:val="0"/>
          <w:numId w:val="13"/>
        </w:numPr>
        <w:tabs>
          <w:tab w:val="left" w:pos="-450"/>
          <w:tab w:val="left" w:pos="720"/>
          <w:tab w:val="num" w:pos="1080"/>
          <w:tab w:val="num" w:pos="1440"/>
        </w:tabs>
        <w:spacing w:after="240"/>
        <w:jc w:val="both"/>
      </w:pPr>
      <w:r w:rsidRPr="007B22E8">
        <w:t>Additional measures key to success</w:t>
      </w:r>
    </w:p>
    <w:p w:rsidR="007B22E8" w:rsidRPr="007B22E8" w:rsidRDefault="00BD43C8" w:rsidP="000D0729">
      <w:pPr>
        <w:pStyle w:val="ListParagraph"/>
        <w:numPr>
          <w:ilvl w:val="0"/>
          <w:numId w:val="24"/>
        </w:numPr>
        <w:tabs>
          <w:tab w:val="left" w:pos="-450"/>
          <w:tab w:val="num" w:pos="450"/>
          <w:tab w:val="left" w:pos="720"/>
          <w:tab w:val="num" w:pos="1080"/>
          <w:tab w:val="num" w:pos="1440"/>
        </w:tabs>
        <w:jc w:val="both"/>
      </w:pPr>
      <w:r w:rsidRPr="00494BC1">
        <w:t xml:space="preserve">The improvement of quality </w:t>
      </w:r>
      <w:r w:rsidR="0095747B">
        <w:t>depends on</w:t>
      </w:r>
      <w:r w:rsidRPr="00494BC1">
        <w:t xml:space="preserve"> adequate number of teacher-student contact hours in the classroom and incentives within the system to motivate teachers and education official</w:t>
      </w:r>
      <w:r>
        <w:t>s</w:t>
      </w:r>
      <w:r w:rsidRPr="00494BC1">
        <w:t xml:space="preserve"> for optimum performance.</w:t>
      </w:r>
    </w:p>
    <w:p w:rsidR="006D5C8A" w:rsidRDefault="00BD43C8" w:rsidP="000D0729">
      <w:pPr>
        <w:pStyle w:val="ListParagraph"/>
        <w:numPr>
          <w:ilvl w:val="0"/>
          <w:numId w:val="24"/>
        </w:numPr>
        <w:tabs>
          <w:tab w:val="left" w:pos="-450"/>
          <w:tab w:val="num" w:pos="450"/>
          <w:tab w:val="left" w:pos="720"/>
          <w:tab w:val="num" w:pos="1080"/>
          <w:tab w:val="num" w:pos="1440"/>
        </w:tabs>
        <w:jc w:val="both"/>
      </w:pPr>
      <w:r w:rsidRPr="00494BC1">
        <w:t>The process of decentralization – including Upazila Primary Education Plans</w:t>
      </w:r>
      <w:r w:rsidR="0095747B">
        <w:t xml:space="preserve"> (UPEPs)</w:t>
      </w:r>
      <w:r w:rsidRPr="00494BC1">
        <w:t>, School Level Improvement Plans</w:t>
      </w:r>
      <w:r w:rsidR="0095747B">
        <w:t xml:space="preserve"> (SLIPs)</w:t>
      </w:r>
      <w:r w:rsidRPr="00494BC1">
        <w:t xml:space="preserve"> – can play an important role in building community ownership and improving the quality of education.</w:t>
      </w:r>
    </w:p>
    <w:p w:rsidR="00BD43C8" w:rsidRPr="00953371" w:rsidRDefault="00BD43C8" w:rsidP="000D0729">
      <w:pPr>
        <w:tabs>
          <w:tab w:val="left" w:pos="-450"/>
          <w:tab w:val="num" w:pos="450"/>
          <w:tab w:val="left" w:pos="720"/>
          <w:tab w:val="num" w:pos="1080"/>
          <w:tab w:val="num" w:pos="1440"/>
        </w:tabs>
        <w:jc w:val="both"/>
        <w:rPr>
          <w:sz w:val="18"/>
          <w:szCs w:val="18"/>
        </w:rPr>
      </w:pPr>
    </w:p>
    <w:p w:rsidR="00BD43C8" w:rsidRPr="007B22E8" w:rsidRDefault="00BD43C8" w:rsidP="000D0729">
      <w:pPr>
        <w:pStyle w:val="ListParagraph"/>
        <w:numPr>
          <w:ilvl w:val="0"/>
          <w:numId w:val="13"/>
        </w:numPr>
        <w:tabs>
          <w:tab w:val="left" w:pos="-450"/>
          <w:tab w:val="left" w:pos="720"/>
          <w:tab w:val="num" w:pos="1080"/>
          <w:tab w:val="num" w:pos="1440"/>
        </w:tabs>
        <w:spacing w:after="240"/>
      </w:pPr>
      <w:r w:rsidRPr="007B22E8">
        <w:t>An effective communication strategy is essential</w:t>
      </w:r>
    </w:p>
    <w:p w:rsidR="00BD43C8" w:rsidRPr="00494BC1" w:rsidRDefault="0095747B" w:rsidP="007B22E8">
      <w:pPr>
        <w:tabs>
          <w:tab w:val="left" w:pos="-450"/>
          <w:tab w:val="num" w:pos="450"/>
          <w:tab w:val="left" w:pos="720"/>
          <w:tab w:val="num" w:pos="1080"/>
          <w:tab w:val="num" w:pos="1440"/>
        </w:tabs>
        <w:spacing w:after="240"/>
        <w:jc w:val="both"/>
      </w:pPr>
      <w:r>
        <w:t>The changes in</w:t>
      </w:r>
      <w:r w:rsidRPr="00494BC1">
        <w:t xml:space="preserve"> school effectiveness need</w:t>
      </w:r>
      <w:r w:rsidR="00BD43C8" w:rsidRPr="00494BC1">
        <w:t xml:space="preserve"> to be (better) understood by all stakeholders within and outside the education system.</w:t>
      </w:r>
    </w:p>
    <w:p w:rsidR="00BD43C8" w:rsidRPr="007B22E8" w:rsidRDefault="00BD43C8" w:rsidP="000D0729">
      <w:pPr>
        <w:pStyle w:val="ListParagraph"/>
        <w:numPr>
          <w:ilvl w:val="0"/>
          <w:numId w:val="13"/>
        </w:numPr>
        <w:tabs>
          <w:tab w:val="left" w:pos="-450"/>
          <w:tab w:val="left" w:pos="720"/>
          <w:tab w:val="num" w:pos="1080"/>
          <w:tab w:val="num" w:pos="1440"/>
        </w:tabs>
        <w:spacing w:after="240"/>
      </w:pPr>
      <w:r w:rsidRPr="007B22E8">
        <w:t>Investing in effective Monitoring and Evaluation</w:t>
      </w:r>
    </w:p>
    <w:p w:rsidR="007B22E8" w:rsidRPr="007B22E8" w:rsidRDefault="00FB112B" w:rsidP="000D0729">
      <w:pPr>
        <w:pStyle w:val="ListParagraph"/>
        <w:numPr>
          <w:ilvl w:val="0"/>
          <w:numId w:val="25"/>
        </w:numPr>
        <w:tabs>
          <w:tab w:val="left" w:pos="-450"/>
          <w:tab w:val="num" w:pos="450"/>
          <w:tab w:val="left" w:pos="720"/>
          <w:tab w:val="num" w:pos="1080"/>
          <w:tab w:val="num" w:pos="1440"/>
        </w:tabs>
        <w:ind w:left="288" w:hanging="288"/>
        <w:jc w:val="both"/>
      </w:pPr>
      <w:r>
        <w:rPr>
          <w:lang w:val="en-US"/>
        </w:rPr>
        <w:t>A m</w:t>
      </w:r>
      <w:r w:rsidR="00BD43C8" w:rsidRPr="00494BC1">
        <w:t>ore systematic and coordinated monitoring and evaluation of the ongoing initiatives</w:t>
      </w:r>
      <w:r w:rsidR="00257343">
        <w:t xml:space="preserve"> is required</w:t>
      </w:r>
      <w:r w:rsidR="00BD43C8" w:rsidRPr="00494BC1">
        <w:t>.</w:t>
      </w:r>
    </w:p>
    <w:p w:rsidR="00BD43C8" w:rsidRDefault="00BD43C8" w:rsidP="000D0729">
      <w:pPr>
        <w:pStyle w:val="ListParagraph"/>
        <w:numPr>
          <w:ilvl w:val="0"/>
          <w:numId w:val="25"/>
        </w:numPr>
        <w:tabs>
          <w:tab w:val="left" w:pos="-450"/>
          <w:tab w:val="num" w:pos="450"/>
          <w:tab w:val="left" w:pos="720"/>
          <w:tab w:val="num" w:pos="1080"/>
          <w:tab w:val="num" w:pos="1440"/>
        </w:tabs>
        <w:ind w:left="288" w:hanging="288"/>
        <w:jc w:val="both"/>
      </w:pPr>
      <w:r w:rsidRPr="00494BC1">
        <w:t xml:space="preserve">Knowledge sharing and joint work on technical aspects of the initiatives by the central agencies (including DPE, </w:t>
      </w:r>
      <w:r>
        <w:t>N</w:t>
      </w:r>
      <w:r w:rsidRPr="00494BC1">
        <w:t xml:space="preserve">APE, NCTB) </w:t>
      </w:r>
      <w:r>
        <w:t>are</w:t>
      </w:r>
      <w:r w:rsidRPr="00494BC1">
        <w:t xml:space="preserve"> essential to maximize the synergistic potential of these actions.</w:t>
      </w:r>
      <w:r>
        <w:t xml:space="preserve"> Similarly, regular and consistent school inspection is an important element of real time performance and results monitoring.</w:t>
      </w:r>
    </w:p>
    <w:p w:rsidR="006D5C8A" w:rsidRPr="007B22E8" w:rsidRDefault="006D5C8A" w:rsidP="000D0729">
      <w:pPr>
        <w:tabs>
          <w:tab w:val="left" w:pos="-450"/>
          <w:tab w:val="num" w:pos="450"/>
          <w:tab w:val="left" w:pos="720"/>
          <w:tab w:val="num" w:pos="1080"/>
          <w:tab w:val="num" w:pos="1440"/>
        </w:tabs>
        <w:ind w:left="288" w:hanging="288"/>
        <w:jc w:val="both"/>
      </w:pPr>
    </w:p>
    <w:p w:rsidR="00BD43C8" w:rsidRPr="007B22E8" w:rsidRDefault="00BD43C8" w:rsidP="000D0729">
      <w:pPr>
        <w:pStyle w:val="ListParagraph"/>
        <w:numPr>
          <w:ilvl w:val="0"/>
          <w:numId w:val="13"/>
        </w:numPr>
        <w:tabs>
          <w:tab w:val="left" w:pos="-450"/>
          <w:tab w:val="left" w:pos="720"/>
        </w:tabs>
        <w:spacing w:after="240"/>
      </w:pPr>
      <w:r w:rsidRPr="007B22E8">
        <w:t>Capacity building is a key element to success</w:t>
      </w:r>
    </w:p>
    <w:p w:rsidR="007B22E8" w:rsidRPr="00FB112B" w:rsidRDefault="0095747B" w:rsidP="00FB112B">
      <w:pPr>
        <w:pStyle w:val="ListParagraph"/>
        <w:numPr>
          <w:ilvl w:val="0"/>
          <w:numId w:val="25"/>
        </w:numPr>
        <w:tabs>
          <w:tab w:val="left" w:pos="-450"/>
          <w:tab w:val="num" w:pos="450"/>
          <w:tab w:val="left" w:pos="720"/>
          <w:tab w:val="num" w:pos="1080"/>
          <w:tab w:val="num" w:pos="1440"/>
        </w:tabs>
        <w:ind w:left="288" w:hanging="288"/>
        <w:jc w:val="both"/>
      </w:pPr>
      <w:r w:rsidRPr="00FB112B">
        <w:t>B</w:t>
      </w:r>
      <w:r w:rsidR="00BD43C8" w:rsidRPr="00FB112B">
        <w:t>uild</w:t>
      </w:r>
      <w:r w:rsidRPr="00FB112B">
        <w:t>ing</w:t>
      </w:r>
      <w:r w:rsidR="00BD43C8" w:rsidRPr="00FB112B">
        <w:t xml:space="preserve"> and retai</w:t>
      </w:r>
      <w:r w:rsidRPr="00FB112B">
        <w:t>ning</w:t>
      </w:r>
      <w:r w:rsidR="00BD43C8" w:rsidRPr="00FB112B">
        <w:t xml:space="preserve"> the required technical capacity in key institutions,</w:t>
      </w:r>
      <w:r w:rsidRPr="00FB112B">
        <w:t xml:space="preserve"> and </w:t>
      </w:r>
      <w:r w:rsidR="00BD43C8" w:rsidRPr="00FB112B">
        <w:t xml:space="preserve">ensuring the technical capacity of key actors at lower levels of the system </w:t>
      </w:r>
      <w:r w:rsidRPr="00FB112B">
        <w:t>are</w:t>
      </w:r>
      <w:r w:rsidR="00BD43C8" w:rsidRPr="00FB112B">
        <w:t xml:space="preserve"> of critical importance.</w:t>
      </w:r>
    </w:p>
    <w:p w:rsidR="007B22E8" w:rsidRPr="007B22E8" w:rsidRDefault="00BD43C8" w:rsidP="00FB112B">
      <w:pPr>
        <w:pStyle w:val="ListParagraph"/>
        <w:numPr>
          <w:ilvl w:val="0"/>
          <w:numId w:val="25"/>
        </w:numPr>
        <w:tabs>
          <w:tab w:val="left" w:pos="-450"/>
          <w:tab w:val="num" w:pos="450"/>
          <w:tab w:val="left" w:pos="720"/>
          <w:tab w:val="num" w:pos="1080"/>
          <w:tab w:val="num" w:pos="1440"/>
        </w:tabs>
        <w:ind w:left="288" w:hanging="288"/>
        <w:jc w:val="both"/>
      </w:pPr>
      <w:r w:rsidRPr="00494BC1">
        <w:t xml:space="preserve">Fostering </w:t>
      </w:r>
      <w:r w:rsidRPr="00FB112B">
        <w:t>stronger institutional linkages within government requires stronger linkages and attention to clarifying roles in cases where some responsibilities overlap.</w:t>
      </w:r>
    </w:p>
    <w:p w:rsidR="000909E9" w:rsidRDefault="00BD43C8" w:rsidP="00FB112B">
      <w:pPr>
        <w:pStyle w:val="ListParagraph"/>
        <w:numPr>
          <w:ilvl w:val="0"/>
          <w:numId w:val="25"/>
        </w:numPr>
        <w:tabs>
          <w:tab w:val="left" w:pos="-450"/>
          <w:tab w:val="num" w:pos="450"/>
          <w:tab w:val="left" w:pos="720"/>
          <w:tab w:val="num" w:pos="1080"/>
          <w:tab w:val="num" w:pos="1440"/>
        </w:tabs>
        <w:ind w:left="288" w:hanging="288"/>
        <w:jc w:val="both"/>
      </w:pPr>
      <w:r w:rsidRPr="00494BC1">
        <w:t xml:space="preserve">The system needs more effective human </w:t>
      </w:r>
      <w:r>
        <w:t xml:space="preserve">(and financial) </w:t>
      </w:r>
      <w:r w:rsidRPr="00494BC1">
        <w:t>resource capacity</w:t>
      </w:r>
      <w:r>
        <w:t xml:space="preserve"> </w:t>
      </w:r>
      <w:r w:rsidRPr="00494BC1">
        <w:t xml:space="preserve">for tailoring education to differing circumstances. </w:t>
      </w:r>
    </w:p>
    <w:p w:rsidR="00A33B57" w:rsidRPr="000909E9" w:rsidRDefault="00A33B57" w:rsidP="000D0729">
      <w:pPr>
        <w:ind w:left="360" w:hanging="360"/>
        <w:jc w:val="both"/>
      </w:pPr>
    </w:p>
    <w:p w:rsidR="000909E9" w:rsidRPr="007B22E8" w:rsidRDefault="000909E9" w:rsidP="000D0729">
      <w:pPr>
        <w:pStyle w:val="ListParagraph"/>
        <w:numPr>
          <w:ilvl w:val="0"/>
          <w:numId w:val="13"/>
        </w:numPr>
        <w:tabs>
          <w:tab w:val="left" w:pos="-450"/>
          <w:tab w:val="left" w:pos="720"/>
          <w:tab w:val="num" w:pos="1080"/>
          <w:tab w:val="num" w:pos="1440"/>
        </w:tabs>
        <w:spacing w:after="240"/>
      </w:pPr>
      <w:r w:rsidRPr="007B22E8">
        <w:t>Donor harmonization is essential</w:t>
      </w:r>
    </w:p>
    <w:p w:rsidR="00A706FA" w:rsidRPr="00FB112B" w:rsidRDefault="000909E9" w:rsidP="00FB112B">
      <w:pPr>
        <w:pStyle w:val="ListParagraph"/>
        <w:numPr>
          <w:ilvl w:val="0"/>
          <w:numId w:val="25"/>
        </w:numPr>
        <w:tabs>
          <w:tab w:val="left" w:pos="-450"/>
          <w:tab w:val="num" w:pos="450"/>
          <w:tab w:val="left" w:pos="720"/>
          <w:tab w:val="num" w:pos="1080"/>
          <w:tab w:val="num" w:pos="1440"/>
        </w:tabs>
        <w:ind w:left="288" w:hanging="288"/>
        <w:jc w:val="both"/>
      </w:pPr>
      <w:r>
        <w:lastRenderedPageBreak/>
        <w:t>Effective donor harmonization and coordination can leverage significant resources for the program, over and above the contributions of any single agency</w:t>
      </w:r>
      <w:r w:rsidR="0095747B">
        <w:t xml:space="preserve"> and</w:t>
      </w:r>
      <w:r>
        <w:t xml:space="preserve"> support a robust and effective policy dialogue</w:t>
      </w:r>
      <w:r w:rsidR="0095747B">
        <w:t>.</w:t>
      </w:r>
      <w:r>
        <w:t xml:space="preserve"> </w:t>
      </w:r>
    </w:p>
    <w:p w:rsidR="00FB112B" w:rsidRDefault="00FB112B" w:rsidP="00FB112B">
      <w:pPr>
        <w:tabs>
          <w:tab w:val="left" w:pos="-450"/>
          <w:tab w:val="num" w:pos="450"/>
          <w:tab w:val="left" w:pos="720"/>
          <w:tab w:val="num" w:pos="1080"/>
          <w:tab w:val="num" w:pos="1440"/>
        </w:tabs>
        <w:jc w:val="both"/>
      </w:pPr>
    </w:p>
    <w:bookmarkEnd w:id="21"/>
    <w:p w:rsidR="00A706FA" w:rsidRDefault="00A706FA" w:rsidP="000D0729">
      <w:pPr>
        <w:numPr>
          <w:ilvl w:val="0"/>
          <w:numId w:val="6"/>
        </w:numPr>
        <w:tabs>
          <w:tab w:val="clear" w:pos="720"/>
          <w:tab w:val="num" w:pos="360"/>
        </w:tabs>
        <w:ind w:left="360"/>
      </w:pPr>
      <w:r>
        <w:t>Safeguard Policies (including public consultation)</w:t>
      </w:r>
      <w:bookmarkStart w:id="22" w:name="SafeguardPolicies"/>
    </w:p>
    <w:p w:rsidR="001F6B31" w:rsidRDefault="001F6B31" w:rsidP="000D0729"/>
    <w:p w:rsidR="00444EC5" w:rsidRDefault="00BD43C8" w:rsidP="000D0729">
      <w:pPr>
        <w:autoSpaceDE w:val="0"/>
        <w:autoSpaceDN w:val="0"/>
        <w:adjustRightInd w:val="0"/>
        <w:jc w:val="both"/>
      </w:pPr>
      <w:r w:rsidRPr="002A39CA">
        <w:t>Since</w:t>
      </w:r>
      <w:r>
        <w:t xml:space="preserve"> there </w:t>
      </w:r>
      <w:r w:rsidRPr="002A39CA">
        <w:rPr>
          <w:color w:val="000000"/>
        </w:rPr>
        <w:t>will not be new safeguards issues raised, existing legal covenants and the initial project’s ENV category of “B” would continue to apply under the proposed AF.</w:t>
      </w:r>
      <w:r w:rsidRPr="002A39CA">
        <w:t xml:space="preserve"> The Environmental Management Framework (EMF) and the Social Management Framework (SMF) have been</w:t>
      </w:r>
      <w:r w:rsidR="006D5C8A">
        <w:t xml:space="preserve"> reviewed and agreed in DPE-DP consultative workshops and</w:t>
      </w:r>
      <w:r w:rsidRPr="002A39CA">
        <w:t xml:space="preserve"> updated to capture lessons learned from implementation to date and </w:t>
      </w:r>
      <w:r>
        <w:t xml:space="preserve">have been </w:t>
      </w:r>
      <w:r w:rsidRPr="002A39CA">
        <w:t xml:space="preserve">publicly disclosed </w:t>
      </w:r>
      <w:r>
        <w:t>on the DPE</w:t>
      </w:r>
      <w:r w:rsidR="00FB112B">
        <w:t xml:space="preserve">, </w:t>
      </w:r>
      <w:proofErr w:type="spellStart"/>
      <w:r w:rsidR="00FB112B">
        <w:t>MoPME</w:t>
      </w:r>
      <w:proofErr w:type="spellEnd"/>
      <w:r>
        <w:t xml:space="preserve"> and World Bank websites (on September 9 and September 11, 2014, respectively). </w:t>
      </w:r>
      <w:r w:rsidRPr="002A39CA">
        <w:t>The</w:t>
      </w:r>
      <w:r w:rsidR="006D5C8A">
        <w:t>se</w:t>
      </w:r>
      <w:r w:rsidRPr="002A39CA">
        <w:t xml:space="preserve"> will also be applicable for the Newly Nationalized Primary Schools (NNPS; formerly RNGPS).</w:t>
      </w:r>
    </w:p>
    <w:p w:rsidR="00A33B57" w:rsidRDefault="00A33B57" w:rsidP="000D072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880"/>
      </w:tblGrid>
      <w:tr w:rsidR="00756869" w:rsidRPr="006D5C8A" w:rsidTr="00756869">
        <w:trPr>
          <w:cantSplit/>
        </w:trPr>
        <w:tc>
          <w:tcPr>
            <w:tcW w:w="6588" w:type="dxa"/>
            <w:tcBorders>
              <w:top w:val="thinThickThinSmallGap" w:sz="24" w:space="0" w:color="auto"/>
              <w:bottom w:val="thinThickThinSmallGap" w:sz="24" w:space="0" w:color="auto"/>
            </w:tcBorders>
          </w:tcPr>
          <w:p w:rsidR="00756869" w:rsidRPr="006D5C8A" w:rsidRDefault="00756869" w:rsidP="000D0729">
            <w:pPr>
              <w:autoSpaceDE w:val="0"/>
              <w:autoSpaceDN w:val="0"/>
              <w:adjustRightInd w:val="0"/>
              <w:rPr>
                <w:rFonts w:eastAsia="Calibri"/>
                <w:b/>
                <w:sz w:val="22"/>
              </w:rPr>
            </w:pPr>
            <w:r w:rsidRPr="006D5C8A">
              <w:rPr>
                <w:rFonts w:eastAsia="Calibri"/>
                <w:b/>
                <w:sz w:val="22"/>
                <w:szCs w:val="22"/>
              </w:rPr>
              <w:t>Safeguard policies triggered?</w:t>
            </w:r>
          </w:p>
          <w:p w:rsidR="00756869" w:rsidRPr="006D5C8A" w:rsidRDefault="00756869" w:rsidP="000D0729">
            <w:pPr>
              <w:autoSpaceDE w:val="0"/>
              <w:autoSpaceDN w:val="0"/>
              <w:adjustRightInd w:val="0"/>
              <w:rPr>
                <w:rFonts w:eastAsia="Calibri"/>
                <w:sz w:val="22"/>
              </w:rPr>
            </w:pPr>
          </w:p>
          <w:p w:rsidR="00756869" w:rsidRPr="006D5C8A" w:rsidRDefault="00756869" w:rsidP="000D0729">
            <w:pPr>
              <w:autoSpaceDE w:val="0"/>
              <w:autoSpaceDN w:val="0"/>
              <w:adjustRightInd w:val="0"/>
              <w:rPr>
                <w:rFonts w:eastAsia="Calibri"/>
                <w:sz w:val="22"/>
              </w:rPr>
            </w:pPr>
            <w:r w:rsidRPr="006D5C8A">
              <w:rPr>
                <w:rFonts w:eastAsia="Calibri"/>
                <w:sz w:val="22"/>
                <w:szCs w:val="22"/>
              </w:rPr>
              <w:t xml:space="preserve">Environmental Assessment (OP/BP 4.01) </w:t>
            </w:r>
          </w:p>
          <w:p w:rsidR="00756869" w:rsidRPr="006D5C8A" w:rsidRDefault="00756869" w:rsidP="000D0729">
            <w:pPr>
              <w:autoSpaceDE w:val="0"/>
              <w:autoSpaceDN w:val="0"/>
              <w:adjustRightInd w:val="0"/>
              <w:rPr>
                <w:rFonts w:eastAsia="Calibri"/>
                <w:sz w:val="22"/>
              </w:rPr>
            </w:pPr>
            <w:r w:rsidRPr="006D5C8A">
              <w:rPr>
                <w:rFonts w:eastAsia="Calibri"/>
                <w:sz w:val="22"/>
                <w:szCs w:val="22"/>
              </w:rPr>
              <w:t xml:space="preserve">Natural Habitats (OP/BP 4.04) </w:t>
            </w:r>
          </w:p>
          <w:p w:rsidR="00756869" w:rsidRPr="006D5C8A" w:rsidRDefault="00756869" w:rsidP="000D0729">
            <w:pPr>
              <w:autoSpaceDE w:val="0"/>
              <w:autoSpaceDN w:val="0"/>
              <w:adjustRightInd w:val="0"/>
              <w:rPr>
                <w:rFonts w:eastAsia="Calibri"/>
                <w:sz w:val="22"/>
              </w:rPr>
            </w:pPr>
            <w:r w:rsidRPr="006D5C8A">
              <w:rPr>
                <w:rFonts w:eastAsia="Calibri"/>
                <w:sz w:val="22"/>
                <w:szCs w:val="22"/>
              </w:rPr>
              <w:t xml:space="preserve">Forests (OP/BP 4.36) </w:t>
            </w:r>
          </w:p>
          <w:p w:rsidR="00756869" w:rsidRPr="006D5C8A" w:rsidRDefault="00756869" w:rsidP="000D0729">
            <w:pPr>
              <w:autoSpaceDE w:val="0"/>
              <w:autoSpaceDN w:val="0"/>
              <w:adjustRightInd w:val="0"/>
              <w:rPr>
                <w:rFonts w:eastAsia="Calibri"/>
                <w:sz w:val="22"/>
              </w:rPr>
            </w:pPr>
            <w:r w:rsidRPr="006D5C8A">
              <w:rPr>
                <w:rFonts w:eastAsia="Calibri"/>
                <w:sz w:val="22"/>
                <w:szCs w:val="22"/>
              </w:rPr>
              <w:t xml:space="preserve">Pest Management (OP 4.09) </w:t>
            </w:r>
          </w:p>
          <w:p w:rsidR="00756869" w:rsidRPr="006D5C8A" w:rsidRDefault="00756869" w:rsidP="000D0729">
            <w:pPr>
              <w:autoSpaceDE w:val="0"/>
              <w:autoSpaceDN w:val="0"/>
              <w:adjustRightInd w:val="0"/>
              <w:rPr>
                <w:rFonts w:eastAsia="Calibri"/>
                <w:sz w:val="22"/>
              </w:rPr>
            </w:pPr>
            <w:r w:rsidRPr="006D5C8A">
              <w:rPr>
                <w:rFonts w:eastAsia="Calibri"/>
                <w:sz w:val="22"/>
                <w:szCs w:val="22"/>
              </w:rPr>
              <w:t xml:space="preserve">Physical Cultural Resources (OP/BP 4.11) </w:t>
            </w:r>
          </w:p>
          <w:p w:rsidR="00756869" w:rsidRPr="006D5C8A" w:rsidRDefault="00756869" w:rsidP="000D0729">
            <w:pPr>
              <w:autoSpaceDE w:val="0"/>
              <w:autoSpaceDN w:val="0"/>
              <w:adjustRightInd w:val="0"/>
              <w:rPr>
                <w:rFonts w:eastAsia="Calibri"/>
                <w:sz w:val="22"/>
              </w:rPr>
            </w:pPr>
            <w:r w:rsidRPr="006D5C8A">
              <w:rPr>
                <w:rFonts w:eastAsia="Calibri"/>
                <w:sz w:val="22"/>
                <w:szCs w:val="22"/>
              </w:rPr>
              <w:t xml:space="preserve">Indigenous Peoples (OP/BP 4.10) </w:t>
            </w:r>
          </w:p>
          <w:p w:rsidR="00756869" w:rsidRPr="006D5C8A" w:rsidRDefault="00756869" w:rsidP="000D0729">
            <w:pPr>
              <w:autoSpaceDE w:val="0"/>
              <w:autoSpaceDN w:val="0"/>
              <w:adjustRightInd w:val="0"/>
              <w:rPr>
                <w:rFonts w:eastAsia="Calibri"/>
                <w:sz w:val="22"/>
              </w:rPr>
            </w:pPr>
            <w:r w:rsidRPr="006D5C8A">
              <w:rPr>
                <w:rFonts w:eastAsia="Calibri"/>
                <w:sz w:val="22"/>
                <w:szCs w:val="22"/>
              </w:rPr>
              <w:t>Involuntary Resettlement (OP/BP 4.12)</w:t>
            </w:r>
          </w:p>
          <w:p w:rsidR="00756869" w:rsidRPr="006D5C8A" w:rsidRDefault="00756869" w:rsidP="000D0729">
            <w:pPr>
              <w:autoSpaceDE w:val="0"/>
              <w:autoSpaceDN w:val="0"/>
              <w:adjustRightInd w:val="0"/>
              <w:rPr>
                <w:rFonts w:eastAsia="Calibri"/>
                <w:sz w:val="22"/>
              </w:rPr>
            </w:pPr>
            <w:r w:rsidRPr="006D5C8A">
              <w:rPr>
                <w:rFonts w:eastAsia="Calibri"/>
                <w:sz w:val="22"/>
                <w:szCs w:val="22"/>
              </w:rPr>
              <w:t>Safety of Dams (OP/BP 4.37)</w:t>
            </w:r>
          </w:p>
          <w:p w:rsidR="00756869" w:rsidRPr="006D5C8A" w:rsidRDefault="00756869" w:rsidP="000D0729">
            <w:pPr>
              <w:autoSpaceDE w:val="0"/>
              <w:autoSpaceDN w:val="0"/>
              <w:adjustRightInd w:val="0"/>
              <w:rPr>
                <w:rFonts w:eastAsia="Calibri"/>
                <w:sz w:val="22"/>
              </w:rPr>
            </w:pPr>
            <w:r w:rsidRPr="006D5C8A">
              <w:rPr>
                <w:rFonts w:eastAsia="Calibri"/>
                <w:sz w:val="22"/>
                <w:szCs w:val="22"/>
              </w:rPr>
              <w:t xml:space="preserve">Projects on International Waters (OP/BP 7.50) </w:t>
            </w:r>
          </w:p>
          <w:p w:rsidR="00756869" w:rsidRPr="006D5C8A" w:rsidRDefault="00756869" w:rsidP="000D0729">
            <w:pPr>
              <w:rPr>
                <w:rFonts w:eastAsia="Calibri"/>
                <w:sz w:val="22"/>
              </w:rPr>
            </w:pPr>
            <w:r w:rsidRPr="006D5C8A">
              <w:rPr>
                <w:rFonts w:eastAsia="Calibri"/>
                <w:sz w:val="22"/>
                <w:szCs w:val="22"/>
              </w:rPr>
              <w:t>Projects in Disputed Areas (OP/BP 7.60)</w:t>
            </w:r>
          </w:p>
          <w:p w:rsidR="00756869" w:rsidRPr="006D5C8A" w:rsidRDefault="00756869" w:rsidP="000D0729">
            <w:pPr>
              <w:rPr>
                <w:color w:val="000000"/>
                <w:sz w:val="22"/>
              </w:rPr>
            </w:pPr>
          </w:p>
        </w:tc>
        <w:tc>
          <w:tcPr>
            <w:tcW w:w="2880" w:type="dxa"/>
            <w:tcBorders>
              <w:top w:val="thinThickThinSmallGap" w:sz="24" w:space="0" w:color="auto"/>
              <w:bottom w:val="thinThickThinSmallGap" w:sz="24" w:space="0" w:color="auto"/>
            </w:tcBorders>
          </w:tcPr>
          <w:p w:rsidR="00756869" w:rsidRPr="006D5C8A" w:rsidRDefault="00756869" w:rsidP="000D0729">
            <w:pPr>
              <w:rPr>
                <w:color w:val="000000"/>
                <w:sz w:val="22"/>
              </w:rPr>
            </w:pPr>
          </w:p>
          <w:p w:rsidR="00756869" w:rsidRPr="006D5C8A" w:rsidRDefault="00756869" w:rsidP="000D0729">
            <w:pPr>
              <w:rPr>
                <w:color w:val="000000"/>
                <w:sz w:val="22"/>
              </w:rPr>
            </w:pPr>
          </w:p>
          <w:p w:rsidR="00756869" w:rsidRPr="006D5C8A" w:rsidRDefault="00756869" w:rsidP="000D0729">
            <w:pPr>
              <w:jc w:val="center"/>
              <w:rPr>
                <w:color w:val="000000"/>
                <w:sz w:val="22"/>
              </w:rPr>
            </w:pPr>
            <w:r w:rsidRPr="006D5C8A">
              <w:rPr>
                <w:color w:val="000000"/>
                <w:sz w:val="22"/>
                <w:szCs w:val="22"/>
              </w:rPr>
              <w:t>x Yes    ○ No</w:t>
            </w:r>
          </w:p>
          <w:p w:rsidR="00756869" w:rsidRPr="006D5C8A" w:rsidRDefault="00756869" w:rsidP="000D0729">
            <w:pPr>
              <w:jc w:val="center"/>
              <w:rPr>
                <w:color w:val="000000"/>
                <w:sz w:val="22"/>
              </w:rPr>
            </w:pPr>
            <w:r w:rsidRPr="006D5C8A">
              <w:rPr>
                <w:color w:val="000000"/>
                <w:sz w:val="22"/>
                <w:szCs w:val="22"/>
              </w:rPr>
              <w:t>○ Yes    x No</w:t>
            </w:r>
          </w:p>
          <w:p w:rsidR="00756869" w:rsidRPr="006D5C8A" w:rsidRDefault="00756869" w:rsidP="000D0729">
            <w:pPr>
              <w:jc w:val="center"/>
              <w:rPr>
                <w:color w:val="000000"/>
                <w:sz w:val="22"/>
              </w:rPr>
            </w:pPr>
            <w:r w:rsidRPr="006D5C8A">
              <w:rPr>
                <w:color w:val="000000"/>
                <w:sz w:val="22"/>
                <w:szCs w:val="22"/>
              </w:rPr>
              <w:t>○ Yes    x No</w:t>
            </w:r>
          </w:p>
          <w:p w:rsidR="00756869" w:rsidRPr="006D5C8A" w:rsidRDefault="00756869" w:rsidP="000D0729">
            <w:pPr>
              <w:jc w:val="center"/>
              <w:rPr>
                <w:color w:val="000000"/>
                <w:sz w:val="22"/>
              </w:rPr>
            </w:pPr>
            <w:r w:rsidRPr="006D5C8A">
              <w:rPr>
                <w:color w:val="000000"/>
                <w:sz w:val="22"/>
                <w:szCs w:val="22"/>
              </w:rPr>
              <w:t>○ Yes    x No</w:t>
            </w:r>
          </w:p>
          <w:p w:rsidR="00756869" w:rsidRPr="006D5C8A" w:rsidRDefault="00756869" w:rsidP="000D0729">
            <w:pPr>
              <w:jc w:val="center"/>
              <w:rPr>
                <w:color w:val="000000"/>
                <w:sz w:val="22"/>
              </w:rPr>
            </w:pPr>
            <w:r w:rsidRPr="006D5C8A">
              <w:rPr>
                <w:color w:val="000000"/>
                <w:sz w:val="22"/>
                <w:szCs w:val="22"/>
              </w:rPr>
              <w:t>○ Yes    x No</w:t>
            </w:r>
          </w:p>
          <w:p w:rsidR="00756869" w:rsidRPr="006D5C8A" w:rsidRDefault="00756869" w:rsidP="000D0729">
            <w:pPr>
              <w:jc w:val="center"/>
              <w:rPr>
                <w:color w:val="000000"/>
                <w:sz w:val="22"/>
              </w:rPr>
            </w:pPr>
            <w:r w:rsidRPr="006D5C8A">
              <w:rPr>
                <w:color w:val="000000"/>
                <w:sz w:val="22"/>
                <w:szCs w:val="22"/>
              </w:rPr>
              <w:t>x Yes    ○ No</w:t>
            </w:r>
          </w:p>
          <w:p w:rsidR="00756869" w:rsidRPr="006D5C8A" w:rsidRDefault="00756869" w:rsidP="000D0729">
            <w:pPr>
              <w:jc w:val="center"/>
              <w:rPr>
                <w:color w:val="000000"/>
                <w:sz w:val="22"/>
              </w:rPr>
            </w:pPr>
            <w:r w:rsidRPr="006D5C8A">
              <w:rPr>
                <w:color w:val="000000"/>
                <w:sz w:val="22"/>
                <w:szCs w:val="22"/>
              </w:rPr>
              <w:t xml:space="preserve">x Yes    ○ No </w:t>
            </w:r>
          </w:p>
          <w:p w:rsidR="00756869" w:rsidRPr="006D5C8A" w:rsidRDefault="00756869" w:rsidP="000D0729">
            <w:pPr>
              <w:jc w:val="center"/>
              <w:rPr>
                <w:color w:val="000000"/>
                <w:sz w:val="22"/>
              </w:rPr>
            </w:pPr>
            <w:r w:rsidRPr="006D5C8A">
              <w:rPr>
                <w:color w:val="000000"/>
                <w:sz w:val="22"/>
                <w:szCs w:val="22"/>
              </w:rPr>
              <w:t>○ Yes    x No</w:t>
            </w:r>
          </w:p>
          <w:p w:rsidR="00756869" w:rsidRPr="006D5C8A" w:rsidRDefault="00756869" w:rsidP="000D0729">
            <w:pPr>
              <w:jc w:val="center"/>
              <w:rPr>
                <w:color w:val="000000"/>
                <w:sz w:val="22"/>
              </w:rPr>
            </w:pPr>
            <w:r w:rsidRPr="006D5C8A">
              <w:rPr>
                <w:color w:val="000000"/>
                <w:sz w:val="22"/>
                <w:szCs w:val="22"/>
              </w:rPr>
              <w:t>○ Yes    x No</w:t>
            </w:r>
          </w:p>
          <w:p w:rsidR="00756869" w:rsidRPr="006D5C8A" w:rsidRDefault="00756869" w:rsidP="000D0729">
            <w:pPr>
              <w:jc w:val="center"/>
              <w:rPr>
                <w:color w:val="000000"/>
                <w:sz w:val="22"/>
              </w:rPr>
            </w:pPr>
            <w:r w:rsidRPr="006D5C8A">
              <w:rPr>
                <w:color w:val="000000"/>
                <w:sz w:val="22"/>
                <w:szCs w:val="22"/>
              </w:rPr>
              <w:t>○ Yes    x No</w:t>
            </w:r>
          </w:p>
          <w:p w:rsidR="00756869" w:rsidRPr="006D5C8A" w:rsidRDefault="00756869" w:rsidP="000D0729">
            <w:pPr>
              <w:rPr>
                <w:color w:val="000000"/>
                <w:sz w:val="22"/>
              </w:rPr>
            </w:pPr>
          </w:p>
        </w:tc>
      </w:tr>
    </w:tbl>
    <w:p w:rsidR="00A706FA" w:rsidRDefault="00A706FA" w:rsidP="000D0729"/>
    <w:bookmarkEnd w:id="22"/>
    <w:p w:rsidR="00A706FA" w:rsidRDefault="00A706FA" w:rsidP="000D0729">
      <w:pPr>
        <w:numPr>
          <w:ilvl w:val="0"/>
          <w:numId w:val="6"/>
        </w:numPr>
        <w:tabs>
          <w:tab w:val="clear" w:pos="720"/>
          <w:tab w:val="num" w:pos="360"/>
        </w:tabs>
        <w:ind w:left="360"/>
      </w:pPr>
      <w:r>
        <w:t>Contact point</w:t>
      </w:r>
      <w:r w:rsidR="00BD43C8">
        <w:t>:</w:t>
      </w:r>
    </w:p>
    <w:p w:rsidR="00FE220D" w:rsidRPr="00AE1719" w:rsidRDefault="00FE220D" w:rsidP="000D0729">
      <w:pPr>
        <w:rPr>
          <w:sz w:val="16"/>
          <w:szCs w:val="16"/>
        </w:rPr>
      </w:pPr>
    </w:p>
    <w:p w:rsidR="000546B5" w:rsidRDefault="000546B5" w:rsidP="000D0729">
      <w:r>
        <w:t>Ayesha Vawda, Sr Education Specialist</w:t>
      </w:r>
    </w:p>
    <w:p w:rsidR="00A706FA" w:rsidRPr="000546B5" w:rsidRDefault="000546B5" w:rsidP="000D0729">
      <w:pPr>
        <w:rPr>
          <w:color w:val="000000"/>
          <w:sz w:val="22"/>
          <w:szCs w:val="22"/>
        </w:rPr>
      </w:pPr>
      <w:r w:rsidRPr="000546B5">
        <w:rPr>
          <w:color w:val="000000"/>
          <w:sz w:val="22"/>
          <w:szCs w:val="22"/>
        </w:rPr>
        <w:t>Tel:  ( 880-2) 815-9001 – Dhaka, Bangladesh</w:t>
      </w:r>
    </w:p>
    <w:p w:rsidR="000546B5" w:rsidRPr="000546B5" w:rsidRDefault="000546B5" w:rsidP="000D0729">
      <w:pPr>
        <w:rPr>
          <w:color w:val="000000"/>
          <w:sz w:val="22"/>
          <w:szCs w:val="22"/>
        </w:rPr>
      </w:pPr>
      <w:r w:rsidRPr="000546B5">
        <w:rPr>
          <w:color w:val="000000"/>
          <w:sz w:val="22"/>
          <w:szCs w:val="22"/>
        </w:rPr>
        <w:t xml:space="preserve">Email: </w:t>
      </w:r>
      <w:hyperlink r:id="rId9" w:history="1">
        <w:r w:rsidRPr="000546B5">
          <w:rPr>
            <w:rStyle w:val="Hyperlink"/>
            <w:sz w:val="22"/>
            <w:szCs w:val="22"/>
          </w:rPr>
          <w:t>avawda@worldbank.org</w:t>
        </w:r>
      </w:hyperlink>
    </w:p>
    <w:p w:rsidR="000546B5" w:rsidRPr="00AE1719" w:rsidRDefault="000546B5" w:rsidP="000D0729">
      <w:pPr>
        <w:rPr>
          <w:sz w:val="20"/>
          <w:szCs w:val="20"/>
        </w:rPr>
      </w:pPr>
    </w:p>
    <w:p w:rsidR="00A706FA" w:rsidRDefault="00A706FA" w:rsidP="000D0729">
      <w:pPr>
        <w:numPr>
          <w:ilvl w:val="0"/>
          <w:numId w:val="6"/>
        </w:numPr>
        <w:tabs>
          <w:tab w:val="clear" w:pos="720"/>
          <w:tab w:val="num" w:pos="360"/>
        </w:tabs>
        <w:ind w:left="360"/>
      </w:pPr>
      <w:r>
        <w:t>For more information contact:</w:t>
      </w:r>
    </w:p>
    <w:p w:rsidR="00A706FA" w:rsidRDefault="00A706FA" w:rsidP="000D0729">
      <w:pPr>
        <w:ind w:left="720"/>
      </w:pPr>
      <w:r>
        <w:t>The InfoShop</w:t>
      </w:r>
    </w:p>
    <w:p w:rsidR="00A706FA" w:rsidRDefault="00A706FA" w:rsidP="000D0729">
      <w:pPr>
        <w:ind w:left="720"/>
      </w:pPr>
      <w:r>
        <w:t>The World Bank</w:t>
      </w:r>
    </w:p>
    <w:p w:rsidR="00A706FA" w:rsidRDefault="00A706FA" w:rsidP="000D0729">
      <w:pPr>
        <w:ind w:left="720"/>
      </w:pPr>
      <w:r>
        <w:t>1818 H Street, NW</w:t>
      </w:r>
      <w:r w:rsidR="002076CC">
        <w:t xml:space="preserve">, </w:t>
      </w:r>
      <w:r>
        <w:t>Washington, D.C. 20433</w:t>
      </w:r>
    </w:p>
    <w:p w:rsidR="00A706FA" w:rsidRDefault="00A706FA" w:rsidP="000D0729">
      <w:pPr>
        <w:ind w:left="720"/>
      </w:pPr>
      <w:r>
        <w:t>Telephone:  (202) 458-</w:t>
      </w:r>
      <w:r w:rsidR="00681AD4">
        <w:t>4500</w:t>
      </w:r>
    </w:p>
    <w:p w:rsidR="00A706FA" w:rsidRDefault="00A706FA" w:rsidP="000D0729">
      <w:pPr>
        <w:ind w:left="720"/>
      </w:pPr>
      <w:r>
        <w:t>Fax:  (202) 522-1500</w:t>
      </w:r>
    </w:p>
    <w:p w:rsidR="00F55654" w:rsidRDefault="00681AD4" w:rsidP="000D0729">
      <w:pPr>
        <w:ind w:left="720"/>
      </w:pPr>
      <w:r>
        <w:t xml:space="preserve">Email: </w:t>
      </w:r>
      <w:hyperlink r:id="rId10" w:history="1">
        <w:r w:rsidR="00F55654" w:rsidRPr="00E64328">
          <w:rPr>
            <w:rStyle w:val="Hyperlink"/>
          </w:rPr>
          <w:t>pic@worldbank.org</w:t>
        </w:r>
      </w:hyperlink>
    </w:p>
    <w:p w:rsidR="00A706FA" w:rsidRDefault="00A706FA" w:rsidP="000D0729">
      <w:pPr>
        <w:ind w:left="720"/>
      </w:pPr>
      <w:r>
        <w:t>Web: http://www.worldbank.org/infoshop</w:t>
      </w:r>
    </w:p>
    <w:sectPr w:rsidR="00A706FA" w:rsidSect="007B22E8">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FD" w:rsidRDefault="00F95CFD" w:rsidP="00C82A88">
      <w:r>
        <w:separator/>
      </w:r>
    </w:p>
  </w:endnote>
  <w:endnote w:type="continuationSeparator" w:id="0">
    <w:p w:rsidR="00F95CFD" w:rsidRDefault="00F95CFD" w:rsidP="00C8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33837"/>
      <w:docPartObj>
        <w:docPartGallery w:val="Page Numbers (Bottom of Page)"/>
        <w:docPartUnique/>
      </w:docPartObj>
    </w:sdtPr>
    <w:sdtEndPr>
      <w:rPr>
        <w:noProof/>
      </w:rPr>
    </w:sdtEndPr>
    <w:sdtContent>
      <w:p w:rsidR="007B22E8" w:rsidRDefault="007B22E8">
        <w:pPr>
          <w:pStyle w:val="Footer"/>
          <w:jc w:val="center"/>
        </w:pPr>
        <w:r>
          <w:fldChar w:fldCharType="begin"/>
        </w:r>
        <w:r>
          <w:instrText xml:space="preserve"> PAGE   \* MERGEFORMAT </w:instrText>
        </w:r>
        <w:r>
          <w:fldChar w:fldCharType="separate"/>
        </w:r>
        <w:r w:rsidR="0040699F">
          <w:rPr>
            <w:noProof/>
          </w:rPr>
          <w:t>2</w:t>
        </w:r>
        <w:r>
          <w:rPr>
            <w:noProof/>
          </w:rPr>
          <w:fldChar w:fldCharType="end"/>
        </w:r>
      </w:p>
    </w:sdtContent>
  </w:sdt>
  <w:p w:rsidR="00CC4750" w:rsidRDefault="00CC4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FD" w:rsidRDefault="00F95CFD" w:rsidP="00C82A88">
      <w:r>
        <w:separator/>
      </w:r>
    </w:p>
  </w:footnote>
  <w:footnote w:type="continuationSeparator" w:id="0">
    <w:p w:rsidR="00F95CFD" w:rsidRDefault="00F95CFD" w:rsidP="00C82A88">
      <w:r>
        <w:continuationSeparator/>
      </w:r>
    </w:p>
  </w:footnote>
  <w:footnote w:id="1">
    <w:p w:rsidR="00CC4750" w:rsidRPr="006456E4" w:rsidRDefault="00F57AF9" w:rsidP="00F57AF9">
      <w:pPr>
        <w:pStyle w:val="FootnoteText"/>
        <w:rPr>
          <w:sz w:val="18"/>
          <w:szCs w:val="18"/>
          <w:lang w:val="en-US"/>
        </w:rPr>
      </w:pPr>
      <w:r>
        <w:rPr>
          <w:rStyle w:val="FootnoteReference"/>
          <w:sz w:val="18"/>
          <w:szCs w:val="18"/>
        </w:rPr>
        <w:footnoteRef/>
      </w:r>
      <w:r>
        <w:rPr>
          <w:sz w:val="18"/>
          <w:szCs w:val="18"/>
        </w:rPr>
        <w:t xml:space="preserve"> The economy experienced stable growth in GDP since 2001 reaching 6.2 percent in FY12.</w:t>
      </w:r>
    </w:p>
  </w:footnote>
  <w:footnote w:id="2">
    <w:p w:rsidR="00F57AF9" w:rsidRDefault="00F57AF9" w:rsidP="00F57AF9">
      <w:pPr>
        <w:pStyle w:val="FootnoteText"/>
        <w:rPr>
          <w:rFonts w:eastAsia="Times New Roman"/>
          <w:sz w:val="18"/>
          <w:szCs w:val="18"/>
        </w:rPr>
      </w:pPr>
      <w:r w:rsidRPr="00CC4750">
        <w:rPr>
          <w:rStyle w:val="FootnoteReference"/>
          <w:sz w:val="18"/>
          <w:szCs w:val="18"/>
        </w:rPr>
        <w:footnoteRef/>
      </w:r>
      <w:r>
        <w:rPr>
          <w:sz w:val="18"/>
          <w:szCs w:val="18"/>
        </w:rPr>
        <w:t xml:space="preserve"> </w:t>
      </w:r>
      <w:r w:rsidDel="00CC4750">
        <w:rPr>
          <w:sz w:val="18"/>
          <w:szCs w:val="18"/>
        </w:rPr>
        <w:t>It is estimated that there is a population of 2.5 million indigenous ethnic minorities living in Bangladesh. They mostly live in tribal areas and are very poor.</w:t>
      </w:r>
    </w:p>
  </w:footnote>
  <w:footnote w:id="3">
    <w:p w:rsidR="006456E4" w:rsidRPr="006456E4" w:rsidRDefault="00F57AF9" w:rsidP="00F57AF9">
      <w:pPr>
        <w:pStyle w:val="FootnoteText"/>
        <w:rPr>
          <w:sz w:val="18"/>
          <w:szCs w:val="18"/>
          <w:lang w:val="en-US"/>
        </w:rPr>
      </w:pPr>
      <w:r>
        <w:rPr>
          <w:rStyle w:val="FootnoteReference"/>
          <w:sz w:val="18"/>
          <w:szCs w:val="18"/>
        </w:rPr>
        <w:footnoteRef/>
      </w:r>
      <w:r>
        <w:rPr>
          <w:sz w:val="18"/>
          <w:szCs w:val="18"/>
        </w:rPr>
        <w:t xml:space="preserve"> The poor performed three-fourths of a year behind their wealthier counterparts in Bangla and half a school year behind in mathematics. </w:t>
      </w:r>
    </w:p>
  </w:footnote>
  <w:footnote w:id="4">
    <w:p w:rsidR="00F4564B" w:rsidRPr="00C602C5" w:rsidRDefault="00F4564B">
      <w:pPr>
        <w:pStyle w:val="FootnoteText"/>
        <w:rPr>
          <w:lang w:val="en-US"/>
        </w:rPr>
      </w:pPr>
      <w:r>
        <w:rPr>
          <w:rStyle w:val="FootnoteReference"/>
        </w:rPr>
        <w:footnoteRef/>
      </w:r>
      <w:r>
        <w:t xml:space="preserve"> </w:t>
      </w:r>
      <w:r>
        <w:rPr>
          <w:sz w:val="18"/>
          <w:szCs w:val="18"/>
        </w:rPr>
        <w:t>Staggered shift schools could have more than one shift operating with the same set of teachers. Currently, 85 percent of primary schools run on a staggered shift approach with two shifts per day. Some schools operate with more than two shifts per day</w:t>
      </w:r>
      <w:r w:rsidR="00C602C5">
        <w:rPr>
          <w:sz w:val="18"/>
          <w:szCs w:val="18"/>
          <w:lang w:val="en-US"/>
        </w:rPr>
        <w:t>.</w:t>
      </w:r>
    </w:p>
  </w:footnote>
  <w:footnote w:id="5">
    <w:p w:rsidR="00F57AF9" w:rsidRPr="00764444" w:rsidRDefault="00F57AF9" w:rsidP="00A170B9">
      <w:pPr>
        <w:rPr>
          <w:sz w:val="18"/>
          <w:szCs w:val="18"/>
        </w:rPr>
      </w:pPr>
      <w:r w:rsidRPr="00764444">
        <w:rPr>
          <w:rStyle w:val="FootnoteReference"/>
          <w:sz w:val="18"/>
          <w:szCs w:val="18"/>
        </w:rPr>
        <w:footnoteRef/>
      </w:r>
      <w:r w:rsidRPr="00764444">
        <w:rPr>
          <w:sz w:val="18"/>
          <w:szCs w:val="18"/>
        </w:rPr>
        <w:t xml:space="preserve"> Such as the National Academy  of Primary Education (NAPE), National Curriculum and Textbook Board (NCTB), Compulsory Primary Education Implementation and Monitoring Unit (CPEIMU), Bangladesh Bureau of Education Information and Statistics (BANBEIS), and a non-government organization (NGO).  </w:t>
      </w:r>
    </w:p>
    <w:p w:rsidR="00F57AF9" w:rsidRDefault="00F57AF9" w:rsidP="00A170B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F2442"/>
    <w:multiLevelType w:val="hybridMultilevel"/>
    <w:tmpl w:val="82A451D2"/>
    <w:lvl w:ilvl="0" w:tplc="E3D871CC">
      <w:start w:val="4"/>
      <w:numFmt w:val="upperLetter"/>
      <w:lvlText w:val="%1."/>
      <w:lvlJc w:val="left"/>
      <w:pPr>
        <w:ind w:left="93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B5509"/>
    <w:multiLevelType w:val="hybridMultilevel"/>
    <w:tmpl w:val="09D23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36CA4"/>
    <w:multiLevelType w:val="hybridMultilevel"/>
    <w:tmpl w:val="AD5AD294"/>
    <w:lvl w:ilvl="0" w:tplc="5E6832B2">
      <w:start w:val="1"/>
      <w:numFmt w:val="decimal"/>
      <w:lvlText w:val="%1."/>
      <w:lvlJc w:val="left"/>
      <w:pPr>
        <w:ind w:left="720" w:hanging="36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76EAE"/>
    <w:multiLevelType w:val="hybridMultilevel"/>
    <w:tmpl w:val="BA5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844F52"/>
    <w:multiLevelType w:val="hybridMultilevel"/>
    <w:tmpl w:val="7C041F86"/>
    <w:lvl w:ilvl="0" w:tplc="9C4C7F66">
      <w:start w:val="1"/>
      <w:numFmt w:val="decimal"/>
      <w:lvlText w:val="%1."/>
      <w:lvlJc w:val="left"/>
      <w:pPr>
        <w:ind w:left="3002" w:firstLine="418"/>
      </w:pPr>
      <w:rPr>
        <w:rFonts w:hint="default"/>
        <w:b w:val="0"/>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7">
    <w:nsid w:val="1CC4487E"/>
    <w:multiLevelType w:val="multilevel"/>
    <w:tmpl w:val="593A5CAE"/>
    <w:lvl w:ilvl="0">
      <w:start w:val="1"/>
      <w:numFmt w:val="upperRoman"/>
      <w:lvlText w:val="%1."/>
      <w:lvlJc w:val="left"/>
      <w:pPr>
        <w:ind w:left="720" w:hanging="360"/>
      </w:pPr>
      <w:rPr>
        <w:rFonts w:hint="default"/>
      </w:rPr>
    </w:lvl>
    <w:lvl w:ilvl="1">
      <w:start w:val="1"/>
      <w:numFmt w:val="upperLetter"/>
      <w:lvlText w:val="%2."/>
      <w:lvlJc w:val="left"/>
      <w:pPr>
        <w:ind w:left="55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19B5F71"/>
    <w:multiLevelType w:val="hybridMultilevel"/>
    <w:tmpl w:val="86DE7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09605A"/>
    <w:multiLevelType w:val="hybridMultilevel"/>
    <w:tmpl w:val="2926DFA4"/>
    <w:lvl w:ilvl="0" w:tplc="201AF8DE">
      <w:start w:val="1"/>
      <w:numFmt w:val="decimal"/>
      <w:lvlText w:val="%1."/>
      <w:lvlJc w:val="left"/>
      <w:pPr>
        <w:tabs>
          <w:tab w:val="num" w:pos="360"/>
        </w:tabs>
        <w:ind w:left="360" w:hanging="360"/>
      </w:pPr>
      <w:rPr>
        <w:b w:val="0"/>
        <w:sz w:val="22"/>
        <w:szCs w:val="22"/>
      </w:rPr>
    </w:lvl>
    <w:lvl w:ilvl="1" w:tplc="04090003">
      <w:start w:val="1"/>
      <w:numFmt w:val="bullet"/>
      <w:lvlText w:val=""/>
      <w:lvlJc w:val="left"/>
      <w:pPr>
        <w:tabs>
          <w:tab w:val="num" w:pos="1440"/>
        </w:tabs>
        <w:ind w:left="1440" w:hanging="360"/>
      </w:pPr>
      <w:rPr>
        <w:rFonts w:ascii="Symbol" w:hAnsi="Symbol" w:hint="default"/>
      </w:rPr>
    </w:lvl>
    <w:lvl w:ilvl="2" w:tplc="723614FC">
      <w:start w:val="6"/>
      <w:numFmt w:val="upp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267A5B44"/>
    <w:multiLevelType w:val="hybridMultilevel"/>
    <w:tmpl w:val="B0B836FC"/>
    <w:lvl w:ilvl="0" w:tplc="96C8D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B6D27"/>
    <w:multiLevelType w:val="multilevel"/>
    <w:tmpl w:val="7C9E3728"/>
    <w:lvl w:ilvl="0">
      <w:start w:val="1"/>
      <w:numFmt w:val="upperRoman"/>
      <w:lvlText w:val="%1."/>
      <w:lvlJc w:val="left"/>
      <w:pPr>
        <w:ind w:left="360" w:hanging="360"/>
      </w:pPr>
      <w:rPr>
        <w:rFonts w:hint="default"/>
      </w:rPr>
    </w:lvl>
    <w:lvl w:ilvl="1">
      <w:start w:val="1"/>
      <w:numFmt w:val="upperLetter"/>
      <w:lvlText w:val="%2."/>
      <w:lvlJc w:val="left"/>
      <w:pPr>
        <w:ind w:left="126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2C2B1F80"/>
    <w:multiLevelType w:val="hybridMultilevel"/>
    <w:tmpl w:val="731EC208"/>
    <w:lvl w:ilvl="0" w:tplc="40183FA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16DE6"/>
    <w:multiLevelType w:val="hybridMultilevel"/>
    <w:tmpl w:val="D534D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F34B18"/>
    <w:multiLevelType w:val="hybridMultilevel"/>
    <w:tmpl w:val="7682D81E"/>
    <w:lvl w:ilvl="0" w:tplc="2F7C19C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9B585F"/>
    <w:multiLevelType w:val="hybridMultilevel"/>
    <w:tmpl w:val="7402D682"/>
    <w:lvl w:ilvl="0" w:tplc="01EAE42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95F70"/>
    <w:multiLevelType w:val="hybridMultilevel"/>
    <w:tmpl w:val="D14A7E70"/>
    <w:lvl w:ilvl="0" w:tplc="19985D9E">
      <w:start w:val="20"/>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C22885"/>
    <w:multiLevelType w:val="hybridMultilevel"/>
    <w:tmpl w:val="61DCC154"/>
    <w:lvl w:ilvl="0" w:tplc="287A48CE">
      <w:start w:val="2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0406B"/>
    <w:multiLevelType w:val="hybridMultilevel"/>
    <w:tmpl w:val="E9FE5158"/>
    <w:lvl w:ilvl="0" w:tplc="F8A6B0FC">
      <w:start w:val="1"/>
      <w:numFmt w:val="lowerLetter"/>
      <w:lvlText w:val="(%1)"/>
      <w:lvlJc w:val="left"/>
      <w:pPr>
        <w:tabs>
          <w:tab w:val="num" w:pos="360"/>
        </w:tabs>
        <w:ind w:left="360" w:hanging="360"/>
      </w:pPr>
      <w:rPr>
        <w:rFonts w:ascii="Times New Roman" w:hAnsi="Times New Roman" w:cs="Times New Roman" w:hint="default"/>
        <w:b w:val="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360"/>
        </w:tabs>
        <w:ind w:left="-360" w:hanging="180"/>
      </w:pPr>
    </w:lvl>
    <w:lvl w:ilvl="3" w:tplc="04090001" w:tentative="1">
      <w:start w:val="1"/>
      <w:numFmt w:val="decimal"/>
      <w:lvlText w:val="%4."/>
      <w:lvlJc w:val="left"/>
      <w:pPr>
        <w:tabs>
          <w:tab w:val="num" w:pos="360"/>
        </w:tabs>
        <w:ind w:left="360" w:hanging="360"/>
      </w:pPr>
    </w:lvl>
    <w:lvl w:ilvl="4" w:tplc="04090003" w:tentative="1">
      <w:start w:val="1"/>
      <w:numFmt w:val="lowerLetter"/>
      <w:lvlText w:val="%5."/>
      <w:lvlJc w:val="left"/>
      <w:pPr>
        <w:tabs>
          <w:tab w:val="num" w:pos="1080"/>
        </w:tabs>
        <w:ind w:left="1080" w:hanging="360"/>
      </w:pPr>
    </w:lvl>
    <w:lvl w:ilvl="5" w:tplc="04090005" w:tentative="1">
      <w:start w:val="1"/>
      <w:numFmt w:val="lowerRoman"/>
      <w:lvlText w:val="%6."/>
      <w:lvlJc w:val="right"/>
      <w:pPr>
        <w:tabs>
          <w:tab w:val="num" w:pos="1800"/>
        </w:tabs>
        <w:ind w:left="1800" w:hanging="180"/>
      </w:pPr>
    </w:lvl>
    <w:lvl w:ilvl="6" w:tplc="04090001" w:tentative="1">
      <w:start w:val="1"/>
      <w:numFmt w:val="decimal"/>
      <w:lvlText w:val="%7."/>
      <w:lvlJc w:val="left"/>
      <w:pPr>
        <w:tabs>
          <w:tab w:val="num" w:pos="2520"/>
        </w:tabs>
        <w:ind w:left="2520" w:hanging="360"/>
      </w:pPr>
    </w:lvl>
    <w:lvl w:ilvl="7" w:tplc="04090003" w:tentative="1">
      <w:start w:val="1"/>
      <w:numFmt w:val="lowerLetter"/>
      <w:lvlText w:val="%8."/>
      <w:lvlJc w:val="left"/>
      <w:pPr>
        <w:tabs>
          <w:tab w:val="num" w:pos="3240"/>
        </w:tabs>
        <w:ind w:left="3240" w:hanging="360"/>
      </w:pPr>
    </w:lvl>
    <w:lvl w:ilvl="8" w:tplc="04090005" w:tentative="1">
      <w:start w:val="1"/>
      <w:numFmt w:val="lowerRoman"/>
      <w:lvlText w:val="%9."/>
      <w:lvlJc w:val="right"/>
      <w:pPr>
        <w:tabs>
          <w:tab w:val="num" w:pos="3960"/>
        </w:tabs>
        <w:ind w:left="3960" w:hanging="180"/>
      </w:pPr>
    </w:lvl>
  </w:abstractNum>
  <w:abstractNum w:abstractNumId="22">
    <w:nsid w:val="6B15437E"/>
    <w:multiLevelType w:val="hybridMultilevel"/>
    <w:tmpl w:val="7852574E"/>
    <w:lvl w:ilvl="0" w:tplc="233AE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D5D26"/>
    <w:multiLevelType w:val="hybridMultilevel"/>
    <w:tmpl w:val="731EC208"/>
    <w:lvl w:ilvl="0" w:tplc="40183FA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24"/>
  </w:num>
  <w:num w:numId="4">
    <w:abstractNumId w:val="5"/>
  </w:num>
  <w:num w:numId="5">
    <w:abstractNumId w:val="17"/>
  </w:num>
  <w:num w:numId="6">
    <w:abstractNumId w:val="0"/>
  </w:num>
  <w:num w:numId="7">
    <w:abstractNumId w:val="7"/>
  </w:num>
  <w:num w:numId="8">
    <w:abstractNumId w:val="10"/>
  </w:num>
  <w:num w:numId="9">
    <w:abstractNumId w:val="12"/>
  </w:num>
  <w:num w:numId="10">
    <w:abstractNumId w:val="15"/>
  </w:num>
  <w:num w:numId="11">
    <w:abstractNumId w:val="20"/>
  </w:num>
  <w:num w:numId="12">
    <w:abstractNumId w:val="6"/>
  </w:num>
  <w:num w:numId="13">
    <w:abstractNumId w:val="21"/>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18"/>
  </w:num>
  <w:num w:numId="19">
    <w:abstractNumId w:val="11"/>
  </w:num>
  <w:num w:numId="20">
    <w:abstractNumId w:val="1"/>
  </w:num>
  <w:num w:numId="21">
    <w:abstractNumId w:val="3"/>
  </w:num>
  <w:num w:numId="22">
    <w:abstractNumId w:val="4"/>
  </w:num>
  <w:num w:numId="23">
    <w:abstractNumId w:val="2"/>
  </w:num>
  <w:num w:numId="24">
    <w:abstractNumId w:val="14"/>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9"/>
    <w:rsid w:val="0001258A"/>
    <w:rsid w:val="000546B5"/>
    <w:rsid w:val="00084B62"/>
    <w:rsid w:val="00086CD4"/>
    <w:rsid w:val="000909E9"/>
    <w:rsid w:val="00093175"/>
    <w:rsid w:val="000B7CCA"/>
    <w:rsid w:val="000D0729"/>
    <w:rsid w:val="000E243F"/>
    <w:rsid w:val="000F7B39"/>
    <w:rsid w:val="00193864"/>
    <w:rsid w:val="001F6B31"/>
    <w:rsid w:val="002076CC"/>
    <w:rsid w:val="00257343"/>
    <w:rsid w:val="00283E1A"/>
    <w:rsid w:val="002D06E0"/>
    <w:rsid w:val="003261FD"/>
    <w:rsid w:val="003347B0"/>
    <w:rsid w:val="00341FEE"/>
    <w:rsid w:val="00354D52"/>
    <w:rsid w:val="0037499D"/>
    <w:rsid w:val="00385F47"/>
    <w:rsid w:val="00394716"/>
    <w:rsid w:val="00395C95"/>
    <w:rsid w:val="003D3E59"/>
    <w:rsid w:val="003F428F"/>
    <w:rsid w:val="00406393"/>
    <w:rsid w:val="0040699F"/>
    <w:rsid w:val="00444EC5"/>
    <w:rsid w:val="00454801"/>
    <w:rsid w:val="004E7497"/>
    <w:rsid w:val="005A00BA"/>
    <w:rsid w:val="005A68F1"/>
    <w:rsid w:val="005C1C1B"/>
    <w:rsid w:val="005C2B0C"/>
    <w:rsid w:val="00620061"/>
    <w:rsid w:val="006456E4"/>
    <w:rsid w:val="006461C9"/>
    <w:rsid w:val="00650BFC"/>
    <w:rsid w:val="00653E71"/>
    <w:rsid w:val="00655371"/>
    <w:rsid w:val="00656443"/>
    <w:rsid w:val="00660CEA"/>
    <w:rsid w:val="006644AB"/>
    <w:rsid w:val="006678D3"/>
    <w:rsid w:val="00681AD4"/>
    <w:rsid w:val="006D5C8A"/>
    <w:rsid w:val="006E0162"/>
    <w:rsid w:val="00713954"/>
    <w:rsid w:val="00756869"/>
    <w:rsid w:val="00764444"/>
    <w:rsid w:val="0077602D"/>
    <w:rsid w:val="00782EE9"/>
    <w:rsid w:val="007B22E8"/>
    <w:rsid w:val="007D65C5"/>
    <w:rsid w:val="008141A2"/>
    <w:rsid w:val="00827134"/>
    <w:rsid w:val="0084111F"/>
    <w:rsid w:val="00846650"/>
    <w:rsid w:val="00863D01"/>
    <w:rsid w:val="0087170D"/>
    <w:rsid w:val="008B7F60"/>
    <w:rsid w:val="008F002E"/>
    <w:rsid w:val="008F5E23"/>
    <w:rsid w:val="00932F0E"/>
    <w:rsid w:val="00944607"/>
    <w:rsid w:val="0095747B"/>
    <w:rsid w:val="00993D8E"/>
    <w:rsid w:val="009B6040"/>
    <w:rsid w:val="009C6544"/>
    <w:rsid w:val="009D336A"/>
    <w:rsid w:val="009D66B2"/>
    <w:rsid w:val="00A170B9"/>
    <w:rsid w:val="00A3332D"/>
    <w:rsid w:val="00A33B57"/>
    <w:rsid w:val="00A41FA2"/>
    <w:rsid w:val="00A65D0C"/>
    <w:rsid w:val="00A67DB5"/>
    <w:rsid w:val="00A706FA"/>
    <w:rsid w:val="00A748B3"/>
    <w:rsid w:val="00A826AB"/>
    <w:rsid w:val="00AE1719"/>
    <w:rsid w:val="00AF7B31"/>
    <w:rsid w:val="00B15380"/>
    <w:rsid w:val="00BA376C"/>
    <w:rsid w:val="00BB50C9"/>
    <w:rsid w:val="00BC6AEA"/>
    <w:rsid w:val="00BD43C8"/>
    <w:rsid w:val="00BF16D7"/>
    <w:rsid w:val="00C231B8"/>
    <w:rsid w:val="00C453CB"/>
    <w:rsid w:val="00C51826"/>
    <w:rsid w:val="00C545D4"/>
    <w:rsid w:val="00C602C5"/>
    <w:rsid w:val="00C82A88"/>
    <w:rsid w:val="00C93466"/>
    <w:rsid w:val="00CC2590"/>
    <w:rsid w:val="00CC4750"/>
    <w:rsid w:val="00CD7CD5"/>
    <w:rsid w:val="00CF325B"/>
    <w:rsid w:val="00D03212"/>
    <w:rsid w:val="00D60C84"/>
    <w:rsid w:val="00D6225D"/>
    <w:rsid w:val="00D627D1"/>
    <w:rsid w:val="00E01F3D"/>
    <w:rsid w:val="00E224BF"/>
    <w:rsid w:val="00E630DD"/>
    <w:rsid w:val="00E705B3"/>
    <w:rsid w:val="00E912D7"/>
    <w:rsid w:val="00EC5EEE"/>
    <w:rsid w:val="00ED15D0"/>
    <w:rsid w:val="00EF027E"/>
    <w:rsid w:val="00F4564B"/>
    <w:rsid w:val="00F4765A"/>
    <w:rsid w:val="00F55654"/>
    <w:rsid w:val="00F57AF9"/>
    <w:rsid w:val="00F64C6F"/>
    <w:rsid w:val="00F66595"/>
    <w:rsid w:val="00F83697"/>
    <w:rsid w:val="00F95CFD"/>
    <w:rsid w:val="00FB112B"/>
    <w:rsid w:val="00FE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center"/>
      <w:outlineLvl w:val="1"/>
    </w:pPr>
    <w:rPr>
      <w:b/>
      <w:bCs/>
      <w:lang w:val="x-none" w:eastAsia="x-none"/>
    </w:rPr>
  </w:style>
  <w:style w:type="paragraph" w:styleId="Heading3">
    <w:name w:val="heading 3"/>
    <w:basedOn w:val="Normal"/>
    <w:next w:val="Normal"/>
    <w:link w:val="Heading3Char"/>
    <w:semiHidden/>
    <w:unhideWhenUsed/>
    <w:qFormat/>
    <w:rsid w:val="00385F47"/>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link w:val="CommentTextChar"/>
    <w:semiHidden/>
    <w:rPr>
      <w:sz w:val="20"/>
      <w:szCs w:val="20"/>
    </w:rPr>
  </w:style>
  <w:style w:type="character" w:styleId="CommentReference">
    <w:name w:val="annotation reference"/>
    <w:semiHidden/>
    <w:rPr>
      <w:sz w:val="16"/>
      <w:szCs w:val="16"/>
    </w:rPr>
  </w:style>
  <w:style w:type="paragraph" w:styleId="BalloonText">
    <w:name w:val="Balloon Text"/>
    <w:basedOn w:val="Normal"/>
    <w:semiHidden/>
    <w:rsid w:val="006461C9"/>
    <w:rPr>
      <w:rFonts w:ascii="Tahoma" w:hAnsi="Tahoma" w:cs="Tahoma"/>
      <w:sz w:val="16"/>
      <w:szCs w:val="16"/>
    </w:rPr>
  </w:style>
  <w:style w:type="paragraph" w:styleId="ListParagraph">
    <w:name w:val="List Paragraph"/>
    <w:aliases w:val="List Paragraph (numbered (a)),Normal 2,Main numbered paragraph"/>
    <w:basedOn w:val="Normal"/>
    <w:link w:val="ListParagraphChar"/>
    <w:uiPriority w:val="34"/>
    <w:qFormat/>
    <w:rsid w:val="00C82A88"/>
    <w:pPr>
      <w:ind w:left="720"/>
      <w:contextualSpacing/>
    </w:pPr>
    <w:rPr>
      <w:lang w:val="x-none" w:eastAsia="x-none"/>
    </w:rPr>
  </w:style>
  <w:style w:type="paragraph" w:styleId="FootnoteText">
    <w:name w:val="footnote text"/>
    <w:aliases w:val="single space,footnote text,fn,FOOTNOTES,ft,Fußnote,Footnote Text Char Char,Footnote Text Char1 Char Char,Footnote Text Char Char Char Char,Char Char Char Char Char,Char Char Char,Footnote Text Char1"/>
    <w:basedOn w:val="Normal"/>
    <w:link w:val="FootnoteTextChar"/>
    <w:uiPriority w:val="99"/>
    <w:unhideWhenUsed/>
    <w:qFormat/>
    <w:rsid w:val="00C82A88"/>
    <w:rPr>
      <w:rFonts w:eastAsia="Calibri"/>
      <w:sz w:val="20"/>
      <w:szCs w:val="20"/>
      <w:lang w:val="x-none" w:eastAsia="x-none"/>
    </w:rPr>
  </w:style>
  <w:style w:type="character" w:customStyle="1" w:styleId="FootnoteTextChar">
    <w:name w:val="Footnote Text Char"/>
    <w:aliases w:val="single space Char,footnote text Char,fn Char,FOOTNOTES Char,ft Char,Fußnote Char,Footnote Text Char Char Char,Footnote Text Char1 Char Char Char,Footnote Text Char Char Char Char Char,Char Char Char Char Char Char,Char Char Char Char"/>
    <w:link w:val="FootnoteText"/>
    <w:uiPriority w:val="99"/>
    <w:rsid w:val="00C82A88"/>
    <w:rPr>
      <w:rFonts w:eastAsia="Calibri"/>
    </w:rPr>
  </w:style>
  <w:style w:type="character" w:styleId="FootnoteReference">
    <w:name w:val="footnote reference"/>
    <w:aliases w:val="ftref"/>
    <w:uiPriority w:val="99"/>
    <w:unhideWhenUsed/>
    <w:rsid w:val="00C82A88"/>
    <w:rPr>
      <w:vertAlign w:val="superscript"/>
    </w:rPr>
  </w:style>
  <w:style w:type="character" w:customStyle="1" w:styleId="Heading2Char">
    <w:name w:val="Heading 2 Char"/>
    <w:link w:val="Heading2"/>
    <w:rsid w:val="00E01F3D"/>
    <w:rPr>
      <w:b/>
      <w:bCs/>
      <w:sz w:val="24"/>
      <w:szCs w:val="24"/>
    </w:rPr>
  </w:style>
  <w:style w:type="character" w:customStyle="1" w:styleId="Heading3Char">
    <w:name w:val="Heading 3 Char"/>
    <w:link w:val="Heading3"/>
    <w:semiHidden/>
    <w:rsid w:val="00385F47"/>
    <w:rPr>
      <w:rFonts w:ascii="Cambria" w:eastAsia="Times New Roman" w:hAnsi="Cambria" w:cs="Times New Roman"/>
      <w:b/>
      <w:bCs/>
      <w:sz w:val="26"/>
      <w:szCs w:val="26"/>
    </w:rPr>
  </w:style>
  <w:style w:type="character" w:customStyle="1" w:styleId="ListParagraphChar">
    <w:name w:val="List Paragraph Char"/>
    <w:aliases w:val="List Paragraph (numbered (a)) Char,Normal 2 Char,Main numbered paragraph Char"/>
    <w:link w:val="ListParagraph"/>
    <w:uiPriority w:val="34"/>
    <w:rsid w:val="00385F47"/>
    <w:rPr>
      <w:sz w:val="24"/>
      <w:szCs w:val="24"/>
    </w:rPr>
  </w:style>
  <w:style w:type="character" w:styleId="Hyperlink">
    <w:name w:val="Hyperlink"/>
    <w:rsid w:val="000546B5"/>
    <w:rPr>
      <w:color w:val="0000FF"/>
      <w:u w:val="single"/>
    </w:rPr>
  </w:style>
  <w:style w:type="paragraph" w:styleId="CommentSubject">
    <w:name w:val="annotation subject"/>
    <w:basedOn w:val="CommentText"/>
    <w:next w:val="CommentText"/>
    <w:link w:val="CommentSubjectChar"/>
    <w:rsid w:val="00D03212"/>
    <w:rPr>
      <w:b/>
      <w:bCs/>
      <w:lang w:val="x-none" w:eastAsia="x-none"/>
    </w:rPr>
  </w:style>
  <w:style w:type="character" w:customStyle="1" w:styleId="CommentTextChar">
    <w:name w:val="Comment Text Char"/>
    <w:basedOn w:val="DefaultParagraphFont"/>
    <w:link w:val="CommentText"/>
    <w:semiHidden/>
    <w:rsid w:val="00D03212"/>
  </w:style>
  <w:style w:type="character" w:customStyle="1" w:styleId="CommentSubjectChar">
    <w:name w:val="Comment Subject Char"/>
    <w:link w:val="CommentSubject"/>
    <w:rsid w:val="00D03212"/>
    <w:rPr>
      <w:b/>
      <w:bCs/>
    </w:rPr>
  </w:style>
  <w:style w:type="paragraph" w:customStyle="1" w:styleId="InfoSubject">
    <w:name w:val="Info: Subject"/>
    <w:basedOn w:val="Normal"/>
    <w:rsid w:val="00F57AF9"/>
    <w:pPr>
      <w:tabs>
        <w:tab w:val="right" w:pos="720"/>
        <w:tab w:val="left" w:pos="1080"/>
      </w:tabs>
    </w:pPr>
    <w:rPr>
      <w:b/>
      <w:sz w:val="22"/>
      <w:szCs w:val="20"/>
      <w:u w:val="single"/>
    </w:rPr>
  </w:style>
  <w:style w:type="paragraph" w:styleId="BodyText">
    <w:name w:val="Body Text"/>
    <w:basedOn w:val="Normal"/>
    <w:link w:val="BodyTextChar"/>
    <w:rsid w:val="009B6040"/>
    <w:pPr>
      <w:spacing w:after="120"/>
    </w:pPr>
  </w:style>
  <w:style w:type="character" w:customStyle="1" w:styleId="BodyTextChar">
    <w:name w:val="Body Text Char"/>
    <w:basedOn w:val="DefaultParagraphFont"/>
    <w:link w:val="BodyText"/>
    <w:rsid w:val="009B6040"/>
    <w:rPr>
      <w:sz w:val="24"/>
      <w:szCs w:val="24"/>
    </w:rPr>
  </w:style>
  <w:style w:type="paragraph" w:styleId="Header">
    <w:name w:val="header"/>
    <w:basedOn w:val="Normal"/>
    <w:link w:val="HeaderChar"/>
    <w:rsid w:val="00CC4750"/>
    <w:pPr>
      <w:tabs>
        <w:tab w:val="center" w:pos="4680"/>
        <w:tab w:val="right" w:pos="9360"/>
      </w:tabs>
    </w:pPr>
  </w:style>
  <w:style w:type="character" w:customStyle="1" w:styleId="HeaderChar">
    <w:name w:val="Header Char"/>
    <w:basedOn w:val="DefaultParagraphFont"/>
    <w:link w:val="Header"/>
    <w:rsid w:val="00CC4750"/>
    <w:rPr>
      <w:sz w:val="24"/>
      <w:szCs w:val="24"/>
    </w:rPr>
  </w:style>
  <w:style w:type="paragraph" w:styleId="Footer">
    <w:name w:val="footer"/>
    <w:basedOn w:val="Normal"/>
    <w:link w:val="FooterChar"/>
    <w:uiPriority w:val="99"/>
    <w:rsid w:val="00CC4750"/>
    <w:pPr>
      <w:tabs>
        <w:tab w:val="center" w:pos="4680"/>
        <w:tab w:val="right" w:pos="9360"/>
      </w:tabs>
    </w:pPr>
  </w:style>
  <w:style w:type="character" w:customStyle="1" w:styleId="FooterChar">
    <w:name w:val="Footer Char"/>
    <w:basedOn w:val="DefaultParagraphFont"/>
    <w:link w:val="Footer"/>
    <w:uiPriority w:val="99"/>
    <w:rsid w:val="00CC47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center"/>
      <w:outlineLvl w:val="1"/>
    </w:pPr>
    <w:rPr>
      <w:b/>
      <w:bCs/>
      <w:lang w:val="x-none" w:eastAsia="x-none"/>
    </w:rPr>
  </w:style>
  <w:style w:type="paragraph" w:styleId="Heading3">
    <w:name w:val="heading 3"/>
    <w:basedOn w:val="Normal"/>
    <w:next w:val="Normal"/>
    <w:link w:val="Heading3Char"/>
    <w:semiHidden/>
    <w:unhideWhenUsed/>
    <w:qFormat/>
    <w:rsid w:val="00385F47"/>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link w:val="CommentTextChar"/>
    <w:semiHidden/>
    <w:rPr>
      <w:sz w:val="20"/>
      <w:szCs w:val="20"/>
    </w:rPr>
  </w:style>
  <w:style w:type="character" w:styleId="CommentReference">
    <w:name w:val="annotation reference"/>
    <w:semiHidden/>
    <w:rPr>
      <w:sz w:val="16"/>
      <w:szCs w:val="16"/>
    </w:rPr>
  </w:style>
  <w:style w:type="paragraph" w:styleId="BalloonText">
    <w:name w:val="Balloon Text"/>
    <w:basedOn w:val="Normal"/>
    <w:semiHidden/>
    <w:rsid w:val="006461C9"/>
    <w:rPr>
      <w:rFonts w:ascii="Tahoma" w:hAnsi="Tahoma" w:cs="Tahoma"/>
      <w:sz w:val="16"/>
      <w:szCs w:val="16"/>
    </w:rPr>
  </w:style>
  <w:style w:type="paragraph" w:styleId="ListParagraph">
    <w:name w:val="List Paragraph"/>
    <w:aliases w:val="List Paragraph (numbered (a)),Normal 2,Main numbered paragraph"/>
    <w:basedOn w:val="Normal"/>
    <w:link w:val="ListParagraphChar"/>
    <w:uiPriority w:val="34"/>
    <w:qFormat/>
    <w:rsid w:val="00C82A88"/>
    <w:pPr>
      <w:ind w:left="720"/>
      <w:contextualSpacing/>
    </w:pPr>
    <w:rPr>
      <w:lang w:val="x-none" w:eastAsia="x-none"/>
    </w:rPr>
  </w:style>
  <w:style w:type="paragraph" w:styleId="FootnoteText">
    <w:name w:val="footnote text"/>
    <w:aliases w:val="single space,footnote text,fn,FOOTNOTES,ft,Fußnote,Footnote Text Char Char,Footnote Text Char1 Char Char,Footnote Text Char Char Char Char,Char Char Char Char Char,Char Char Char,Footnote Text Char1"/>
    <w:basedOn w:val="Normal"/>
    <w:link w:val="FootnoteTextChar"/>
    <w:uiPriority w:val="99"/>
    <w:unhideWhenUsed/>
    <w:qFormat/>
    <w:rsid w:val="00C82A88"/>
    <w:rPr>
      <w:rFonts w:eastAsia="Calibri"/>
      <w:sz w:val="20"/>
      <w:szCs w:val="20"/>
      <w:lang w:val="x-none" w:eastAsia="x-none"/>
    </w:rPr>
  </w:style>
  <w:style w:type="character" w:customStyle="1" w:styleId="FootnoteTextChar">
    <w:name w:val="Footnote Text Char"/>
    <w:aliases w:val="single space Char,footnote text Char,fn Char,FOOTNOTES Char,ft Char,Fußnote Char,Footnote Text Char Char Char,Footnote Text Char1 Char Char Char,Footnote Text Char Char Char Char Char,Char Char Char Char Char Char,Char Char Char Char"/>
    <w:link w:val="FootnoteText"/>
    <w:uiPriority w:val="99"/>
    <w:rsid w:val="00C82A88"/>
    <w:rPr>
      <w:rFonts w:eastAsia="Calibri"/>
    </w:rPr>
  </w:style>
  <w:style w:type="character" w:styleId="FootnoteReference">
    <w:name w:val="footnote reference"/>
    <w:aliases w:val="ftref"/>
    <w:uiPriority w:val="99"/>
    <w:unhideWhenUsed/>
    <w:rsid w:val="00C82A88"/>
    <w:rPr>
      <w:vertAlign w:val="superscript"/>
    </w:rPr>
  </w:style>
  <w:style w:type="character" w:customStyle="1" w:styleId="Heading2Char">
    <w:name w:val="Heading 2 Char"/>
    <w:link w:val="Heading2"/>
    <w:rsid w:val="00E01F3D"/>
    <w:rPr>
      <w:b/>
      <w:bCs/>
      <w:sz w:val="24"/>
      <w:szCs w:val="24"/>
    </w:rPr>
  </w:style>
  <w:style w:type="character" w:customStyle="1" w:styleId="Heading3Char">
    <w:name w:val="Heading 3 Char"/>
    <w:link w:val="Heading3"/>
    <w:semiHidden/>
    <w:rsid w:val="00385F47"/>
    <w:rPr>
      <w:rFonts w:ascii="Cambria" w:eastAsia="Times New Roman" w:hAnsi="Cambria" w:cs="Times New Roman"/>
      <w:b/>
      <w:bCs/>
      <w:sz w:val="26"/>
      <w:szCs w:val="26"/>
    </w:rPr>
  </w:style>
  <w:style w:type="character" w:customStyle="1" w:styleId="ListParagraphChar">
    <w:name w:val="List Paragraph Char"/>
    <w:aliases w:val="List Paragraph (numbered (a)) Char,Normal 2 Char,Main numbered paragraph Char"/>
    <w:link w:val="ListParagraph"/>
    <w:uiPriority w:val="34"/>
    <w:rsid w:val="00385F47"/>
    <w:rPr>
      <w:sz w:val="24"/>
      <w:szCs w:val="24"/>
    </w:rPr>
  </w:style>
  <w:style w:type="character" w:styleId="Hyperlink">
    <w:name w:val="Hyperlink"/>
    <w:rsid w:val="000546B5"/>
    <w:rPr>
      <w:color w:val="0000FF"/>
      <w:u w:val="single"/>
    </w:rPr>
  </w:style>
  <w:style w:type="paragraph" w:styleId="CommentSubject">
    <w:name w:val="annotation subject"/>
    <w:basedOn w:val="CommentText"/>
    <w:next w:val="CommentText"/>
    <w:link w:val="CommentSubjectChar"/>
    <w:rsid w:val="00D03212"/>
    <w:rPr>
      <w:b/>
      <w:bCs/>
      <w:lang w:val="x-none" w:eastAsia="x-none"/>
    </w:rPr>
  </w:style>
  <w:style w:type="character" w:customStyle="1" w:styleId="CommentTextChar">
    <w:name w:val="Comment Text Char"/>
    <w:basedOn w:val="DefaultParagraphFont"/>
    <w:link w:val="CommentText"/>
    <w:semiHidden/>
    <w:rsid w:val="00D03212"/>
  </w:style>
  <w:style w:type="character" w:customStyle="1" w:styleId="CommentSubjectChar">
    <w:name w:val="Comment Subject Char"/>
    <w:link w:val="CommentSubject"/>
    <w:rsid w:val="00D03212"/>
    <w:rPr>
      <w:b/>
      <w:bCs/>
    </w:rPr>
  </w:style>
  <w:style w:type="paragraph" w:customStyle="1" w:styleId="InfoSubject">
    <w:name w:val="Info: Subject"/>
    <w:basedOn w:val="Normal"/>
    <w:rsid w:val="00F57AF9"/>
    <w:pPr>
      <w:tabs>
        <w:tab w:val="right" w:pos="720"/>
        <w:tab w:val="left" w:pos="1080"/>
      </w:tabs>
    </w:pPr>
    <w:rPr>
      <w:b/>
      <w:sz w:val="22"/>
      <w:szCs w:val="20"/>
      <w:u w:val="single"/>
    </w:rPr>
  </w:style>
  <w:style w:type="paragraph" w:styleId="BodyText">
    <w:name w:val="Body Text"/>
    <w:basedOn w:val="Normal"/>
    <w:link w:val="BodyTextChar"/>
    <w:rsid w:val="009B6040"/>
    <w:pPr>
      <w:spacing w:after="120"/>
    </w:pPr>
  </w:style>
  <w:style w:type="character" w:customStyle="1" w:styleId="BodyTextChar">
    <w:name w:val="Body Text Char"/>
    <w:basedOn w:val="DefaultParagraphFont"/>
    <w:link w:val="BodyText"/>
    <w:rsid w:val="009B6040"/>
    <w:rPr>
      <w:sz w:val="24"/>
      <w:szCs w:val="24"/>
    </w:rPr>
  </w:style>
  <w:style w:type="paragraph" w:styleId="Header">
    <w:name w:val="header"/>
    <w:basedOn w:val="Normal"/>
    <w:link w:val="HeaderChar"/>
    <w:rsid w:val="00CC4750"/>
    <w:pPr>
      <w:tabs>
        <w:tab w:val="center" w:pos="4680"/>
        <w:tab w:val="right" w:pos="9360"/>
      </w:tabs>
    </w:pPr>
  </w:style>
  <w:style w:type="character" w:customStyle="1" w:styleId="HeaderChar">
    <w:name w:val="Header Char"/>
    <w:basedOn w:val="DefaultParagraphFont"/>
    <w:link w:val="Header"/>
    <w:rsid w:val="00CC4750"/>
    <w:rPr>
      <w:sz w:val="24"/>
      <w:szCs w:val="24"/>
    </w:rPr>
  </w:style>
  <w:style w:type="paragraph" w:styleId="Footer">
    <w:name w:val="footer"/>
    <w:basedOn w:val="Normal"/>
    <w:link w:val="FooterChar"/>
    <w:uiPriority w:val="99"/>
    <w:rsid w:val="00CC4750"/>
    <w:pPr>
      <w:tabs>
        <w:tab w:val="center" w:pos="4680"/>
        <w:tab w:val="right" w:pos="9360"/>
      </w:tabs>
    </w:pPr>
  </w:style>
  <w:style w:type="character" w:customStyle="1" w:styleId="FooterChar">
    <w:name w:val="Footer Char"/>
    <w:basedOn w:val="DefaultParagraphFont"/>
    <w:link w:val="Footer"/>
    <w:uiPriority w:val="99"/>
    <w:rsid w:val="00CC47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8975">
      <w:bodyDiv w:val="1"/>
      <w:marLeft w:val="0"/>
      <w:marRight w:val="0"/>
      <w:marTop w:val="0"/>
      <w:marBottom w:val="0"/>
      <w:divBdr>
        <w:top w:val="none" w:sz="0" w:space="0" w:color="auto"/>
        <w:left w:val="none" w:sz="0" w:space="0" w:color="auto"/>
        <w:bottom w:val="none" w:sz="0" w:space="0" w:color="auto"/>
        <w:right w:val="none" w:sz="0" w:space="0" w:color="auto"/>
      </w:divBdr>
    </w:div>
    <w:div w:id="19631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ic@worldbank.org" TargetMode="External"/><Relationship Id="rId4" Type="http://schemas.microsoft.com/office/2007/relationships/stylesWithEffects" Target="stylesWithEffects.xml"/><Relationship Id="rId9" Type="http://schemas.openxmlformats.org/officeDocument/2006/relationships/hyperlink" Target="mailto:avawda@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B528-2428-4595-BDC4-F24D7F20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2570</Words>
  <Characters>15358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17893</CharactersWithSpaces>
  <SharedDoc>false</SharedDoc>
  <HLinks>
    <vt:vector size="12" baseType="variant">
      <vt:variant>
        <vt:i4>1179696</vt:i4>
      </vt:variant>
      <vt:variant>
        <vt:i4>3</vt:i4>
      </vt:variant>
      <vt:variant>
        <vt:i4>0</vt:i4>
      </vt:variant>
      <vt:variant>
        <vt:i4>5</vt:i4>
      </vt:variant>
      <vt:variant>
        <vt:lpwstr>mailto:pic@worldbank.org</vt:lpwstr>
      </vt:variant>
      <vt:variant>
        <vt:lpwstr/>
      </vt:variant>
      <vt:variant>
        <vt:i4>1376302</vt:i4>
      </vt:variant>
      <vt:variant>
        <vt:i4>0</vt:i4>
      </vt:variant>
      <vt:variant>
        <vt:i4>0</vt:i4>
      </vt:variant>
      <vt:variant>
        <vt:i4>5</vt:i4>
      </vt:variant>
      <vt:variant>
        <vt:lpwstr>mailto:avawda@worldbank.org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Sandra X. Alborta</dc:creator>
  <cp:lastModifiedBy>Sandra X. Alborta</cp:lastModifiedBy>
  <cp:revision>2</cp:revision>
  <cp:lastPrinted>2003-05-02T14:42:00Z</cp:lastPrinted>
  <dcterms:created xsi:type="dcterms:W3CDTF">2014-10-07T12:43:00Z</dcterms:created>
  <dcterms:modified xsi:type="dcterms:W3CDTF">2014-10-07T12:43:00Z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AB6477</vt:lpwstr>
  </property>
  <property fmtid="{D5CDD505-2E9C-101B-9397-08002B2CF9AE}" pid="3" name="TEAMLEADER">
    <vt:lpwstr>Susan Opper</vt:lpwstr>
  </property>
</Properties>
</file>