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5FCA" w14:textId="77777777" w:rsidR="00115B18" w:rsidRPr="001520DB" w:rsidRDefault="00115B18" w:rsidP="00115B18">
      <w:pPr>
        <w:spacing w:after="240" w:line="240" w:lineRule="auto"/>
        <w:rPr>
          <w:rFonts w:cstheme="minorHAnsi"/>
          <w:sz w:val="24"/>
          <w:szCs w:val="24"/>
        </w:rPr>
      </w:pPr>
      <w:bookmarkStart w:id="0" w:name="_Hlk508293845"/>
      <w:bookmarkStart w:id="1" w:name="_GoBack"/>
      <w:bookmarkEnd w:id="0"/>
      <w:bookmarkEnd w:id="1"/>
    </w:p>
    <w:p w14:paraId="1E6BCC5F" w14:textId="77777777" w:rsidR="00115B18" w:rsidRDefault="00115B18" w:rsidP="00115B18">
      <w:pPr>
        <w:spacing w:after="240" w:line="240" w:lineRule="auto"/>
        <w:rPr>
          <w:rFonts w:cstheme="minorHAnsi"/>
          <w:sz w:val="48"/>
          <w:szCs w:val="48"/>
        </w:rPr>
      </w:pPr>
    </w:p>
    <w:p w14:paraId="288C1DAC" w14:textId="77777777" w:rsidR="00115B18" w:rsidRPr="009B5ADB" w:rsidRDefault="00115B18" w:rsidP="00115B18">
      <w:pPr>
        <w:spacing w:after="240" w:line="240" w:lineRule="auto"/>
        <w:rPr>
          <w:rFonts w:cstheme="minorHAnsi"/>
          <w:sz w:val="48"/>
          <w:szCs w:val="48"/>
        </w:rPr>
      </w:pPr>
      <w:r w:rsidRPr="009B5ADB">
        <w:rPr>
          <w:rFonts w:cstheme="minorHAnsi"/>
          <w:sz w:val="48"/>
          <w:szCs w:val="48"/>
        </w:rPr>
        <w:t>Romania</w:t>
      </w:r>
    </w:p>
    <w:p w14:paraId="225B1C10" w14:textId="77777777" w:rsidR="00115B18" w:rsidRPr="001520DB" w:rsidRDefault="00115B18" w:rsidP="00115B18">
      <w:pPr>
        <w:rPr>
          <w:rFonts w:cstheme="minorHAnsi"/>
          <w:sz w:val="48"/>
          <w:szCs w:val="48"/>
        </w:rPr>
      </w:pPr>
      <w:r w:rsidRPr="001520DB">
        <w:rPr>
          <w:rFonts w:cstheme="minorHAnsi"/>
          <w:sz w:val="48"/>
          <w:szCs w:val="48"/>
        </w:rPr>
        <w:t xml:space="preserve">Systematic Country Diagnostic </w:t>
      </w:r>
    </w:p>
    <w:p w14:paraId="1C505DB8" w14:textId="77777777" w:rsidR="00115B18" w:rsidRPr="0011686D" w:rsidRDefault="00115B18" w:rsidP="00115B18">
      <w:pPr>
        <w:spacing w:after="240" w:line="240" w:lineRule="auto"/>
        <w:rPr>
          <w:rFonts w:cstheme="minorHAnsi"/>
          <w:smallCaps/>
          <w:sz w:val="36"/>
          <w:szCs w:val="36"/>
        </w:rPr>
      </w:pPr>
      <w:r w:rsidRPr="0011686D">
        <w:rPr>
          <w:rFonts w:cstheme="minorHAnsi"/>
          <w:smallCaps/>
          <w:sz w:val="36"/>
          <w:szCs w:val="36"/>
        </w:rPr>
        <w:t>Background Note</w:t>
      </w:r>
    </w:p>
    <w:p w14:paraId="52280F65" w14:textId="0DBBDBED" w:rsidR="00115B18" w:rsidRPr="001520DB" w:rsidRDefault="00115B18" w:rsidP="00115B18">
      <w:pPr>
        <w:spacing w:after="240" w:line="240" w:lineRule="auto"/>
        <w:rPr>
          <w:rFonts w:cstheme="minorHAnsi"/>
          <w:sz w:val="36"/>
          <w:szCs w:val="36"/>
        </w:rPr>
      </w:pPr>
      <w:r>
        <w:rPr>
          <w:rFonts w:cstheme="minorHAnsi"/>
          <w:sz w:val="36"/>
          <w:szCs w:val="36"/>
        </w:rPr>
        <w:t>Migration</w:t>
      </w:r>
    </w:p>
    <w:p w14:paraId="65E36E54" w14:textId="77777777" w:rsidR="00115B18" w:rsidRPr="009B5ADB" w:rsidRDefault="00115B18" w:rsidP="00115B18">
      <w:pPr>
        <w:rPr>
          <w:rFonts w:cstheme="minorHAnsi"/>
          <w:b/>
          <w:smallCaps/>
          <w:sz w:val="32"/>
        </w:rPr>
      </w:pPr>
    </w:p>
    <w:p w14:paraId="610C8825" w14:textId="77777777" w:rsidR="00115B18" w:rsidRPr="009B5ADB" w:rsidRDefault="00115B18" w:rsidP="00115B18">
      <w:pPr>
        <w:rPr>
          <w:rFonts w:cstheme="minorHAnsi"/>
          <w:b/>
          <w:smallCaps/>
          <w:sz w:val="32"/>
        </w:rPr>
      </w:pPr>
    </w:p>
    <w:p w14:paraId="38CFE868" w14:textId="77777777" w:rsidR="00115B18" w:rsidRPr="001520DB" w:rsidRDefault="00115B18" w:rsidP="00115B18">
      <w:pPr>
        <w:spacing w:after="240"/>
        <w:rPr>
          <w:rFonts w:cstheme="minorHAnsi"/>
          <w:sz w:val="24"/>
          <w:szCs w:val="24"/>
        </w:rPr>
      </w:pPr>
      <w:r>
        <w:rPr>
          <w:rFonts w:cstheme="minorHAnsi"/>
          <w:sz w:val="24"/>
          <w:szCs w:val="24"/>
        </w:rPr>
        <w:t>June</w:t>
      </w:r>
      <w:r w:rsidRPr="001520DB">
        <w:rPr>
          <w:rFonts w:cstheme="minorHAnsi"/>
          <w:sz w:val="24"/>
          <w:szCs w:val="24"/>
        </w:rPr>
        <w:t xml:space="preserve"> 201</w:t>
      </w:r>
      <w:r>
        <w:rPr>
          <w:rFonts w:cstheme="minorHAnsi"/>
          <w:sz w:val="24"/>
          <w:szCs w:val="24"/>
        </w:rPr>
        <w:t>8</w:t>
      </w:r>
    </w:p>
    <w:p w14:paraId="1B13A604" w14:textId="77777777" w:rsidR="00115B18" w:rsidRPr="001520DB" w:rsidRDefault="00115B18" w:rsidP="00115B18">
      <w:pPr>
        <w:rPr>
          <w:rFonts w:cstheme="minorHAnsi"/>
          <w:b/>
          <w:smallCaps/>
          <w:sz w:val="24"/>
          <w:szCs w:val="24"/>
        </w:rPr>
      </w:pPr>
    </w:p>
    <w:p w14:paraId="5BD49ED3" w14:textId="77777777" w:rsidR="00115B18" w:rsidRPr="001D7572" w:rsidRDefault="00115B18" w:rsidP="00115B18">
      <w:pPr>
        <w:rPr>
          <w:b/>
          <w:smallCaps/>
          <w:sz w:val="32"/>
        </w:rPr>
      </w:pPr>
    </w:p>
    <w:p w14:paraId="06DDE769" w14:textId="77777777" w:rsidR="00115B18" w:rsidRDefault="00115B18" w:rsidP="00115B18">
      <w:pPr>
        <w:rPr>
          <w:b/>
          <w:smallCaps/>
          <w:sz w:val="24"/>
        </w:rPr>
      </w:pPr>
    </w:p>
    <w:p w14:paraId="0A036A0F" w14:textId="77777777" w:rsidR="00115B18" w:rsidRDefault="00115B18" w:rsidP="00115B18">
      <w:pPr>
        <w:jc w:val="center"/>
        <w:rPr>
          <w:b/>
          <w:smallCaps/>
          <w:sz w:val="24"/>
        </w:rPr>
      </w:pPr>
    </w:p>
    <w:p w14:paraId="40087CCB" w14:textId="77777777" w:rsidR="00115B18" w:rsidRDefault="00115B18" w:rsidP="00115B18">
      <w:pPr>
        <w:jc w:val="center"/>
        <w:rPr>
          <w:b/>
          <w:smallCaps/>
          <w:sz w:val="24"/>
        </w:rPr>
      </w:pPr>
    </w:p>
    <w:p w14:paraId="20A84C31" w14:textId="77777777" w:rsidR="00115B18" w:rsidRDefault="00115B18" w:rsidP="00115B18">
      <w:pPr>
        <w:rPr>
          <w:b/>
          <w:smallCaps/>
          <w:sz w:val="24"/>
        </w:rPr>
      </w:pPr>
    </w:p>
    <w:p w14:paraId="737FC279" w14:textId="77777777" w:rsidR="00115B18" w:rsidRDefault="00115B18" w:rsidP="00115B18">
      <w:pPr>
        <w:rPr>
          <w:b/>
          <w:smallCaps/>
          <w:sz w:val="24"/>
        </w:rPr>
      </w:pPr>
    </w:p>
    <w:p w14:paraId="07549186" w14:textId="77777777" w:rsidR="00115B18" w:rsidRDefault="00115B18" w:rsidP="00115B18">
      <w:pPr>
        <w:rPr>
          <w:b/>
          <w:smallCaps/>
          <w:sz w:val="24"/>
        </w:rPr>
      </w:pPr>
    </w:p>
    <w:p w14:paraId="525F7501" w14:textId="77777777" w:rsidR="00115B18" w:rsidRDefault="00115B18" w:rsidP="00115B18">
      <w:pPr>
        <w:rPr>
          <w:b/>
          <w:smallCaps/>
          <w:sz w:val="24"/>
        </w:rPr>
      </w:pPr>
    </w:p>
    <w:p w14:paraId="33189176" w14:textId="77777777" w:rsidR="00115B18" w:rsidRDefault="00115B18" w:rsidP="00115B18">
      <w:pPr>
        <w:rPr>
          <w:b/>
          <w:smallCaps/>
          <w:sz w:val="24"/>
        </w:rPr>
      </w:pPr>
    </w:p>
    <w:p w14:paraId="50913D80" w14:textId="77777777" w:rsidR="00115B18" w:rsidRDefault="00115B18" w:rsidP="00115B18">
      <w:pPr>
        <w:rPr>
          <w:b/>
          <w:smallCaps/>
          <w:sz w:val="24"/>
        </w:rPr>
      </w:pPr>
    </w:p>
    <w:p w14:paraId="6EF124F9" w14:textId="77777777" w:rsidR="00115B18" w:rsidRDefault="00115B18" w:rsidP="00115B18">
      <w:pPr>
        <w:rPr>
          <w:b/>
          <w:smallCaps/>
          <w:sz w:val="24"/>
        </w:rPr>
      </w:pPr>
      <w:r>
        <w:rPr>
          <w:noProof/>
        </w:rPr>
        <w:drawing>
          <wp:inline distT="0" distB="0" distL="0" distR="0" wp14:anchorId="21EB87A1" wp14:editId="63BEE123">
            <wp:extent cx="3426780" cy="685800"/>
            <wp:effectExtent l="0" t="0" r="2540" b="0"/>
            <wp:docPr id="40" name="Picture 40" descr="http://intresources.worldbank.org/INTGSDGRAPHICSMAPDESIGN/Resources/285524-1397514004752/9538203-1397514280071/9538213-1397568210656/9538691-1403014988123/WB-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5887" cy="687623"/>
                    </a:xfrm>
                    <a:prstGeom prst="rect">
                      <a:avLst/>
                    </a:prstGeom>
                    <a:noFill/>
                    <a:ln>
                      <a:noFill/>
                    </a:ln>
                  </pic:spPr>
                </pic:pic>
              </a:graphicData>
            </a:graphic>
          </wp:inline>
        </w:drawing>
      </w:r>
    </w:p>
    <w:p w14:paraId="34245D9E" w14:textId="77777777" w:rsidR="00115B18" w:rsidRDefault="00115B18" w:rsidP="00115B18">
      <w:pPr>
        <w:rPr>
          <w:sz w:val="24"/>
        </w:rPr>
      </w:pPr>
    </w:p>
    <w:p w14:paraId="7228454C" w14:textId="77777777" w:rsidR="00115B18" w:rsidRDefault="00115B18" w:rsidP="00115B18">
      <w:pPr>
        <w:rPr>
          <w:b/>
          <w:smallCaps/>
          <w:sz w:val="24"/>
        </w:rPr>
        <w:sectPr w:rsidR="00115B18">
          <w:footerReference w:type="default" r:id="rId12"/>
          <w:pgSz w:w="12240" w:h="15840"/>
          <w:pgMar w:top="1440" w:right="1440" w:bottom="1440" w:left="1440" w:header="720" w:footer="720" w:gutter="0"/>
          <w:cols w:space="720"/>
          <w:docGrid w:linePitch="360"/>
        </w:sectPr>
      </w:pPr>
    </w:p>
    <w:p w14:paraId="0CAC7728" w14:textId="77777777" w:rsidR="003445E8" w:rsidRDefault="003445E8" w:rsidP="003445E8">
      <w:pPr>
        <w:pStyle w:val="Heading1"/>
        <w:numPr>
          <w:ilvl w:val="0"/>
          <w:numId w:val="0"/>
        </w:numPr>
      </w:pPr>
      <w:bookmarkStart w:id="2" w:name="_Toc508360860"/>
      <w:bookmarkStart w:id="3" w:name="_Toc517083430"/>
      <w:bookmarkStart w:id="4" w:name="_Hlk516825798"/>
      <w:r>
        <w:lastRenderedPageBreak/>
        <w:t>Acknowledgments</w:t>
      </w:r>
      <w:bookmarkEnd w:id="2"/>
      <w:bookmarkEnd w:id="3"/>
    </w:p>
    <w:p w14:paraId="4F640056" w14:textId="402B5742" w:rsidR="003445E8" w:rsidRDefault="003445E8" w:rsidP="003445E8">
      <w:pPr>
        <w:rPr>
          <w:lang w:val="en-US"/>
        </w:rPr>
      </w:pPr>
      <w:r w:rsidRPr="00F56CE0">
        <w:rPr>
          <w:lang w:val="en-US"/>
        </w:rPr>
        <w:t xml:space="preserve">This note was prepared by </w:t>
      </w:r>
      <w:r>
        <w:rPr>
          <w:lang w:val="en-US"/>
        </w:rPr>
        <w:t>Andrei Dospinescu and Giuseppe Russo</w:t>
      </w:r>
      <w:r w:rsidRPr="00F56CE0">
        <w:rPr>
          <w:lang w:val="en-US"/>
        </w:rPr>
        <w:t>.</w:t>
      </w:r>
    </w:p>
    <w:p w14:paraId="27513749" w14:textId="4C1B8ED2" w:rsidR="003445E8" w:rsidRDefault="003445E8">
      <w:pPr>
        <w:rPr>
          <w:rFonts w:cstheme="minorHAnsi"/>
          <w:lang w:val="en-US"/>
        </w:rPr>
      </w:pPr>
      <w:r>
        <w:rPr>
          <w:rFonts w:cstheme="minorHAnsi"/>
          <w:lang w:val="en-US"/>
        </w:rPr>
        <w:br w:type="page"/>
      </w:r>
    </w:p>
    <w:sdt>
      <w:sdtPr>
        <w:rPr>
          <w:rFonts w:asciiTheme="minorHAnsi" w:eastAsiaTheme="minorHAnsi" w:hAnsiTheme="minorHAnsi" w:cstheme="minorHAnsi"/>
          <w:color w:val="auto"/>
          <w:sz w:val="22"/>
          <w:szCs w:val="22"/>
          <w:lang w:val="it-IT"/>
        </w:rPr>
        <w:id w:val="677086059"/>
        <w:docPartObj>
          <w:docPartGallery w:val="Table of Contents"/>
          <w:docPartUnique/>
        </w:docPartObj>
      </w:sdtPr>
      <w:sdtEndPr>
        <w:rPr>
          <w:b/>
          <w:bCs/>
          <w:noProof/>
        </w:rPr>
      </w:sdtEndPr>
      <w:sdtContent>
        <w:p w14:paraId="3FACCDB9" w14:textId="77777777" w:rsidR="00E15335" w:rsidRPr="00A47A2E" w:rsidRDefault="00E15335" w:rsidP="00E15335">
          <w:pPr>
            <w:pStyle w:val="TOCHeading"/>
            <w:numPr>
              <w:ilvl w:val="0"/>
              <w:numId w:val="0"/>
            </w:numPr>
            <w:rPr>
              <w:rFonts w:asciiTheme="minorHAnsi" w:hAnsiTheme="minorHAnsi" w:cstheme="minorHAnsi"/>
              <w:sz w:val="28"/>
              <w:szCs w:val="28"/>
            </w:rPr>
          </w:pPr>
          <w:r w:rsidRPr="00A47A2E">
            <w:rPr>
              <w:rFonts w:asciiTheme="minorHAnsi" w:hAnsiTheme="minorHAnsi" w:cstheme="minorHAnsi"/>
              <w:sz w:val="28"/>
              <w:szCs w:val="28"/>
            </w:rPr>
            <w:t>Contents</w:t>
          </w:r>
        </w:p>
        <w:p w14:paraId="5F7A59A8" w14:textId="6BEB1B61" w:rsidR="00AC5BA0" w:rsidRPr="00AC5BA0" w:rsidRDefault="00E15335">
          <w:pPr>
            <w:pStyle w:val="TOC1"/>
            <w:rPr>
              <w:rFonts w:eastAsiaTheme="minorEastAsia"/>
              <w:noProof/>
              <w:sz w:val="22"/>
              <w:szCs w:val="22"/>
              <w:lang w:val="en-US"/>
            </w:rPr>
          </w:pPr>
          <w:r w:rsidRPr="00774638">
            <w:rPr>
              <w:rFonts w:cstheme="minorHAnsi"/>
              <w:sz w:val="24"/>
              <w:szCs w:val="24"/>
              <w:lang w:val="en-US"/>
            </w:rPr>
            <w:fldChar w:fldCharType="begin"/>
          </w:r>
          <w:r w:rsidRPr="00774638">
            <w:rPr>
              <w:rFonts w:cstheme="minorHAnsi"/>
              <w:sz w:val="24"/>
              <w:szCs w:val="24"/>
              <w:lang w:val="en-US"/>
            </w:rPr>
            <w:instrText xml:space="preserve"> TOC \o "1-3" \h \z \u </w:instrText>
          </w:r>
          <w:r w:rsidRPr="00774638">
            <w:rPr>
              <w:rFonts w:cstheme="minorHAnsi"/>
              <w:sz w:val="24"/>
              <w:szCs w:val="24"/>
              <w:lang w:val="en-US"/>
            </w:rPr>
            <w:fldChar w:fldCharType="separate"/>
          </w:r>
          <w:hyperlink w:anchor="_Toc511308332" w:history="1">
            <w:r w:rsidR="00AC5BA0" w:rsidRPr="00774638">
              <w:rPr>
                <w:rStyle w:val="Hyperlink"/>
                <w:rFonts w:cstheme="minorHAnsi"/>
                <w:noProof/>
                <w:sz w:val="22"/>
                <w:szCs w:val="22"/>
                <w:lang w:val="en-US"/>
              </w:rPr>
              <w:t xml:space="preserve">Executive </w:t>
            </w:r>
            <w:r w:rsidR="005C79AD">
              <w:rPr>
                <w:rStyle w:val="Hyperlink"/>
                <w:rFonts w:cstheme="minorHAnsi"/>
                <w:noProof/>
                <w:sz w:val="22"/>
                <w:szCs w:val="22"/>
                <w:lang w:val="en-US"/>
              </w:rPr>
              <w:t>S</w:t>
            </w:r>
            <w:r w:rsidR="00AC5BA0" w:rsidRPr="00774638">
              <w:rPr>
                <w:rStyle w:val="Hyperlink"/>
                <w:rFonts w:cstheme="minorHAnsi"/>
                <w:noProof/>
                <w:sz w:val="22"/>
                <w:szCs w:val="22"/>
                <w:lang w:val="en-US"/>
              </w:rPr>
              <w:t>ummary</w:t>
            </w:r>
            <w:r w:rsidR="00AC5BA0" w:rsidRPr="00774638">
              <w:rPr>
                <w:noProof/>
                <w:webHidden/>
                <w:sz w:val="22"/>
                <w:szCs w:val="22"/>
              </w:rPr>
              <w:tab/>
            </w:r>
            <w:r w:rsidR="00AC5BA0" w:rsidRPr="00774638">
              <w:rPr>
                <w:noProof/>
                <w:webHidden/>
                <w:sz w:val="22"/>
                <w:szCs w:val="22"/>
              </w:rPr>
              <w:fldChar w:fldCharType="begin"/>
            </w:r>
            <w:r w:rsidR="00AC5BA0" w:rsidRPr="00774638">
              <w:rPr>
                <w:noProof/>
                <w:webHidden/>
                <w:sz w:val="22"/>
                <w:szCs w:val="22"/>
              </w:rPr>
              <w:instrText xml:space="preserve"> PAGEREF _Toc511308332 \h </w:instrText>
            </w:r>
            <w:r w:rsidR="00AC5BA0" w:rsidRPr="00774638">
              <w:rPr>
                <w:noProof/>
                <w:webHidden/>
                <w:sz w:val="22"/>
                <w:szCs w:val="22"/>
              </w:rPr>
            </w:r>
            <w:r w:rsidR="00AC5BA0" w:rsidRPr="00774638">
              <w:rPr>
                <w:noProof/>
                <w:webHidden/>
                <w:sz w:val="22"/>
                <w:szCs w:val="22"/>
              </w:rPr>
              <w:fldChar w:fldCharType="separate"/>
            </w:r>
            <w:r w:rsidR="003445E8">
              <w:rPr>
                <w:noProof/>
                <w:webHidden/>
                <w:sz w:val="22"/>
                <w:szCs w:val="22"/>
              </w:rPr>
              <w:t>4</w:t>
            </w:r>
            <w:r w:rsidR="00AC5BA0" w:rsidRPr="00774638">
              <w:rPr>
                <w:noProof/>
                <w:webHidden/>
                <w:sz w:val="22"/>
                <w:szCs w:val="22"/>
              </w:rPr>
              <w:fldChar w:fldCharType="end"/>
            </w:r>
          </w:hyperlink>
        </w:p>
        <w:p w14:paraId="73CE5965" w14:textId="7E85C0F9" w:rsidR="00AC5BA0" w:rsidRPr="00AC5BA0" w:rsidRDefault="00AE2A7A">
          <w:pPr>
            <w:pStyle w:val="TOC1"/>
            <w:rPr>
              <w:rFonts w:eastAsiaTheme="minorEastAsia"/>
              <w:noProof/>
              <w:sz w:val="22"/>
              <w:szCs w:val="22"/>
              <w:lang w:val="en-US"/>
            </w:rPr>
          </w:pPr>
          <w:hyperlink w:anchor="_Toc511308333" w:history="1">
            <w:r w:rsidR="00AC5BA0" w:rsidRPr="00774638">
              <w:rPr>
                <w:rStyle w:val="Hyperlink"/>
                <w:rFonts w:cstheme="minorHAnsi"/>
                <w:noProof/>
                <w:sz w:val="22"/>
                <w:szCs w:val="22"/>
                <w:lang w:val="en-US"/>
              </w:rPr>
              <w:t xml:space="preserve">Theoretical </w:t>
            </w:r>
            <w:r w:rsidR="005C79AD">
              <w:rPr>
                <w:rStyle w:val="Hyperlink"/>
                <w:rFonts w:cstheme="minorHAnsi"/>
                <w:noProof/>
                <w:sz w:val="22"/>
                <w:szCs w:val="22"/>
                <w:lang w:val="en-US"/>
              </w:rPr>
              <w:t>B</w:t>
            </w:r>
            <w:r w:rsidR="00AC5BA0" w:rsidRPr="00774638">
              <w:rPr>
                <w:rStyle w:val="Hyperlink"/>
                <w:rFonts w:cstheme="minorHAnsi"/>
                <w:noProof/>
                <w:sz w:val="22"/>
                <w:szCs w:val="22"/>
                <w:lang w:val="en-US"/>
              </w:rPr>
              <w:t>ackground</w:t>
            </w:r>
            <w:r w:rsidR="00AC5BA0" w:rsidRPr="00774638">
              <w:rPr>
                <w:noProof/>
                <w:webHidden/>
                <w:sz w:val="22"/>
                <w:szCs w:val="22"/>
              </w:rPr>
              <w:tab/>
            </w:r>
            <w:r w:rsidR="00AC5BA0" w:rsidRPr="00774638">
              <w:rPr>
                <w:noProof/>
                <w:webHidden/>
                <w:sz w:val="22"/>
                <w:szCs w:val="22"/>
              </w:rPr>
              <w:fldChar w:fldCharType="begin"/>
            </w:r>
            <w:r w:rsidR="00AC5BA0" w:rsidRPr="00774638">
              <w:rPr>
                <w:noProof/>
                <w:webHidden/>
                <w:sz w:val="22"/>
                <w:szCs w:val="22"/>
              </w:rPr>
              <w:instrText xml:space="preserve"> PAGEREF _Toc511308333 \h </w:instrText>
            </w:r>
            <w:r w:rsidR="00AC5BA0" w:rsidRPr="00774638">
              <w:rPr>
                <w:noProof/>
                <w:webHidden/>
                <w:sz w:val="22"/>
                <w:szCs w:val="22"/>
              </w:rPr>
            </w:r>
            <w:r w:rsidR="00AC5BA0" w:rsidRPr="00774638">
              <w:rPr>
                <w:noProof/>
                <w:webHidden/>
                <w:sz w:val="22"/>
                <w:szCs w:val="22"/>
              </w:rPr>
              <w:fldChar w:fldCharType="separate"/>
            </w:r>
            <w:r w:rsidR="003445E8">
              <w:rPr>
                <w:noProof/>
                <w:webHidden/>
                <w:sz w:val="22"/>
                <w:szCs w:val="22"/>
              </w:rPr>
              <w:t>5</w:t>
            </w:r>
            <w:r w:rsidR="00AC5BA0" w:rsidRPr="00774638">
              <w:rPr>
                <w:noProof/>
                <w:webHidden/>
                <w:sz w:val="22"/>
                <w:szCs w:val="22"/>
              </w:rPr>
              <w:fldChar w:fldCharType="end"/>
            </w:r>
          </w:hyperlink>
        </w:p>
        <w:p w14:paraId="4E486FF3" w14:textId="496D1C96" w:rsidR="00AC5BA0" w:rsidRPr="00AC5BA0" w:rsidRDefault="00AE2A7A">
          <w:pPr>
            <w:pStyle w:val="TOC1"/>
            <w:rPr>
              <w:rFonts w:eastAsiaTheme="minorEastAsia"/>
              <w:noProof/>
              <w:sz w:val="22"/>
              <w:szCs w:val="22"/>
              <w:lang w:val="en-US"/>
            </w:rPr>
          </w:pPr>
          <w:hyperlink w:anchor="_Toc511308334" w:history="1">
            <w:r w:rsidR="00AC5BA0" w:rsidRPr="00774638">
              <w:rPr>
                <w:rStyle w:val="Hyperlink"/>
                <w:rFonts w:cstheme="minorHAnsi"/>
                <w:noProof/>
                <w:sz w:val="22"/>
                <w:szCs w:val="22"/>
                <w:lang w:val="en-US"/>
              </w:rPr>
              <w:t>Emigration from Romania</w:t>
            </w:r>
            <w:r w:rsidR="00FB6BC6">
              <w:rPr>
                <w:rStyle w:val="Hyperlink"/>
                <w:rFonts w:cstheme="minorHAnsi"/>
                <w:noProof/>
                <w:sz w:val="22"/>
                <w:szCs w:val="22"/>
                <w:lang w:val="en-US"/>
              </w:rPr>
              <w:t xml:space="preserve">: </w:t>
            </w:r>
            <w:r w:rsidR="00AC5BA0" w:rsidRPr="00774638">
              <w:rPr>
                <w:rStyle w:val="Hyperlink"/>
                <w:rFonts w:cstheme="minorHAnsi"/>
                <w:noProof/>
                <w:sz w:val="22"/>
                <w:szCs w:val="22"/>
                <w:lang w:val="en-US"/>
              </w:rPr>
              <w:t>Challenges, Risks and Opportunities.</w:t>
            </w:r>
            <w:r w:rsidR="00AC5BA0" w:rsidRPr="00774638">
              <w:rPr>
                <w:noProof/>
                <w:webHidden/>
                <w:sz w:val="22"/>
                <w:szCs w:val="22"/>
              </w:rPr>
              <w:tab/>
            </w:r>
            <w:r w:rsidR="00AC5BA0" w:rsidRPr="00774638">
              <w:rPr>
                <w:noProof/>
                <w:webHidden/>
                <w:sz w:val="22"/>
                <w:szCs w:val="22"/>
              </w:rPr>
              <w:fldChar w:fldCharType="begin"/>
            </w:r>
            <w:r w:rsidR="00AC5BA0" w:rsidRPr="00774638">
              <w:rPr>
                <w:noProof/>
                <w:webHidden/>
                <w:sz w:val="22"/>
                <w:szCs w:val="22"/>
              </w:rPr>
              <w:instrText xml:space="preserve"> PAGEREF _Toc511308334 \h </w:instrText>
            </w:r>
            <w:r w:rsidR="00AC5BA0" w:rsidRPr="00774638">
              <w:rPr>
                <w:noProof/>
                <w:webHidden/>
                <w:sz w:val="22"/>
                <w:szCs w:val="22"/>
              </w:rPr>
            </w:r>
            <w:r w:rsidR="00AC5BA0" w:rsidRPr="00774638">
              <w:rPr>
                <w:noProof/>
                <w:webHidden/>
                <w:sz w:val="22"/>
                <w:szCs w:val="22"/>
              </w:rPr>
              <w:fldChar w:fldCharType="separate"/>
            </w:r>
            <w:r w:rsidR="003445E8">
              <w:rPr>
                <w:noProof/>
                <w:webHidden/>
                <w:sz w:val="22"/>
                <w:szCs w:val="22"/>
              </w:rPr>
              <w:t>7</w:t>
            </w:r>
            <w:r w:rsidR="00AC5BA0" w:rsidRPr="00774638">
              <w:rPr>
                <w:noProof/>
                <w:webHidden/>
                <w:sz w:val="22"/>
                <w:szCs w:val="22"/>
              </w:rPr>
              <w:fldChar w:fldCharType="end"/>
            </w:r>
          </w:hyperlink>
        </w:p>
        <w:p w14:paraId="4BFBABA5" w14:textId="507B6EFF" w:rsidR="00AC5BA0" w:rsidRPr="00AC5BA0" w:rsidRDefault="00AE2A7A">
          <w:pPr>
            <w:pStyle w:val="TOC2"/>
            <w:tabs>
              <w:tab w:val="right" w:leader="dot" w:pos="9725"/>
            </w:tabs>
            <w:rPr>
              <w:rFonts w:eastAsiaTheme="minorEastAsia"/>
              <w:noProof/>
              <w:lang w:val="en-US"/>
            </w:rPr>
          </w:pPr>
          <w:hyperlink w:anchor="_Toc511308335" w:history="1">
            <w:r w:rsidR="00AC5BA0" w:rsidRPr="00AC5BA0">
              <w:rPr>
                <w:rStyle w:val="Hyperlink"/>
                <w:noProof/>
                <w:lang w:val="en-US"/>
              </w:rPr>
              <w:t xml:space="preserve"> Is emigration negatively affecting potential growth?</w:t>
            </w:r>
            <w:r w:rsidR="00AC5BA0" w:rsidRPr="00AC5BA0">
              <w:rPr>
                <w:noProof/>
                <w:webHidden/>
              </w:rPr>
              <w:tab/>
            </w:r>
            <w:r w:rsidR="00AC5BA0" w:rsidRPr="00774638">
              <w:rPr>
                <w:noProof/>
                <w:webHidden/>
              </w:rPr>
              <w:fldChar w:fldCharType="begin"/>
            </w:r>
            <w:r w:rsidR="00AC5BA0" w:rsidRPr="00AC5BA0">
              <w:rPr>
                <w:noProof/>
                <w:webHidden/>
              </w:rPr>
              <w:instrText xml:space="preserve"> PAGEREF _Toc511308335 \h </w:instrText>
            </w:r>
            <w:r w:rsidR="00AC5BA0" w:rsidRPr="00774638">
              <w:rPr>
                <w:noProof/>
                <w:webHidden/>
              </w:rPr>
            </w:r>
            <w:r w:rsidR="00AC5BA0" w:rsidRPr="00774638">
              <w:rPr>
                <w:noProof/>
                <w:webHidden/>
              </w:rPr>
              <w:fldChar w:fldCharType="separate"/>
            </w:r>
            <w:r w:rsidR="003445E8">
              <w:rPr>
                <w:noProof/>
                <w:webHidden/>
              </w:rPr>
              <w:t>8</w:t>
            </w:r>
            <w:r w:rsidR="00AC5BA0" w:rsidRPr="00774638">
              <w:rPr>
                <w:noProof/>
                <w:webHidden/>
              </w:rPr>
              <w:fldChar w:fldCharType="end"/>
            </w:r>
          </w:hyperlink>
        </w:p>
        <w:p w14:paraId="10F4C823" w14:textId="72E95679" w:rsidR="00AC5BA0" w:rsidRPr="00AC5BA0" w:rsidRDefault="00444DB7">
          <w:pPr>
            <w:pStyle w:val="TOC2"/>
            <w:tabs>
              <w:tab w:val="right" w:leader="dot" w:pos="9725"/>
            </w:tabs>
            <w:rPr>
              <w:rFonts w:eastAsiaTheme="minorEastAsia"/>
              <w:noProof/>
              <w:lang w:val="en-US"/>
            </w:rPr>
          </w:pPr>
          <w:r>
            <w:rPr>
              <w:noProof/>
            </w:rPr>
            <w:t xml:space="preserve"> </w:t>
          </w:r>
          <w:hyperlink w:anchor="_Toc511308336" w:history="1">
            <w:r w:rsidR="00AC5BA0" w:rsidRPr="00AC5BA0">
              <w:rPr>
                <w:rStyle w:val="Hyperlink"/>
                <w:noProof/>
                <w:lang w:val="en-US"/>
              </w:rPr>
              <w:t>Social impact of emigration. Is there a generation left-behind?</w:t>
            </w:r>
            <w:r w:rsidR="00AC5BA0" w:rsidRPr="00AC5BA0">
              <w:rPr>
                <w:noProof/>
                <w:webHidden/>
              </w:rPr>
              <w:tab/>
            </w:r>
            <w:r w:rsidR="00AC5BA0" w:rsidRPr="00774638">
              <w:rPr>
                <w:noProof/>
                <w:webHidden/>
              </w:rPr>
              <w:fldChar w:fldCharType="begin"/>
            </w:r>
            <w:r w:rsidR="00AC5BA0" w:rsidRPr="00AC5BA0">
              <w:rPr>
                <w:noProof/>
                <w:webHidden/>
              </w:rPr>
              <w:instrText xml:space="preserve"> PAGEREF _Toc511308336 \h </w:instrText>
            </w:r>
            <w:r w:rsidR="00AC5BA0" w:rsidRPr="00774638">
              <w:rPr>
                <w:noProof/>
                <w:webHidden/>
              </w:rPr>
            </w:r>
            <w:r w:rsidR="00AC5BA0" w:rsidRPr="00774638">
              <w:rPr>
                <w:noProof/>
                <w:webHidden/>
              </w:rPr>
              <w:fldChar w:fldCharType="separate"/>
            </w:r>
            <w:r w:rsidR="003445E8">
              <w:rPr>
                <w:noProof/>
                <w:webHidden/>
              </w:rPr>
              <w:t>14</w:t>
            </w:r>
            <w:r w:rsidR="00AC5BA0" w:rsidRPr="00774638">
              <w:rPr>
                <w:noProof/>
                <w:webHidden/>
              </w:rPr>
              <w:fldChar w:fldCharType="end"/>
            </w:r>
          </w:hyperlink>
        </w:p>
        <w:p w14:paraId="19AEAF79" w14:textId="3C3D9559" w:rsidR="00AC5BA0" w:rsidRPr="00AC5BA0" w:rsidRDefault="00AE2A7A">
          <w:pPr>
            <w:pStyle w:val="TOC1"/>
            <w:rPr>
              <w:rFonts w:eastAsiaTheme="minorEastAsia"/>
              <w:noProof/>
              <w:sz w:val="22"/>
              <w:szCs w:val="22"/>
              <w:lang w:val="en-US"/>
            </w:rPr>
          </w:pPr>
          <w:hyperlink w:anchor="_Toc511308337" w:history="1">
            <w:r w:rsidR="00AC5BA0" w:rsidRPr="00774638">
              <w:rPr>
                <w:rStyle w:val="Hyperlink"/>
                <w:rFonts w:cstheme="minorHAnsi"/>
                <w:noProof/>
                <w:sz w:val="22"/>
                <w:szCs w:val="22"/>
                <w:lang w:val="en-US"/>
              </w:rPr>
              <w:t>Conclusions</w:t>
            </w:r>
            <w:r w:rsidR="00AC5BA0" w:rsidRPr="00774638">
              <w:rPr>
                <w:noProof/>
                <w:webHidden/>
                <w:sz w:val="22"/>
                <w:szCs w:val="22"/>
              </w:rPr>
              <w:tab/>
            </w:r>
            <w:r w:rsidR="00AC5BA0" w:rsidRPr="00774638">
              <w:rPr>
                <w:noProof/>
                <w:webHidden/>
                <w:sz w:val="22"/>
                <w:szCs w:val="22"/>
              </w:rPr>
              <w:fldChar w:fldCharType="begin"/>
            </w:r>
            <w:r w:rsidR="00AC5BA0" w:rsidRPr="00774638">
              <w:rPr>
                <w:noProof/>
                <w:webHidden/>
                <w:sz w:val="22"/>
                <w:szCs w:val="22"/>
              </w:rPr>
              <w:instrText xml:space="preserve"> PAGEREF _Toc511308337 \h </w:instrText>
            </w:r>
            <w:r w:rsidR="00AC5BA0" w:rsidRPr="00774638">
              <w:rPr>
                <w:noProof/>
                <w:webHidden/>
                <w:sz w:val="22"/>
                <w:szCs w:val="22"/>
              </w:rPr>
            </w:r>
            <w:r w:rsidR="00AC5BA0" w:rsidRPr="00774638">
              <w:rPr>
                <w:noProof/>
                <w:webHidden/>
                <w:sz w:val="22"/>
                <w:szCs w:val="22"/>
              </w:rPr>
              <w:fldChar w:fldCharType="separate"/>
            </w:r>
            <w:r w:rsidR="003445E8">
              <w:rPr>
                <w:noProof/>
                <w:webHidden/>
                <w:sz w:val="22"/>
                <w:szCs w:val="22"/>
              </w:rPr>
              <w:t>17</w:t>
            </w:r>
            <w:r w:rsidR="00AC5BA0" w:rsidRPr="00774638">
              <w:rPr>
                <w:noProof/>
                <w:webHidden/>
                <w:sz w:val="22"/>
                <w:szCs w:val="22"/>
              </w:rPr>
              <w:fldChar w:fldCharType="end"/>
            </w:r>
          </w:hyperlink>
        </w:p>
        <w:p w14:paraId="5D8E76BE" w14:textId="45A19031" w:rsidR="00AC5BA0" w:rsidRPr="00AC5BA0" w:rsidRDefault="00AE2A7A">
          <w:pPr>
            <w:pStyle w:val="TOC1"/>
            <w:rPr>
              <w:rFonts w:eastAsiaTheme="minorEastAsia"/>
              <w:noProof/>
              <w:sz w:val="22"/>
              <w:szCs w:val="22"/>
              <w:lang w:val="en-US"/>
            </w:rPr>
          </w:pPr>
          <w:hyperlink w:anchor="_Toc511308338" w:history="1">
            <w:r w:rsidR="00AC5BA0" w:rsidRPr="00774638">
              <w:rPr>
                <w:rStyle w:val="Hyperlink"/>
                <w:noProof/>
                <w:sz w:val="22"/>
                <w:szCs w:val="22"/>
              </w:rPr>
              <w:t>Annex 1. Key Romanian emigration trends and patterns between 1990 and 2017</w:t>
            </w:r>
            <w:r w:rsidR="00AC5BA0" w:rsidRPr="00774638">
              <w:rPr>
                <w:noProof/>
                <w:webHidden/>
                <w:sz w:val="22"/>
                <w:szCs w:val="22"/>
              </w:rPr>
              <w:tab/>
            </w:r>
            <w:r w:rsidR="00AC5BA0" w:rsidRPr="00774638">
              <w:rPr>
                <w:noProof/>
                <w:webHidden/>
                <w:sz w:val="22"/>
                <w:szCs w:val="22"/>
              </w:rPr>
              <w:fldChar w:fldCharType="begin"/>
            </w:r>
            <w:r w:rsidR="00AC5BA0" w:rsidRPr="00774638">
              <w:rPr>
                <w:noProof/>
                <w:webHidden/>
                <w:sz w:val="22"/>
                <w:szCs w:val="22"/>
              </w:rPr>
              <w:instrText xml:space="preserve"> PAGEREF _Toc511308338 \h </w:instrText>
            </w:r>
            <w:r w:rsidR="00AC5BA0" w:rsidRPr="00774638">
              <w:rPr>
                <w:noProof/>
                <w:webHidden/>
                <w:sz w:val="22"/>
                <w:szCs w:val="22"/>
              </w:rPr>
            </w:r>
            <w:r w:rsidR="00AC5BA0" w:rsidRPr="00774638">
              <w:rPr>
                <w:noProof/>
                <w:webHidden/>
                <w:sz w:val="22"/>
                <w:szCs w:val="22"/>
              </w:rPr>
              <w:fldChar w:fldCharType="separate"/>
            </w:r>
            <w:r w:rsidR="003445E8">
              <w:rPr>
                <w:noProof/>
                <w:webHidden/>
                <w:sz w:val="22"/>
                <w:szCs w:val="22"/>
              </w:rPr>
              <w:t>18</w:t>
            </w:r>
            <w:r w:rsidR="00AC5BA0" w:rsidRPr="00774638">
              <w:rPr>
                <w:noProof/>
                <w:webHidden/>
                <w:sz w:val="22"/>
                <w:szCs w:val="22"/>
              </w:rPr>
              <w:fldChar w:fldCharType="end"/>
            </w:r>
          </w:hyperlink>
        </w:p>
        <w:p w14:paraId="3D6E434C" w14:textId="51B7DB99" w:rsidR="00AC5BA0" w:rsidRPr="00AC5BA0" w:rsidRDefault="00AE2A7A">
          <w:pPr>
            <w:pStyle w:val="TOC1"/>
            <w:rPr>
              <w:rFonts w:eastAsiaTheme="minorEastAsia"/>
              <w:noProof/>
              <w:sz w:val="22"/>
              <w:szCs w:val="22"/>
              <w:lang w:val="en-US"/>
            </w:rPr>
          </w:pPr>
          <w:hyperlink w:anchor="_Toc511308339" w:history="1">
            <w:r w:rsidR="00AC5BA0" w:rsidRPr="00774638">
              <w:rPr>
                <w:rStyle w:val="Hyperlink"/>
                <w:rFonts w:cstheme="minorHAnsi"/>
                <w:noProof/>
                <w:sz w:val="22"/>
                <w:szCs w:val="22"/>
                <w:lang w:val="en-US"/>
              </w:rPr>
              <w:t>References</w:t>
            </w:r>
            <w:r w:rsidR="00AC5BA0" w:rsidRPr="00774638">
              <w:rPr>
                <w:noProof/>
                <w:webHidden/>
                <w:sz w:val="22"/>
                <w:szCs w:val="22"/>
              </w:rPr>
              <w:tab/>
            </w:r>
            <w:r w:rsidR="00AC5BA0" w:rsidRPr="00774638">
              <w:rPr>
                <w:noProof/>
                <w:webHidden/>
                <w:sz w:val="22"/>
                <w:szCs w:val="22"/>
              </w:rPr>
              <w:fldChar w:fldCharType="begin"/>
            </w:r>
            <w:r w:rsidR="00AC5BA0" w:rsidRPr="00774638">
              <w:rPr>
                <w:noProof/>
                <w:webHidden/>
                <w:sz w:val="22"/>
                <w:szCs w:val="22"/>
              </w:rPr>
              <w:instrText xml:space="preserve"> PAGEREF _Toc511308339 \h </w:instrText>
            </w:r>
            <w:r w:rsidR="00AC5BA0" w:rsidRPr="00774638">
              <w:rPr>
                <w:noProof/>
                <w:webHidden/>
                <w:sz w:val="22"/>
                <w:szCs w:val="22"/>
              </w:rPr>
            </w:r>
            <w:r w:rsidR="00AC5BA0" w:rsidRPr="00774638">
              <w:rPr>
                <w:noProof/>
                <w:webHidden/>
                <w:sz w:val="22"/>
                <w:szCs w:val="22"/>
              </w:rPr>
              <w:fldChar w:fldCharType="separate"/>
            </w:r>
            <w:r w:rsidR="003445E8">
              <w:rPr>
                <w:noProof/>
                <w:webHidden/>
                <w:sz w:val="22"/>
                <w:szCs w:val="22"/>
              </w:rPr>
              <w:t>19</w:t>
            </w:r>
            <w:r w:rsidR="00AC5BA0" w:rsidRPr="00774638">
              <w:rPr>
                <w:noProof/>
                <w:webHidden/>
                <w:sz w:val="22"/>
                <w:szCs w:val="22"/>
              </w:rPr>
              <w:fldChar w:fldCharType="end"/>
            </w:r>
          </w:hyperlink>
        </w:p>
        <w:p w14:paraId="2C9F998C" w14:textId="77777777" w:rsidR="00CE308A" w:rsidRPr="00A47A2E" w:rsidRDefault="00E15335" w:rsidP="00CE308A">
          <w:pPr>
            <w:rPr>
              <w:rStyle w:val="IntenseReference"/>
              <w:rFonts w:cstheme="minorHAnsi"/>
              <w:b w:val="0"/>
              <w:bCs w:val="0"/>
              <w:smallCaps w:val="0"/>
              <w:color w:val="auto"/>
              <w:spacing w:val="0"/>
              <w:lang w:val="en-US"/>
            </w:rPr>
          </w:pPr>
          <w:r w:rsidRPr="00774638">
            <w:rPr>
              <w:rFonts w:cstheme="minorHAnsi"/>
              <w:b/>
              <w:bCs/>
              <w:noProof/>
              <w:sz w:val="24"/>
              <w:szCs w:val="24"/>
              <w:lang w:val="en-US"/>
            </w:rPr>
            <w:fldChar w:fldCharType="end"/>
          </w:r>
        </w:p>
      </w:sdtContent>
    </w:sdt>
    <w:bookmarkStart w:id="5" w:name="_Toc494568237" w:displacedByCustomXml="prev"/>
    <w:p w14:paraId="01D26BE0" w14:textId="77777777" w:rsidR="009A64D9" w:rsidRPr="00A47A2E" w:rsidRDefault="00CE308A" w:rsidP="00CE308A">
      <w:pPr>
        <w:rPr>
          <w:noProof/>
          <w:sz w:val="20"/>
          <w:szCs w:val="20"/>
          <w:lang w:val="en-US"/>
        </w:rPr>
      </w:pPr>
      <w:r w:rsidRPr="00A47A2E">
        <w:rPr>
          <w:color w:val="2E74B5" w:themeColor="accent1" w:themeShade="BF"/>
          <w:sz w:val="28"/>
          <w:szCs w:val="28"/>
          <w:lang w:val="en-US"/>
        </w:rPr>
        <w:t>Box</w:t>
      </w:r>
      <w:r w:rsidR="00EE2CED">
        <w:rPr>
          <w:color w:val="2E74B5" w:themeColor="accent1" w:themeShade="BF"/>
          <w:sz w:val="28"/>
          <w:szCs w:val="28"/>
          <w:lang w:val="en-US"/>
        </w:rPr>
        <w:t>es</w:t>
      </w:r>
      <w:r w:rsidR="00C814FF" w:rsidRPr="00A47A2E">
        <w:rPr>
          <w:rStyle w:val="IntenseReference"/>
          <w:color w:val="2E74B5" w:themeColor="accent1" w:themeShade="BF"/>
          <w:sz w:val="28"/>
          <w:szCs w:val="28"/>
          <w:lang w:val="en-US"/>
        </w:rPr>
        <w:fldChar w:fldCharType="begin"/>
      </w:r>
      <w:r w:rsidR="00C814FF" w:rsidRPr="00A47A2E">
        <w:rPr>
          <w:rStyle w:val="IntenseReference"/>
          <w:color w:val="2E74B5" w:themeColor="accent1" w:themeShade="BF"/>
          <w:sz w:val="28"/>
          <w:szCs w:val="28"/>
          <w:lang w:val="en-US"/>
        </w:rPr>
        <w:instrText xml:space="preserve"> TOC \h \z \c "Box" </w:instrText>
      </w:r>
      <w:r w:rsidR="00C814FF" w:rsidRPr="00A47A2E">
        <w:rPr>
          <w:rStyle w:val="IntenseReference"/>
          <w:color w:val="2E74B5" w:themeColor="accent1" w:themeShade="BF"/>
          <w:sz w:val="28"/>
          <w:szCs w:val="28"/>
          <w:lang w:val="en-US"/>
        </w:rPr>
        <w:fldChar w:fldCharType="separate"/>
      </w:r>
    </w:p>
    <w:p w14:paraId="008125F4" w14:textId="53062D28" w:rsidR="009A64D9" w:rsidRPr="00A47A2E" w:rsidRDefault="00AE2A7A">
      <w:pPr>
        <w:pStyle w:val="TableofFigures"/>
        <w:tabs>
          <w:tab w:val="right" w:leader="dot" w:pos="9725"/>
        </w:tabs>
        <w:rPr>
          <w:rFonts w:eastAsiaTheme="minorEastAsia"/>
          <w:noProof/>
          <w:szCs w:val="20"/>
          <w:lang w:val="en-US"/>
        </w:rPr>
      </w:pPr>
      <w:hyperlink w:anchor="_Toc501133475" w:history="1">
        <w:r w:rsidR="009A64D9" w:rsidRPr="00A47A2E">
          <w:rPr>
            <w:rStyle w:val="Hyperlink"/>
            <w:noProof/>
            <w:szCs w:val="20"/>
            <w:lang w:val="en-US"/>
          </w:rPr>
          <w:t>Box 1. High-skilled migration</w:t>
        </w:r>
        <w:r w:rsidR="005C79AD">
          <w:rPr>
            <w:rStyle w:val="Hyperlink"/>
            <w:noProof/>
            <w:szCs w:val="20"/>
            <w:lang w:val="en-US"/>
          </w:rPr>
          <w:t>:</w:t>
        </w:r>
        <w:r w:rsidR="009A64D9" w:rsidRPr="00A47A2E">
          <w:rPr>
            <w:rStyle w:val="Hyperlink"/>
            <w:noProof/>
            <w:szCs w:val="20"/>
            <w:lang w:val="en-US"/>
          </w:rPr>
          <w:t xml:space="preserve"> The case of Romanian physicians</w:t>
        </w:r>
        <w:r w:rsidR="009A64D9" w:rsidRPr="00A47A2E">
          <w:rPr>
            <w:noProof/>
            <w:webHidden/>
            <w:szCs w:val="20"/>
            <w:lang w:val="en-US"/>
          </w:rPr>
          <w:tab/>
        </w:r>
        <w:r w:rsidR="009A64D9" w:rsidRPr="00A47A2E">
          <w:rPr>
            <w:noProof/>
            <w:webHidden/>
            <w:szCs w:val="20"/>
            <w:lang w:val="en-US"/>
          </w:rPr>
          <w:fldChar w:fldCharType="begin"/>
        </w:r>
        <w:r w:rsidR="009A64D9" w:rsidRPr="00A47A2E">
          <w:rPr>
            <w:noProof/>
            <w:webHidden/>
            <w:szCs w:val="20"/>
            <w:lang w:val="en-US"/>
          </w:rPr>
          <w:instrText xml:space="preserve"> PAGEREF _Toc501133475 \h </w:instrText>
        </w:r>
        <w:r w:rsidR="009A64D9" w:rsidRPr="00A47A2E">
          <w:rPr>
            <w:noProof/>
            <w:webHidden/>
            <w:szCs w:val="20"/>
            <w:lang w:val="en-US"/>
          </w:rPr>
        </w:r>
        <w:r w:rsidR="009A64D9" w:rsidRPr="00A47A2E">
          <w:rPr>
            <w:noProof/>
            <w:webHidden/>
            <w:szCs w:val="20"/>
            <w:lang w:val="en-US"/>
          </w:rPr>
          <w:fldChar w:fldCharType="separate"/>
        </w:r>
        <w:r w:rsidR="003445E8">
          <w:rPr>
            <w:noProof/>
            <w:webHidden/>
            <w:szCs w:val="20"/>
            <w:lang w:val="en-US"/>
          </w:rPr>
          <w:t>10</w:t>
        </w:r>
        <w:r w:rsidR="009A64D9" w:rsidRPr="00A47A2E">
          <w:rPr>
            <w:noProof/>
            <w:webHidden/>
            <w:szCs w:val="20"/>
            <w:lang w:val="en-US"/>
          </w:rPr>
          <w:fldChar w:fldCharType="end"/>
        </w:r>
      </w:hyperlink>
    </w:p>
    <w:p w14:paraId="7599B03F" w14:textId="7206B946" w:rsidR="009A64D9" w:rsidRPr="00A47A2E" w:rsidRDefault="00AE2A7A">
      <w:pPr>
        <w:pStyle w:val="TableofFigures"/>
        <w:tabs>
          <w:tab w:val="right" w:leader="dot" w:pos="9725"/>
        </w:tabs>
        <w:rPr>
          <w:rFonts w:eastAsiaTheme="minorEastAsia"/>
          <w:noProof/>
          <w:sz w:val="22"/>
          <w:szCs w:val="22"/>
          <w:lang w:val="en-US"/>
        </w:rPr>
      </w:pPr>
      <w:hyperlink w:anchor="_Toc501133476" w:history="1">
        <w:r w:rsidR="009A64D9" w:rsidRPr="00A47A2E">
          <w:rPr>
            <w:rStyle w:val="Hyperlink"/>
            <w:noProof/>
            <w:szCs w:val="20"/>
            <w:lang w:val="en-US"/>
          </w:rPr>
          <w:t>Box 2.</w:t>
        </w:r>
        <w:r w:rsidR="009A64D9" w:rsidRPr="00A47A2E">
          <w:rPr>
            <w:rStyle w:val="Hyperlink"/>
            <w:rFonts w:cstheme="minorHAnsi"/>
            <w:noProof/>
            <w:szCs w:val="20"/>
            <w:lang w:val="en-US"/>
          </w:rPr>
          <w:t xml:space="preserve"> </w:t>
        </w:r>
        <w:r w:rsidR="009A64D9" w:rsidRPr="00A47A2E">
          <w:rPr>
            <w:rStyle w:val="Hyperlink"/>
            <w:noProof/>
            <w:szCs w:val="20"/>
            <w:lang w:val="en-US"/>
          </w:rPr>
          <w:t>What motivates the return of high-skilled labor force?</w:t>
        </w:r>
        <w:r w:rsidR="009A64D9" w:rsidRPr="00A47A2E">
          <w:rPr>
            <w:noProof/>
            <w:webHidden/>
            <w:szCs w:val="20"/>
            <w:lang w:val="en-US"/>
          </w:rPr>
          <w:tab/>
        </w:r>
        <w:r w:rsidR="009A64D9" w:rsidRPr="00A47A2E">
          <w:rPr>
            <w:noProof/>
            <w:webHidden/>
            <w:szCs w:val="20"/>
            <w:lang w:val="en-US"/>
          </w:rPr>
          <w:fldChar w:fldCharType="begin"/>
        </w:r>
        <w:r w:rsidR="009A64D9" w:rsidRPr="00A47A2E">
          <w:rPr>
            <w:noProof/>
            <w:webHidden/>
            <w:szCs w:val="20"/>
            <w:lang w:val="en-US"/>
          </w:rPr>
          <w:instrText xml:space="preserve"> PAGEREF _Toc501133476 \h </w:instrText>
        </w:r>
        <w:r w:rsidR="009A64D9" w:rsidRPr="00A47A2E">
          <w:rPr>
            <w:noProof/>
            <w:webHidden/>
            <w:szCs w:val="20"/>
            <w:lang w:val="en-US"/>
          </w:rPr>
        </w:r>
        <w:r w:rsidR="009A64D9" w:rsidRPr="00A47A2E">
          <w:rPr>
            <w:noProof/>
            <w:webHidden/>
            <w:szCs w:val="20"/>
            <w:lang w:val="en-US"/>
          </w:rPr>
          <w:fldChar w:fldCharType="separate"/>
        </w:r>
        <w:r w:rsidR="003445E8">
          <w:rPr>
            <w:noProof/>
            <w:webHidden/>
            <w:szCs w:val="20"/>
            <w:lang w:val="en-US"/>
          </w:rPr>
          <w:t>12</w:t>
        </w:r>
        <w:r w:rsidR="009A64D9" w:rsidRPr="00A47A2E">
          <w:rPr>
            <w:noProof/>
            <w:webHidden/>
            <w:szCs w:val="20"/>
            <w:lang w:val="en-US"/>
          </w:rPr>
          <w:fldChar w:fldCharType="end"/>
        </w:r>
      </w:hyperlink>
    </w:p>
    <w:p w14:paraId="240B50FA" w14:textId="77777777" w:rsidR="00E15335" w:rsidRPr="00A47A2E" w:rsidRDefault="00C814FF" w:rsidP="004755C6">
      <w:pPr>
        <w:pStyle w:val="TOC1"/>
        <w:rPr>
          <w:lang w:val="en-US"/>
        </w:rPr>
      </w:pPr>
      <w:r w:rsidRPr="00A47A2E">
        <w:rPr>
          <w:rStyle w:val="IntenseReference"/>
          <w:color w:val="2E74B5" w:themeColor="accent1" w:themeShade="BF"/>
          <w:sz w:val="32"/>
          <w:lang w:val="en-US"/>
        </w:rPr>
        <w:fldChar w:fldCharType="end"/>
      </w:r>
      <w:bookmarkEnd w:id="5"/>
    </w:p>
    <w:p w14:paraId="612E4370" w14:textId="77777777" w:rsidR="00C814FF" w:rsidRPr="00A47A2E" w:rsidRDefault="00CE308A" w:rsidP="004755C6">
      <w:pPr>
        <w:pStyle w:val="TOC1"/>
        <w:rPr>
          <w:color w:val="2E74B5" w:themeColor="accent1" w:themeShade="BF"/>
          <w:lang w:val="en-US"/>
        </w:rPr>
      </w:pPr>
      <w:r w:rsidRPr="00A47A2E">
        <w:rPr>
          <w:color w:val="2E74B5" w:themeColor="accent1" w:themeShade="BF"/>
          <w:lang w:val="en-US"/>
        </w:rPr>
        <w:t xml:space="preserve">Figures </w:t>
      </w:r>
    </w:p>
    <w:p w14:paraId="78F41CC9" w14:textId="192813A3" w:rsidR="000B768F" w:rsidRDefault="00E15335" w:rsidP="00242B25">
      <w:pPr>
        <w:pStyle w:val="TableofFigures"/>
        <w:tabs>
          <w:tab w:val="right" w:leader="dot" w:pos="9725"/>
        </w:tabs>
        <w:jc w:val="both"/>
        <w:rPr>
          <w:rFonts w:eastAsiaTheme="minorEastAsia"/>
          <w:noProof/>
          <w:sz w:val="22"/>
          <w:szCs w:val="22"/>
          <w:lang w:val="en-US"/>
        </w:rPr>
      </w:pPr>
      <w:r w:rsidRPr="00A47A2E">
        <w:rPr>
          <w:rFonts w:cstheme="minorHAnsi"/>
          <w:sz w:val="22"/>
          <w:szCs w:val="22"/>
          <w:lang w:val="en-US"/>
        </w:rPr>
        <w:fldChar w:fldCharType="begin"/>
      </w:r>
      <w:r w:rsidRPr="00A47A2E">
        <w:rPr>
          <w:rFonts w:cstheme="minorHAnsi"/>
          <w:sz w:val="22"/>
          <w:szCs w:val="22"/>
          <w:lang w:val="en-US"/>
        </w:rPr>
        <w:instrText xml:space="preserve"> TOC \h \z \c "Figure" </w:instrText>
      </w:r>
      <w:r w:rsidRPr="00A47A2E">
        <w:rPr>
          <w:rFonts w:cstheme="minorHAnsi"/>
          <w:sz w:val="22"/>
          <w:szCs w:val="22"/>
          <w:lang w:val="en-US"/>
        </w:rPr>
        <w:fldChar w:fldCharType="separate"/>
      </w:r>
      <w:hyperlink w:anchor="_Toc511409137" w:history="1">
        <w:r w:rsidR="000B768F" w:rsidRPr="008B1D99">
          <w:rPr>
            <w:rStyle w:val="Hyperlink"/>
            <w:noProof/>
            <w:lang w:val="en-US"/>
          </w:rPr>
          <w:t xml:space="preserve">Figure 1. </w:t>
        </w:r>
        <w:r w:rsidR="000B768F" w:rsidRPr="008B1D99">
          <w:rPr>
            <w:rStyle w:val="Hyperlink"/>
            <w:rFonts w:cstheme="minorHAnsi"/>
            <w:noProof/>
            <w:lang w:val="en-US"/>
          </w:rPr>
          <w:t>Top countries of destination (2017)</w:t>
        </w:r>
        <w:r w:rsidR="000B768F">
          <w:rPr>
            <w:noProof/>
            <w:webHidden/>
          </w:rPr>
          <w:tab/>
        </w:r>
        <w:r w:rsidR="000B768F">
          <w:rPr>
            <w:noProof/>
            <w:webHidden/>
          </w:rPr>
          <w:fldChar w:fldCharType="begin"/>
        </w:r>
        <w:r w:rsidR="000B768F">
          <w:rPr>
            <w:noProof/>
            <w:webHidden/>
          </w:rPr>
          <w:instrText xml:space="preserve"> PAGEREF _Toc511409137 \h </w:instrText>
        </w:r>
        <w:r w:rsidR="000B768F">
          <w:rPr>
            <w:noProof/>
            <w:webHidden/>
          </w:rPr>
        </w:r>
        <w:r w:rsidR="000B768F">
          <w:rPr>
            <w:noProof/>
            <w:webHidden/>
          </w:rPr>
          <w:fldChar w:fldCharType="separate"/>
        </w:r>
        <w:r w:rsidR="003445E8">
          <w:rPr>
            <w:noProof/>
            <w:webHidden/>
          </w:rPr>
          <w:t>7</w:t>
        </w:r>
        <w:r w:rsidR="000B768F">
          <w:rPr>
            <w:noProof/>
            <w:webHidden/>
          </w:rPr>
          <w:fldChar w:fldCharType="end"/>
        </w:r>
      </w:hyperlink>
    </w:p>
    <w:p w14:paraId="48015629" w14:textId="22CCB839" w:rsidR="000B768F" w:rsidRDefault="00AE2A7A" w:rsidP="00242B25">
      <w:pPr>
        <w:pStyle w:val="TableofFigures"/>
        <w:tabs>
          <w:tab w:val="right" w:leader="dot" w:pos="9725"/>
        </w:tabs>
        <w:jc w:val="both"/>
        <w:rPr>
          <w:rFonts w:eastAsiaTheme="minorEastAsia"/>
          <w:noProof/>
          <w:sz w:val="22"/>
          <w:szCs w:val="22"/>
          <w:lang w:val="en-US"/>
        </w:rPr>
      </w:pPr>
      <w:hyperlink w:anchor="_Toc511409138" w:history="1">
        <w:r w:rsidR="000B768F" w:rsidRPr="008B1D99">
          <w:rPr>
            <w:rStyle w:val="Hyperlink"/>
            <w:noProof/>
            <w:lang w:val="en-US"/>
          </w:rPr>
          <w:t xml:space="preserve">Figure 2. </w:t>
        </w:r>
        <w:r w:rsidR="000B768F" w:rsidRPr="008B1D99">
          <w:rPr>
            <w:rStyle w:val="Hyperlink"/>
            <w:rFonts w:cstheme="minorHAnsi"/>
            <w:noProof/>
            <w:lang w:val="en-US"/>
          </w:rPr>
          <w:t>Romanian population decline vs Migration outflows (2000 vs 2017)</w:t>
        </w:r>
        <w:r w:rsidR="000B768F">
          <w:rPr>
            <w:noProof/>
            <w:webHidden/>
          </w:rPr>
          <w:tab/>
        </w:r>
        <w:r w:rsidR="000B768F">
          <w:rPr>
            <w:noProof/>
            <w:webHidden/>
          </w:rPr>
          <w:fldChar w:fldCharType="begin"/>
        </w:r>
        <w:r w:rsidR="000B768F">
          <w:rPr>
            <w:noProof/>
            <w:webHidden/>
          </w:rPr>
          <w:instrText xml:space="preserve"> PAGEREF _Toc511409138 \h </w:instrText>
        </w:r>
        <w:r w:rsidR="000B768F">
          <w:rPr>
            <w:noProof/>
            <w:webHidden/>
          </w:rPr>
        </w:r>
        <w:r w:rsidR="000B768F">
          <w:rPr>
            <w:noProof/>
            <w:webHidden/>
          </w:rPr>
          <w:fldChar w:fldCharType="separate"/>
        </w:r>
        <w:r w:rsidR="003445E8">
          <w:rPr>
            <w:noProof/>
            <w:webHidden/>
          </w:rPr>
          <w:t>7</w:t>
        </w:r>
        <w:r w:rsidR="000B768F">
          <w:rPr>
            <w:noProof/>
            <w:webHidden/>
          </w:rPr>
          <w:fldChar w:fldCharType="end"/>
        </w:r>
      </w:hyperlink>
    </w:p>
    <w:p w14:paraId="76534892" w14:textId="6DB10580" w:rsidR="000B768F" w:rsidRDefault="00AE2A7A" w:rsidP="00242B25">
      <w:pPr>
        <w:pStyle w:val="TableofFigures"/>
        <w:tabs>
          <w:tab w:val="right" w:leader="dot" w:pos="9725"/>
        </w:tabs>
        <w:jc w:val="both"/>
        <w:rPr>
          <w:rFonts w:eastAsiaTheme="minorEastAsia"/>
          <w:noProof/>
          <w:sz w:val="22"/>
          <w:szCs w:val="22"/>
          <w:lang w:val="en-US"/>
        </w:rPr>
      </w:pPr>
      <w:hyperlink w:anchor="_Toc511409139" w:history="1">
        <w:r w:rsidR="000B768F" w:rsidRPr="008B1D99">
          <w:rPr>
            <w:rStyle w:val="Hyperlink"/>
            <w:noProof/>
            <w:lang w:val="en-US"/>
          </w:rPr>
          <w:t xml:space="preserve">Figure 3. </w:t>
        </w:r>
        <w:r w:rsidR="000B768F" w:rsidRPr="008B1D99">
          <w:rPr>
            <w:rStyle w:val="Hyperlink"/>
            <w:rFonts w:cstheme="minorHAnsi"/>
            <w:noProof/>
            <w:lang w:val="en-US"/>
          </w:rPr>
          <w:t>Romanian migration to Europe</w:t>
        </w:r>
        <w:r w:rsidR="000B768F">
          <w:rPr>
            <w:noProof/>
            <w:webHidden/>
          </w:rPr>
          <w:tab/>
        </w:r>
        <w:r w:rsidR="000B768F">
          <w:rPr>
            <w:noProof/>
            <w:webHidden/>
          </w:rPr>
          <w:fldChar w:fldCharType="begin"/>
        </w:r>
        <w:r w:rsidR="000B768F">
          <w:rPr>
            <w:noProof/>
            <w:webHidden/>
          </w:rPr>
          <w:instrText xml:space="preserve"> PAGEREF _Toc511409139 \h </w:instrText>
        </w:r>
        <w:r w:rsidR="000B768F">
          <w:rPr>
            <w:noProof/>
            <w:webHidden/>
          </w:rPr>
        </w:r>
        <w:r w:rsidR="000B768F">
          <w:rPr>
            <w:noProof/>
            <w:webHidden/>
          </w:rPr>
          <w:fldChar w:fldCharType="separate"/>
        </w:r>
        <w:r w:rsidR="003445E8">
          <w:rPr>
            <w:noProof/>
            <w:webHidden/>
          </w:rPr>
          <w:t>8</w:t>
        </w:r>
        <w:r w:rsidR="000B768F">
          <w:rPr>
            <w:noProof/>
            <w:webHidden/>
          </w:rPr>
          <w:fldChar w:fldCharType="end"/>
        </w:r>
      </w:hyperlink>
    </w:p>
    <w:p w14:paraId="7413F588" w14:textId="3F440D7A" w:rsidR="000B768F" w:rsidRDefault="00AE2A7A" w:rsidP="00242B25">
      <w:pPr>
        <w:pStyle w:val="TableofFigures"/>
        <w:tabs>
          <w:tab w:val="right" w:leader="dot" w:pos="9725"/>
        </w:tabs>
        <w:jc w:val="both"/>
        <w:rPr>
          <w:rFonts w:eastAsiaTheme="minorEastAsia"/>
          <w:noProof/>
          <w:sz w:val="22"/>
          <w:szCs w:val="22"/>
          <w:lang w:val="en-US"/>
        </w:rPr>
      </w:pPr>
      <w:hyperlink w:anchor="_Toc511409140" w:history="1">
        <w:r w:rsidR="000B768F" w:rsidRPr="008B1D99">
          <w:rPr>
            <w:rStyle w:val="Hyperlink"/>
            <w:noProof/>
            <w:lang w:val="en-US"/>
          </w:rPr>
          <w:t xml:space="preserve">Figure 4. </w:t>
        </w:r>
        <w:r w:rsidR="000B768F" w:rsidRPr="008B1D99">
          <w:rPr>
            <w:rStyle w:val="Hyperlink"/>
            <w:rFonts w:cstheme="minorHAnsi"/>
            <w:noProof/>
            <w:lang w:val="en-US"/>
          </w:rPr>
          <w:t>Top ten bilateral migration corridors of international migration 2000</w:t>
        </w:r>
        <w:r w:rsidR="005C79AD">
          <w:rPr>
            <w:rStyle w:val="Hyperlink"/>
            <w:rFonts w:cstheme="minorHAnsi"/>
            <w:noProof/>
            <w:lang w:val="en-US"/>
          </w:rPr>
          <w:t>–</w:t>
        </w:r>
        <w:r w:rsidR="000B768F" w:rsidRPr="008B1D99">
          <w:rPr>
            <w:rStyle w:val="Hyperlink"/>
            <w:rFonts w:cstheme="minorHAnsi"/>
            <w:noProof/>
            <w:lang w:val="en-US"/>
          </w:rPr>
          <w:t xml:space="preserve">2010 </w:t>
        </w:r>
        <w:r w:rsidR="000B768F">
          <w:rPr>
            <w:noProof/>
            <w:webHidden/>
          </w:rPr>
          <w:tab/>
        </w:r>
        <w:r w:rsidR="000B768F">
          <w:rPr>
            <w:noProof/>
            <w:webHidden/>
          </w:rPr>
          <w:fldChar w:fldCharType="begin"/>
        </w:r>
        <w:r w:rsidR="000B768F">
          <w:rPr>
            <w:noProof/>
            <w:webHidden/>
          </w:rPr>
          <w:instrText xml:space="preserve"> PAGEREF _Toc511409140 \h </w:instrText>
        </w:r>
        <w:r w:rsidR="000B768F">
          <w:rPr>
            <w:noProof/>
            <w:webHidden/>
          </w:rPr>
        </w:r>
        <w:r w:rsidR="000B768F">
          <w:rPr>
            <w:noProof/>
            <w:webHidden/>
          </w:rPr>
          <w:fldChar w:fldCharType="separate"/>
        </w:r>
        <w:r w:rsidR="003445E8">
          <w:rPr>
            <w:noProof/>
            <w:webHidden/>
          </w:rPr>
          <w:t>8</w:t>
        </w:r>
        <w:r w:rsidR="000B768F">
          <w:rPr>
            <w:noProof/>
            <w:webHidden/>
          </w:rPr>
          <w:fldChar w:fldCharType="end"/>
        </w:r>
      </w:hyperlink>
    </w:p>
    <w:p w14:paraId="3CBF6335" w14:textId="3C02E2C7" w:rsidR="000B768F" w:rsidRDefault="00AE2A7A" w:rsidP="00242B25">
      <w:pPr>
        <w:pStyle w:val="TableofFigures"/>
        <w:tabs>
          <w:tab w:val="right" w:leader="dot" w:pos="9725"/>
        </w:tabs>
        <w:jc w:val="both"/>
        <w:rPr>
          <w:rFonts w:eastAsiaTheme="minorEastAsia"/>
          <w:noProof/>
          <w:sz w:val="22"/>
          <w:szCs w:val="22"/>
          <w:lang w:val="en-US"/>
        </w:rPr>
      </w:pPr>
      <w:hyperlink w:anchor="_Toc511409141" w:history="1">
        <w:r w:rsidR="000B768F" w:rsidRPr="008B1D99">
          <w:rPr>
            <w:rStyle w:val="Hyperlink"/>
            <w:noProof/>
            <w:lang w:val="en-US"/>
          </w:rPr>
          <w:t>Figure 5. The sources of growth in Romania have shifted</w:t>
        </w:r>
        <w:r w:rsidR="000B768F">
          <w:rPr>
            <w:noProof/>
            <w:webHidden/>
          </w:rPr>
          <w:tab/>
        </w:r>
        <w:r w:rsidR="000B768F">
          <w:rPr>
            <w:noProof/>
            <w:webHidden/>
          </w:rPr>
          <w:fldChar w:fldCharType="begin"/>
        </w:r>
        <w:r w:rsidR="000B768F">
          <w:rPr>
            <w:noProof/>
            <w:webHidden/>
          </w:rPr>
          <w:instrText xml:space="preserve"> PAGEREF _Toc511409141 \h </w:instrText>
        </w:r>
        <w:r w:rsidR="000B768F">
          <w:rPr>
            <w:noProof/>
            <w:webHidden/>
          </w:rPr>
        </w:r>
        <w:r w:rsidR="000B768F">
          <w:rPr>
            <w:noProof/>
            <w:webHidden/>
          </w:rPr>
          <w:fldChar w:fldCharType="separate"/>
        </w:r>
        <w:r w:rsidR="003445E8">
          <w:rPr>
            <w:noProof/>
            <w:webHidden/>
          </w:rPr>
          <w:t>9</w:t>
        </w:r>
        <w:r w:rsidR="000B768F">
          <w:rPr>
            <w:noProof/>
            <w:webHidden/>
          </w:rPr>
          <w:fldChar w:fldCharType="end"/>
        </w:r>
      </w:hyperlink>
    </w:p>
    <w:p w14:paraId="154DCB63" w14:textId="5FA19F1E" w:rsidR="000B768F" w:rsidRDefault="00AE2A7A" w:rsidP="00242B25">
      <w:pPr>
        <w:pStyle w:val="TableofFigures"/>
        <w:tabs>
          <w:tab w:val="right" w:leader="dot" w:pos="9725"/>
        </w:tabs>
        <w:jc w:val="both"/>
        <w:rPr>
          <w:rFonts w:eastAsiaTheme="minorEastAsia"/>
          <w:noProof/>
          <w:sz w:val="22"/>
          <w:szCs w:val="22"/>
          <w:lang w:val="en-US"/>
        </w:rPr>
      </w:pPr>
      <w:hyperlink w:anchor="_Toc511409142" w:history="1">
        <w:r w:rsidR="000B768F" w:rsidRPr="008B1D99">
          <w:rPr>
            <w:rStyle w:val="Hyperlink"/>
            <w:noProof/>
          </w:rPr>
          <w:t xml:space="preserve">Figure 6. </w:t>
        </w:r>
        <w:r w:rsidR="000B768F" w:rsidRPr="008B1D99">
          <w:rPr>
            <w:rStyle w:val="Hyperlink"/>
            <w:rFonts w:cstheme="minorHAnsi"/>
            <w:noProof/>
            <w:lang w:val="en-US"/>
          </w:rPr>
          <w:t xml:space="preserve">Contributions of outward migration to working-age population growth </w:t>
        </w:r>
        <w:r w:rsidR="000B768F">
          <w:rPr>
            <w:noProof/>
            <w:webHidden/>
          </w:rPr>
          <w:tab/>
        </w:r>
        <w:r w:rsidR="000B768F">
          <w:rPr>
            <w:noProof/>
            <w:webHidden/>
          </w:rPr>
          <w:fldChar w:fldCharType="begin"/>
        </w:r>
        <w:r w:rsidR="000B768F">
          <w:rPr>
            <w:noProof/>
            <w:webHidden/>
          </w:rPr>
          <w:instrText xml:space="preserve"> PAGEREF _Toc511409142 \h </w:instrText>
        </w:r>
        <w:r w:rsidR="000B768F">
          <w:rPr>
            <w:noProof/>
            <w:webHidden/>
          </w:rPr>
        </w:r>
        <w:r w:rsidR="000B768F">
          <w:rPr>
            <w:noProof/>
            <w:webHidden/>
          </w:rPr>
          <w:fldChar w:fldCharType="separate"/>
        </w:r>
        <w:r w:rsidR="003445E8">
          <w:rPr>
            <w:noProof/>
            <w:webHidden/>
          </w:rPr>
          <w:t>9</w:t>
        </w:r>
        <w:r w:rsidR="000B768F">
          <w:rPr>
            <w:noProof/>
            <w:webHidden/>
          </w:rPr>
          <w:fldChar w:fldCharType="end"/>
        </w:r>
      </w:hyperlink>
    </w:p>
    <w:p w14:paraId="6480545A" w14:textId="48DBC5F6" w:rsidR="000B768F" w:rsidRDefault="00AE2A7A" w:rsidP="00242B25">
      <w:pPr>
        <w:pStyle w:val="TableofFigures"/>
        <w:tabs>
          <w:tab w:val="right" w:leader="dot" w:pos="9725"/>
        </w:tabs>
        <w:jc w:val="both"/>
        <w:rPr>
          <w:rFonts w:eastAsiaTheme="minorEastAsia"/>
          <w:noProof/>
          <w:sz w:val="22"/>
          <w:szCs w:val="22"/>
          <w:lang w:val="en-US"/>
        </w:rPr>
      </w:pPr>
      <w:hyperlink w:anchor="_Toc511409143" w:history="1">
        <w:r w:rsidR="000B768F" w:rsidRPr="008B1D99">
          <w:rPr>
            <w:rStyle w:val="Hyperlink"/>
            <w:noProof/>
          </w:rPr>
          <w:t xml:space="preserve">Figure 7. </w:t>
        </w:r>
        <w:r w:rsidR="000529E3">
          <w:rPr>
            <w:rStyle w:val="Hyperlink"/>
            <w:rFonts w:cstheme="minorHAnsi"/>
            <w:noProof/>
            <w:lang w:val="en-US"/>
          </w:rPr>
          <w:t>Emigration and real labor p</w:t>
        </w:r>
        <w:r w:rsidR="000B768F" w:rsidRPr="008B1D99">
          <w:rPr>
            <w:rStyle w:val="Hyperlink"/>
            <w:rFonts w:cstheme="minorHAnsi"/>
            <w:noProof/>
            <w:lang w:val="en-US"/>
          </w:rPr>
          <w:t xml:space="preserve">roductivity growth </w:t>
        </w:r>
        <w:r w:rsidR="000B768F">
          <w:rPr>
            <w:noProof/>
            <w:webHidden/>
          </w:rPr>
          <w:tab/>
        </w:r>
        <w:r w:rsidR="000B768F">
          <w:rPr>
            <w:noProof/>
            <w:webHidden/>
          </w:rPr>
          <w:fldChar w:fldCharType="begin"/>
        </w:r>
        <w:r w:rsidR="000B768F">
          <w:rPr>
            <w:noProof/>
            <w:webHidden/>
          </w:rPr>
          <w:instrText xml:space="preserve"> PAGEREF _Toc511409143 \h </w:instrText>
        </w:r>
        <w:r w:rsidR="000B768F">
          <w:rPr>
            <w:noProof/>
            <w:webHidden/>
          </w:rPr>
        </w:r>
        <w:r w:rsidR="000B768F">
          <w:rPr>
            <w:noProof/>
            <w:webHidden/>
          </w:rPr>
          <w:fldChar w:fldCharType="separate"/>
        </w:r>
        <w:r w:rsidR="003445E8">
          <w:rPr>
            <w:noProof/>
            <w:webHidden/>
          </w:rPr>
          <w:t>9</w:t>
        </w:r>
        <w:r w:rsidR="000B768F">
          <w:rPr>
            <w:noProof/>
            <w:webHidden/>
          </w:rPr>
          <w:fldChar w:fldCharType="end"/>
        </w:r>
      </w:hyperlink>
    </w:p>
    <w:p w14:paraId="3941F642" w14:textId="05182AC6" w:rsidR="00FB6BC6" w:rsidRDefault="007E033D" w:rsidP="00242B25">
      <w:pPr>
        <w:pStyle w:val="TableofFigures"/>
        <w:tabs>
          <w:tab w:val="right" w:leader="dot" w:pos="9725"/>
        </w:tabs>
        <w:jc w:val="both"/>
        <w:rPr>
          <w:noProof/>
        </w:rPr>
      </w:pPr>
      <w:r>
        <w:rPr>
          <w:noProof/>
        </w:rPr>
        <w:t>Figure 8. Emigration and real GDP growth…………………………………………………………………………………………………………………….13</w:t>
      </w:r>
    </w:p>
    <w:p w14:paraId="09197F8A" w14:textId="60732198" w:rsidR="007E033D" w:rsidRPr="00242B25" w:rsidRDefault="007E033D" w:rsidP="00242B25">
      <w:pPr>
        <w:jc w:val="both"/>
        <w:rPr>
          <w:noProof/>
          <w:szCs w:val="20"/>
          <w:lang w:val="en-US"/>
        </w:rPr>
      </w:pPr>
      <w:r>
        <w:rPr>
          <w:noProof/>
          <w:sz w:val="20"/>
          <w:szCs w:val="20"/>
          <w:lang w:val="en-GB"/>
        </w:rPr>
        <w:t>Figure 9. Emigration and per capita income in purchasing power standard…………………………………………………………………..</w:t>
      </w:r>
      <w:r w:rsidR="00C7384E">
        <w:rPr>
          <w:noProof/>
          <w:sz w:val="20"/>
          <w:szCs w:val="20"/>
          <w:lang w:val="en-GB"/>
        </w:rPr>
        <w:t>13</w:t>
      </w:r>
      <w:r w:rsidR="00C7384E">
        <w:rPr>
          <w:noProof/>
          <w:sz w:val="20"/>
          <w:szCs w:val="20"/>
          <w:lang w:val="en-GB"/>
        </w:rPr>
        <w:br/>
        <w:t xml:space="preserve">Figure </w:t>
      </w:r>
      <w:r>
        <w:rPr>
          <w:noProof/>
          <w:sz w:val="20"/>
          <w:szCs w:val="20"/>
          <w:lang w:val="en-GB"/>
        </w:rPr>
        <w:t>10. Inflows of remittances in Romania………………………………………………………………………………………………………………..16</w:t>
      </w:r>
      <w:r>
        <w:rPr>
          <w:noProof/>
          <w:sz w:val="20"/>
          <w:szCs w:val="20"/>
          <w:lang w:val="en-GB"/>
        </w:rPr>
        <w:br/>
        <w:t>Figure 11. Remittances and poverty in Romania……………………………………………………………………………………………………………16</w:t>
      </w:r>
    </w:p>
    <w:p w14:paraId="2A30F429" w14:textId="51F105E1" w:rsidR="000B768F" w:rsidRDefault="00AE2A7A" w:rsidP="00242B25">
      <w:pPr>
        <w:pStyle w:val="TableofFigures"/>
        <w:tabs>
          <w:tab w:val="right" w:leader="dot" w:pos="9725"/>
        </w:tabs>
        <w:jc w:val="both"/>
        <w:rPr>
          <w:rFonts w:eastAsiaTheme="minorEastAsia"/>
          <w:noProof/>
          <w:sz w:val="22"/>
          <w:szCs w:val="22"/>
          <w:lang w:val="en-US"/>
        </w:rPr>
      </w:pPr>
      <w:hyperlink w:anchor="_Toc511409144" w:history="1">
        <w:r w:rsidR="000B768F" w:rsidRPr="008B1D99">
          <w:rPr>
            <w:rStyle w:val="Hyperlink"/>
            <w:noProof/>
            <w:lang w:val="en-US"/>
          </w:rPr>
          <w:t xml:space="preserve">Figure </w:t>
        </w:r>
        <w:r w:rsidR="0045376B">
          <w:rPr>
            <w:rStyle w:val="Hyperlink"/>
            <w:noProof/>
            <w:lang w:val="en-US"/>
          </w:rPr>
          <w:t>B</w:t>
        </w:r>
        <w:r w:rsidR="00FB6BC6">
          <w:rPr>
            <w:rStyle w:val="Hyperlink"/>
            <w:noProof/>
            <w:lang w:val="en-US"/>
          </w:rPr>
          <w:t>1.</w:t>
        </w:r>
        <w:r w:rsidR="0045376B">
          <w:rPr>
            <w:rStyle w:val="Hyperlink"/>
            <w:noProof/>
            <w:lang w:val="en-US"/>
          </w:rPr>
          <w:t>1</w:t>
        </w:r>
        <w:r w:rsidR="000B768F" w:rsidRPr="008B1D99">
          <w:rPr>
            <w:rStyle w:val="Hyperlink"/>
            <w:noProof/>
            <w:lang w:val="en-US"/>
          </w:rPr>
          <w:t>. Number of Romanian physicians working in Romania and abroad</w:t>
        </w:r>
        <w:r w:rsidR="000B768F">
          <w:rPr>
            <w:noProof/>
            <w:webHidden/>
          </w:rPr>
          <w:tab/>
        </w:r>
        <w:r w:rsidR="000B768F">
          <w:rPr>
            <w:noProof/>
            <w:webHidden/>
          </w:rPr>
          <w:fldChar w:fldCharType="begin"/>
        </w:r>
        <w:r w:rsidR="000B768F">
          <w:rPr>
            <w:noProof/>
            <w:webHidden/>
          </w:rPr>
          <w:instrText xml:space="preserve"> PAGEREF _Toc511409144 \h </w:instrText>
        </w:r>
        <w:r w:rsidR="000B768F">
          <w:rPr>
            <w:noProof/>
            <w:webHidden/>
          </w:rPr>
        </w:r>
        <w:r w:rsidR="000B768F">
          <w:rPr>
            <w:noProof/>
            <w:webHidden/>
          </w:rPr>
          <w:fldChar w:fldCharType="separate"/>
        </w:r>
        <w:r w:rsidR="003445E8">
          <w:rPr>
            <w:noProof/>
            <w:webHidden/>
          </w:rPr>
          <w:t>10</w:t>
        </w:r>
        <w:r w:rsidR="000B768F">
          <w:rPr>
            <w:noProof/>
            <w:webHidden/>
          </w:rPr>
          <w:fldChar w:fldCharType="end"/>
        </w:r>
      </w:hyperlink>
    </w:p>
    <w:p w14:paraId="33139F37" w14:textId="63A859FB" w:rsidR="000B768F" w:rsidRDefault="00AE2A7A" w:rsidP="00242B25">
      <w:pPr>
        <w:pStyle w:val="TableofFigures"/>
        <w:tabs>
          <w:tab w:val="right" w:leader="dot" w:pos="9725"/>
        </w:tabs>
        <w:jc w:val="both"/>
        <w:rPr>
          <w:rFonts w:eastAsiaTheme="minorEastAsia"/>
          <w:noProof/>
          <w:sz w:val="22"/>
          <w:szCs w:val="22"/>
          <w:lang w:val="en-US"/>
        </w:rPr>
      </w:pPr>
      <w:hyperlink w:anchor="_Toc511409145" w:history="1">
        <w:r w:rsidR="000B768F" w:rsidRPr="008B1D99">
          <w:rPr>
            <w:rStyle w:val="Hyperlink"/>
            <w:noProof/>
            <w:lang w:val="en-US"/>
          </w:rPr>
          <w:t xml:space="preserve">Figure </w:t>
        </w:r>
        <w:r w:rsidR="0045376B">
          <w:rPr>
            <w:rStyle w:val="Hyperlink"/>
            <w:noProof/>
            <w:lang w:val="en-US"/>
          </w:rPr>
          <w:t>B</w:t>
        </w:r>
        <w:r w:rsidR="00FB6BC6">
          <w:rPr>
            <w:rStyle w:val="Hyperlink"/>
            <w:noProof/>
            <w:lang w:val="en-US"/>
          </w:rPr>
          <w:t>1.</w:t>
        </w:r>
        <w:r w:rsidR="0045376B">
          <w:rPr>
            <w:rStyle w:val="Hyperlink"/>
            <w:noProof/>
            <w:lang w:val="en-US"/>
          </w:rPr>
          <w:t>2</w:t>
        </w:r>
        <w:r w:rsidR="000B768F" w:rsidRPr="008B1D99">
          <w:rPr>
            <w:rStyle w:val="Hyperlink"/>
            <w:noProof/>
            <w:lang w:val="en-US"/>
          </w:rPr>
          <w:t>. Increased percentage of Romanian physicians working abroad</w:t>
        </w:r>
        <w:r w:rsidR="000B768F">
          <w:rPr>
            <w:noProof/>
            <w:webHidden/>
          </w:rPr>
          <w:tab/>
        </w:r>
        <w:r w:rsidR="000B768F">
          <w:rPr>
            <w:noProof/>
            <w:webHidden/>
          </w:rPr>
          <w:fldChar w:fldCharType="begin"/>
        </w:r>
        <w:r w:rsidR="000B768F">
          <w:rPr>
            <w:noProof/>
            <w:webHidden/>
          </w:rPr>
          <w:instrText xml:space="preserve"> PAGEREF _Toc511409145 \h </w:instrText>
        </w:r>
        <w:r w:rsidR="000B768F">
          <w:rPr>
            <w:noProof/>
            <w:webHidden/>
          </w:rPr>
        </w:r>
        <w:r w:rsidR="000B768F">
          <w:rPr>
            <w:noProof/>
            <w:webHidden/>
          </w:rPr>
          <w:fldChar w:fldCharType="separate"/>
        </w:r>
        <w:r w:rsidR="003445E8">
          <w:rPr>
            <w:noProof/>
            <w:webHidden/>
          </w:rPr>
          <w:t>10</w:t>
        </w:r>
        <w:r w:rsidR="000B768F">
          <w:rPr>
            <w:noProof/>
            <w:webHidden/>
          </w:rPr>
          <w:fldChar w:fldCharType="end"/>
        </w:r>
      </w:hyperlink>
    </w:p>
    <w:p w14:paraId="12CFBE0D" w14:textId="02918517" w:rsidR="000B768F" w:rsidRDefault="00AE2A7A" w:rsidP="00242B25">
      <w:pPr>
        <w:pStyle w:val="TableofFigures"/>
        <w:tabs>
          <w:tab w:val="right" w:leader="dot" w:pos="9725"/>
        </w:tabs>
        <w:jc w:val="both"/>
        <w:rPr>
          <w:rFonts w:eastAsiaTheme="minorEastAsia"/>
          <w:noProof/>
          <w:sz w:val="22"/>
          <w:szCs w:val="22"/>
          <w:lang w:val="en-US"/>
        </w:rPr>
      </w:pPr>
      <w:hyperlink w:anchor="_Toc511409146" w:history="1">
        <w:r w:rsidR="000B768F" w:rsidRPr="008B1D99">
          <w:rPr>
            <w:rStyle w:val="Hyperlink"/>
            <w:noProof/>
            <w:lang w:val="en-US"/>
          </w:rPr>
          <w:t xml:space="preserve">Figure </w:t>
        </w:r>
        <w:r w:rsidR="00FB6BC6">
          <w:rPr>
            <w:rStyle w:val="Hyperlink"/>
            <w:noProof/>
            <w:lang w:val="en-US"/>
          </w:rPr>
          <w:t>B1.3</w:t>
        </w:r>
        <w:r w:rsidR="000B768F" w:rsidRPr="008B1D99">
          <w:rPr>
            <w:rStyle w:val="Hyperlink"/>
            <w:noProof/>
            <w:lang w:val="en-US"/>
          </w:rPr>
          <w:t xml:space="preserve"> </w:t>
        </w:r>
        <w:r w:rsidR="000B768F" w:rsidRPr="008B1D99">
          <w:rPr>
            <w:rStyle w:val="Hyperlink"/>
            <w:rFonts w:cstheme="minorHAnsi"/>
            <w:noProof/>
            <w:lang w:val="en-US"/>
          </w:rPr>
          <w:t>Number of Romanian physicians working in EU countries vs Non-EU countries</w:t>
        </w:r>
        <w:r w:rsidR="000B768F">
          <w:rPr>
            <w:noProof/>
            <w:webHidden/>
          </w:rPr>
          <w:tab/>
        </w:r>
        <w:r w:rsidR="000B768F">
          <w:rPr>
            <w:noProof/>
            <w:webHidden/>
          </w:rPr>
          <w:fldChar w:fldCharType="begin"/>
        </w:r>
        <w:r w:rsidR="000B768F">
          <w:rPr>
            <w:noProof/>
            <w:webHidden/>
          </w:rPr>
          <w:instrText xml:space="preserve"> PAGEREF _Toc511409146 \h </w:instrText>
        </w:r>
        <w:r w:rsidR="000B768F">
          <w:rPr>
            <w:noProof/>
            <w:webHidden/>
          </w:rPr>
        </w:r>
        <w:r w:rsidR="000B768F">
          <w:rPr>
            <w:noProof/>
            <w:webHidden/>
          </w:rPr>
          <w:fldChar w:fldCharType="separate"/>
        </w:r>
        <w:r w:rsidR="003445E8">
          <w:rPr>
            <w:noProof/>
            <w:webHidden/>
          </w:rPr>
          <w:t>11</w:t>
        </w:r>
        <w:r w:rsidR="000B768F">
          <w:rPr>
            <w:noProof/>
            <w:webHidden/>
          </w:rPr>
          <w:fldChar w:fldCharType="end"/>
        </w:r>
      </w:hyperlink>
    </w:p>
    <w:p w14:paraId="46BAAD9F" w14:textId="61E5B47B" w:rsidR="000B768F" w:rsidRDefault="00AE2A7A" w:rsidP="00242B25">
      <w:pPr>
        <w:pStyle w:val="TableofFigures"/>
        <w:tabs>
          <w:tab w:val="right" w:leader="dot" w:pos="9725"/>
        </w:tabs>
        <w:jc w:val="both"/>
        <w:rPr>
          <w:rFonts w:eastAsiaTheme="minorEastAsia"/>
          <w:noProof/>
          <w:sz w:val="22"/>
          <w:szCs w:val="22"/>
          <w:lang w:val="en-US"/>
        </w:rPr>
      </w:pPr>
      <w:hyperlink w:anchor="_Toc511409147" w:history="1">
        <w:r w:rsidR="000B768F" w:rsidRPr="008B1D99">
          <w:rPr>
            <w:rStyle w:val="Hyperlink"/>
            <w:noProof/>
            <w:lang w:val="en-US"/>
          </w:rPr>
          <w:t xml:space="preserve">Figure </w:t>
        </w:r>
        <w:r w:rsidR="00FB6BC6">
          <w:rPr>
            <w:rStyle w:val="Hyperlink"/>
            <w:noProof/>
            <w:lang w:val="en-US"/>
          </w:rPr>
          <w:t>B1.4</w:t>
        </w:r>
        <w:r w:rsidR="000B768F" w:rsidRPr="008B1D99">
          <w:rPr>
            <w:rStyle w:val="Hyperlink"/>
            <w:noProof/>
            <w:lang w:val="en-US"/>
          </w:rPr>
          <w:t xml:space="preserve"> </w:t>
        </w:r>
        <w:r w:rsidR="000B768F" w:rsidRPr="008B1D99">
          <w:rPr>
            <w:rStyle w:val="Hyperlink"/>
            <w:rFonts w:cstheme="minorHAnsi"/>
            <w:noProof/>
            <w:lang w:val="en-US"/>
          </w:rPr>
          <w:t>Percentage of Romanian physicians working in EU countries vs Non-EU countries</w:t>
        </w:r>
        <w:r w:rsidR="000B768F">
          <w:rPr>
            <w:noProof/>
            <w:webHidden/>
          </w:rPr>
          <w:tab/>
        </w:r>
        <w:r w:rsidR="000B768F">
          <w:rPr>
            <w:noProof/>
            <w:webHidden/>
          </w:rPr>
          <w:fldChar w:fldCharType="begin"/>
        </w:r>
        <w:r w:rsidR="000B768F">
          <w:rPr>
            <w:noProof/>
            <w:webHidden/>
          </w:rPr>
          <w:instrText xml:space="preserve"> PAGEREF _Toc511409147 \h </w:instrText>
        </w:r>
        <w:r w:rsidR="000B768F">
          <w:rPr>
            <w:noProof/>
            <w:webHidden/>
          </w:rPr>
        </w:r>
        <w:r w:rsidR="000B768F">
          <w:rPr>
            <w:noProof/>
            <w:webHidden/>
          </w:rPr>
          <w:fldChar w:fldCharType="separate"/>
        </w:r>
        <w:r w:rsidR="003445E8">
          <w:rPr>
            <w:noProof/>
            <w:webHidden/>
          </w:rPr>
          <w:t>11</w:t>
        </w:r>
        <w:r w:rsidR="000B768F">
          <w:rPr>
            <w:noProof/>
            <w:webHidden/>
          </w:rPr>
          <w:fldChar w:fldCharType="end"/>
        </w:r>
      </w:hyperlink>
    </w:p>
    <w:p w14:paraId="02A38FBF" w14:textId="1CFE2276" w:rsidR="000B768F" w:rsidRDefault="00AE2A7A" w:rsidP="00242B25">
      <w:pPr>
        <w:pStyle w:val="TableofFigures"/>
        <w:tabs>
          <w:tab w:val="right" w:leader="dot" w:pos="9725"/>
        </w:tabs>
        <w:jc w:val="both"/>
        <w:rPr>
          <w:rFonts w:eastAsiaTheme="minorEastAsia"/>
          <w:noProof/>
          <w:sz w:val="22"/>
          <w:szCs w:val="22"/>
          <w:lang w:val="en-US"/>
        </w:rPr>
      </w:pPr>
      <w:hyperlink w:anchor="_Toc511409148" w:history="1">
        <w:r w:rsidR="000B768F" w:rsidRPr="008B1D99">
          <w:rPr>
            <w:rStyle w:val="Hyperlink"/>
            <w:noProof/>
            <w:lang w:val="en-US"/>
          </w:rPr>
          <w:t xml:space="preserve">Figure </w:t>
        </w:r>
        <w:r w:rsidR="00FB6BC6">
          <w:rPr>
            <w:rStyle w:val="Hyperlink"/>
            <w:noProof/>
            <w:lang w:val="en-US"/>
          </w:rPr>
          <w:t>B1.5</w:t>
        </w:r>
        <w:r w:rsidR="000B768F" w:rsidRPr="008B1D99">
          <w:rPr>
            <w:rStyle w:val="Hyperlink"/>
            <w:noProof/>
            <w:lang w:val="en-US"/>
          </w:rPr>
          <w:t xml:space="preserve">. </w:t>
        </w:r>
        <w:r w:rsidR="000B768F" w:rsidRPr="008B1D99">
          <w:rPr>
            <w:rStyle w:val="Hyperlink"/>
            <w:rFonts w:cstheme="minorHAnsi"/>
            <w:noProof/>
            <w:lang w:val="en-US"/>
          </w:rPr>
          <w:t>Age structure of Romanian physicians working abroad</w:t>
        </w:r>
        <w:r w:rsidR="000B768F">
          <w:rPr>
            <w:noProof/>
            <w:webHidden/>
          </w:rPr>
          <w:tab/>
        </w:r>
        <w:r w:rsidR="000B768F">
          <w:rPr>
            <w:noProof/>
            <w:webHidden/>
          </w:rPr>
          <w:fldChar w:fldCharType="begin"/>
        </w:r>
        <w:r w:rsidR="000B768F">
          <w:rPr>
            <w:noProof/>
            <w:webHidden/>
          </w:rPr>
          <w:instrText xml:space="preserve"> PAGEREF _Toc511409148 \h </w:instrText>
        </w:r>
        <w:r w:rsidR="000B768F">
          <w:rPr>
            <w:noProof/>
            <w:webHidden/>
          </w:rPr>
        </w:r>
        <w:r w:rsidR="000B768F">
          <w:rPr>
            <w:noProof/>
            <w:webHidden/>
          </w:rPr>
          <w:fldChar w:fldCharType="separate"/>
        </w:r>
        <w:r w:rsidR="003445E8">
          <w:rPr>
            <w:noProof/>
            <w:webHidden/>
          </w:rPr>
          <w:t>11</w:t>
        </w:r>
        <w:r w:rsidR="000B768F">
          <w:rPr>
            <w:noProof/>
            <w:webHidden/>
          </w:rPr>
          <w:fldChar w:fldCharType="end"/>
        </w:r>
      </w:hyperlink>
    </w:p>
    <w:p w14:paraId="57CE43D7" w14:textId="33FF200C" w:rsidR="000B768F" w:rsidRDefault="00AE2A7A" w:rsidP="00242B25">
      <w:pPr>
        <w:pStyle w:val="TableofFigures"/>
        <w:tabs>
          <w:tab w:val="right" w:leader="dot" w:pos="9725"/>
        </w:tabs>
        <w:jc w:val="both"/>
        <w:rPr>
          <w:rFonts w:eastAsiaTheme="minorEastAsia"/>
          <w:noProof/>
          <w:sz w:val="22"/>
          <w:szCs w:val="22"/>
          <w:lang w:val="en-US"/>
        </w:rPr>
      </w:pPr>
      <w:hyperlink w:anchor="_Toc511409149" w:history="1">
        <w:r w:rsidR="000B768F" w:rsidRPr="008B1D99">
          <w:rPr>
            <w:rStyle w:val="Hyperlink"/>
            <w:noProof/>
            <w:lang w:val="en-US"/>
          </w:rPr>
          <w:t xml:space="preserve">Figure </w:t>
        </w:r>
        <w:r w:rsidR="00FB6BC6">
          <w:rPr>
            <w:rStyle w:val="Hyperlink"/>
            <w:noProof/>
            <w:lang w:val="en-US"/>
          </w:rPr>
          <w:t xml:space="preserve">B1.6. </w:t>
        </w:r>
        <w:r w:rsidR="000B768F" w:rsidRPr="008B1D99">
          <w:rPr>
            <w:rStyle w:val="Hyperlink"/>
            <w:rFonts w:cstheme="minorHAnsi"/>
            <w:noProof/>
            <w:lang w:val="en-US"/>
          </w:rPr>
          <w:t>Application</w:t>
        </w:r>
        <w:r w:rsidR="000C0DBC">
          <w:rPr>
            <w:rStyle w:val="Hyperlink"/>
            <w:rFonts w:cstheme="minorHAnsi"/>
            <w:noProof/>
            <w:lang w:val="en-US"/>
          </w:rPr>
          <w:t>s</w:t>
        </w:r>
        <w:r w:rsidR="000B768F" w:rsidRPr="008B1D99">
          <w:rPr>
            <w:rStyle w:val="Hyperlink"/>
            <w:rFonts w:cstheme="minorHAnsi"/>
            <w:noProof/>
            <w:lang w:val="en-US"/>
          </w:rPr>
          <w:t xml:space="preserve"> submitted to Cluj Medical Association by physicians wanting to work abro</w:t>
        </w:r>
        <w:r w:rsidR="000C0DBC">
          <w:rPr>
            <w:rStyle w:val="Hyperlink"/>
            <w:rFonts w:cstheme="minorHAnsi"/>
            <w:noProof/>
            <w:lang w:val="en-US"/>
          </w:rPr>
          <w:t>a</w:t>
        </w:r>
        <w:r w:rsidR="000B768F" w:rsidRPr="008B1D99">
          <w:rPr>
            <w:rStyle w:val="Hyperlink"/>
            <w:rFonts w:cstheme="minorHAnsi"/>
            <w:noProof/>
            <w:lang w:val="en-US"/>
          </w:rPr>
          <w:t>d</w:t>
        </w:r>
        <w:r w:rsidR="000B768F">
          <w:rPr>
            <w:noProof/>
            <w:webHidden/>
          </w:rPr>
          <w:tab/>
        </w:r>
        <w:r w:rsidR="000B768F">
          <w:rPr>
            <w:noProof/>
            <w:webHidden/>
          </w:rPr>
          <w:fldChar w:fldCharType="begin"/>
        </w:r>
        <w:r w:rsidR="000B768F">
          <w:rPr>
            <w:noProof/>
            <w:webHidden/>
          </w:rPr>
          <w:instrText xml:space="preserve"> PAGEREF _Toc511409149 \h </w:instrText>
        </w:r>
        <w:r w:rsidR="000B768F">
          <w:rPr>
            <w:noProof/>
            <w:webHidden/>
          </w:rPr>
        </w:r>
        <w:r w:rsidR="000B768F">
          <w:rPr>
            <w:noProof/>
            <w:webHidden/>
          </w:rPr>
          <w:fldChar w:fldCharType="separate"/>
        </w:r>
        <w:r w:rsidR="003445E8">
          <w:rPr>
            <w:noProof/>
            <w:webHidden/>
          </w:rPr>
          <w:t>11</w:t>
        </w:r>
        <w:r w:rsidR="000B768F">
          <w:rPr>
            <w:noProof/>
            <w:webHidden/>
          </w:rPr>
          <w:fldChar w:fldCharType="end"/>
        </w:r>
      </w:hyperlink>
    </w:p>
    <w:p w14:paraId="35B832DC" w14:textId="77777777" w:rsidR="00FB6BC6" w:rsidRDefault="00FB6BC6" w:rsidP="00242B25">
      <w:pPr>
        <w:pStyle w:val="TableofFigures"/>
        <w:tabs>
          <w:tab w:val="right" w:leader="dot" w:pos="9725"/>
        </w:tabs>
        <w:jc w:val="both"/>
        <w:rPr>
          <w:noProof/>
        </w:rPr>
      </w:pPr>
    </w:p>
    <w:p w14:paraId="1F0D6474" w14:textId="3ABCB72E" w:rsidR="000B768F" w:rsidRDefault="00AE2A7A" w:rsidP="00242B25">
      <w:pPr>
        <w:pStyle w:val="TableofFigures"/>
        <w:tabs>
          <w:tab w:val="right" w:leader="dot" w:pos="9725"/>
        </w:tabs>
        <w:jc w:val="both"/>
        <w:rPr>
          <w:rFonts w:eastAsiaTheme="minorEastAsia"/>
          <w:noProof/>
          <w:sz w:val="22"/>
          <w:szCs w:val="22"/>
          <w:lang w:val="en-US"/>
        </w:rPr>
      </w:pPr>
      <w:hyperlink w:anchor="_Toc511409150" w:history="1">
        <w:r w:rsidR="000B768F" w:rsidRPr="008B1D99">
          <w:rPr>
            <w:rStyle w:val="Hyperlink"/>
            <w:noProof/>
            <w:lang w:val="en-US"/>
          </w:rPr>
          <w:t xml:space="preserve">Figure </w:t>
        </w:r>
        <w:r w:rsidR="007E033D">
          <w:rPr>
            <w:rStyle w:val="Hyperlink"/>
            <w:noProof/>
            <w:lang w:val="en-US"/>
          </w:rPr>
          <w:t>B2.1</w:t>
        </w:r>
        <w:r w:rsidR="000B768F" w:rsidRPr="008B1D99">
          <w:rPr>
            <w:rStyle w:val="Hyperlink"/>
            <w:noProof/>
            <w:lang w:val="en-US"/>
          </w:rPr>
          <w:t xml:space="preserve">. Romanian students </w:t>
        </w:r>
        <w:r w:rsidR="000B768F" w:rsidRPr="008B1D99">
          <w:rPr>
            <w:rStyle w:val="Hyperlink"/>
            <w:rFonts w:cstheme="minorHAnsi"/>
            <w:noProof/>
            <w:lang w:val="en-US"/>
          </w:rPr>
          <w:t>abroad and at home</w:t>
        </w:r>
        <w:r w:rsidR="000B768F">
          <w:rPr>
            <w:noProof/>
            <w:webHidden/>
          </w:rPr>
          <w:tab/>
        </w:r>
        <w:r w:rsidR="000B768F">
          <w:rPr>
            <w:noProof/>
            <w:webHidden/>
          </w:rPr>
          <w:fldChar w:fldCharType="begin"/>
        </w:r>
        <w:r w:rsidR="000B768F">
          <w:rPr>
            <w:noProof/>
            <w:webHidden/>
          </w:rPr>
          <w:instrText xml:space="preserve"> PAGEREF _Toc511409150 \h </w:instrText>
        </w:r>
        <w:r w:rsidR="000B768F">
          <w:rPr>
            <w:noProof/>
            <w:webHidden/>
          </w:rPr>
        </w:r>
        <w:r w:rsidR="000B768F">
          <w:rPr>
            <w:noProof/>
            <w:webHidden/>
          </w:rPr>
          <w:fldChar w:fldCharType="separate"/>
        </w:r>
        <w:r w:rsidR="003445E8">
          <w:rPr>
            <w:noProof/>
            <w:webHidden/>
          </w:rPr>
          <w:t>12</w:t>
        </w:r>
        <w:r w:rsidR="000B768F">
          <w:rPr>
            <w:noProof/>
            <w:webHidden/>
          </w:rPr>
          <w:fldChar w:fldCharType="end"/>
        </w:r>
      </w:hyperlink>
    </w:p>
    <w:p w14:paraId="4F5643BD" w14:textId="72687ADA" w:rsidR="000B768F" w:rsidRDefault="00AE2A7A" w:rsidP="00242B25">
      <w:pPr>
        <w:pStyle w:val="TableofFigures"/>
        <w:tabs>
          <w:tab w:val="right" w:leader="dot" w:pos="9725"/>
        </w:tabs>
        <w:jc w:val="both"/>
        <w:rPr>
          <w:rFonts w:eastAsiaTheme="minorEastAsia"/>
          <w:noProof/>
          <w:sz w:val="22"/>
          <w:szCs w:val="22"/>
          <w:lang w:val="en-US"/>
        </w:rPr>
      </w:pPr>
      <w:hyperlink w:anchor="_Toc511409151" w:history="1">
        <w:r w:rsidR="000B768F" w:rsidRPr="008B1D99">
          <w:rPr>
            <w:rStyle w:val="Hyperlink"/>
            <w:noProof/>
            <w:lang w:val="en-US"/>
          </w:rPr>
          <w:t xml:space="preserve">Figure </w:t>
        </w:r>
        <w:r w:rsidR="007E033D">
          <w:rPr>
            <w:rStyle w:val="Hyperlink"/>
            <w:noProof/>
            <w:lang w:val="en-US"/>
          </w:rPr>
          <w:t>B2.2</w:t>
        </w:r>
        <w:r w:rsidR="000B768F" w:rsidRPr="008B1D99">
          <w:rPr>
            <w:rStyle w:val="Hyperlink"/>
            <w:noProof/>
            <w:lang w:val="en-US"/>
          </w:rPr>
          <w:t xml:space="preserve">. </w:t>
        </w:r>
        <w:r w:rsidR="000B768F" w:rsidRPr="008B1D99">
          <w:rPr>
            <w:rStyle w:val="Hyperlink"/>
            <w:rFonts w:cstheme="minorHAnsi"/>
            <w:noProof/>
            <w:lang w:val="en-US"/>
          </w:rPr>
          <w:t>Romanian students abroad by country of destination (2016)</w:t>
        </w:r>
        <w:r w:rsidR="000B768F">
          <w:rPr>
            <w:noProof/>
            <w:webHidden/>
          </w:rPr>
          <w:tab/>
        </w:r>
        <w:r w:rsidR="000B768F">
          <w:rPr>
            <w:noProof/>
            <w:webHidden/>
          </w:rPr>
          <w:fldChar w:fldCharType="begin"/>
        </w:r>
        <w:r w:rsidR="000B768F">
          <w:rPr>
            <w:noProof/>
            <w:webHidden/>
          </w:rPr>
          <w:instrText xml:space="preserve"> PAGEREF _Toc511409151 \h </w:instrText>
        </w:r>
        <w:r w:rsidR="000B768F">
          <w:rPr>
            <w:noProof/>
            <w:webHidden/>
          </w:rPr>
        </w:r>
        <w:r w:rsidR="000B768F">
          <w:rPr>
            <w:noProof/>
            <w:webHidden/>
          </w:rPr>
          <w:fldChar w:fldCharType="separate"/>
        </w:r>
        <w:r w:rsidR="003445E8">
          <w:rPr>
            <w:noProof/>
            <w:webHidden/>
          </w:rPr>
          <w:t>12</w:t>
        </w:r>
        <w:r w:rsidR="000B768F">
          <w:rPr>
            <w:noProof/>
            <w:webHidden/>
          </w:rPr>
          <w:fldChar w:fldCharType="end"/>
        </w:r>
      </w:hyperlink>
    </w:p>
    <w:p w14:paraId="5197F09F" w14:textId="77777777" w:rsidR="007E033D" w:rsidRDefault="007E033D" w:rsidP="00242B25">
      <w:pPr>
        <w:pStyle w:val="TableofFigures"/>
        <w:tabs>
          <w:tab w:val="right" w:leader="dot" w:pos="9725"/>
        </w:tabs>
        <w:jc w:val="both"/>
        <w:rPr>
          <w:noProof/>
        </w:rPr>
      </w:pPr>
      <w:r>
        <w:rPr>
          <w:noProof/>
        </w:rPr>
        <w:t xml:space="preserve"> </w:t>
      </w:r>
    </w:p>
    <w:p w14:paraId="3B718898" w14:textId="3B9D1B8D" w:rsidR="000B768F" w:rsidRDefault="000B768F" w:rsidP="00242B25">
      <w:pPr>
        <w:pStyle w:val="TableofFigures"/>
        <w:tabs>
          <w:tab w:val="right" w:leader="dot" w:pos="9725"/>
        </w:tabs>
        <w:jc w:val="both"/>
        <w:rPr>
          <w:rFonts w:eastAsiaTheme="minorEastAsia"/>
          <w:noProof/>
          <w:sz w:val="22"/>
          <w:szCs w:val="22"/>
          <w:lang w:val="en-US"/>
        </w:rPr>
      </w:pPr>
    </w:p>
    <w:p w14:paraId="679AE9A9" w14:textId="73D96845" w:rsidR="00E15335" w:rsidRPr="00A47A2E" w:rsidRDefault="00E15335" w:rsidP="00242B25">
      <w:pPr>
        <w:jc w:val="both"/>
        <w:rPr>
          <w:rFonts w:cstheme="minorHAnsi"/>
          <w:color w:val="2E74B5" w:themeColor="accent1" w:themeShade="BF"/>
          <w:sz w:val="28"/>
          <w:szCs w:val="28"/>
          <w:lang w:val="en-US"/>
        </w:rPr>
      </w:pPr>
      <w:r w:rsidRPr="00A47A2E">
        <w:rPr>
          <w:rFonts w:cstheme="minorHAnsi"/>
          <w:lang w:val="en-US"/>
        </w:rPr>
        <w:fldChar w:fldCharType="end"/>
      </w:r>
      <w:r w:rsidR="00CE308A" w:rsidRPr="00A47A2E">
        <w:rPr>
          <w:rFonts w:cstheme="minorHAnsi"/>
          <w:color w:val="2E74B5" w:themeColor="accent1" w:themeShade="BF"/>
          <w:sz w:val="28"/>
          <w:szCs w:val="28"/>
          <w:lang w:val="en-US"/>
        </w:rPr>
        <w:t xml:space="preserve">Table </w:t>
      </w:r>
    </w:p>
    <w:p w14:paraId="362775D5" w14:textId="7891F37B" w:rsidR="007256FB" w:rsidRDefault="00E15335" w:rsidP="006F0B13">
      <w:pPr>
        <w:pStyle w:val="TableofFigures"/>
        <w:tabs>
          <w:tab w:val="right" w:leader="dot" w:pos="9725"/>
        </w:tabs>
        <w:rPr>
          <w:rFonts w:cstheme="minorHAnsi"/>
          <w:szCs w:val="20"/>
          <w:lang w:val="en-US"/>
        </w:rPr>
      </w:pPr>
      <w:r w:rsidRPr="00A47A2E">
        <w:rPr>
          <w:rFonts w:cstheme="minorHAnsi"/>
          <w:szCs w:val="20"/>
          <w:lang w:val="en-US"/>
        </w:rPr>
        <w:fldChar w:fldCharType="begin"/>
      </w:r>
      <w:r w:rsidRPr="00A47A2E">
        <w:rPr>
          <w:rFonts w:cstheme="minorHAnsi"/>
          <w:szCs w:val="20"/>
          <w:lang w:val="en-US"/>
        </w:rPr>
        <w:instrText xml:space="preserve"> TOC \h \z \c "Table" </w:instrText>
      </w:r>
      <w:r w:rsidRPr="00A47A2E">
        <w:rPr>
          <w:rFonts w:cstheme="minorHAnsi"/>
          <w:szCs w:val="20"/>
          <w:lang w:val="en-US"/>
        </w:rPr>
        <w:fldChar w:fldCharType="separate"/>
      </w:r>
      <w:hyperlink w:anchor="_Toc511308834" w:history="1">
        <w:r w:rsidR="005E2EA4" w:rsidRPr="00933100">
          <w:rPr>
            <w:rStyle w:val="Hyperlink"/>
            <w:noProof/>
            <w:lang w:val="en-US"/>
          </w:rPr>
          <w:t>Table 1</w:t>
        </w:r>
        <w:r w:rsidR="00C7384E">
          <w:rPr>
            <w:rStyle w:val="Hyperlink"/>
            <w:noProof/>
            <w:lang w:val="en-US"/>
          </w:rPr>
          <w:t>.</w:t>
        </w:r>
        <w:r w:rsidR="005E2EA4" w:rsidRPr="00933100">
          <w:rPr>
            <w:rStyle w:val="Hyperlink"/>
            <w:noProof/>
            <w:lang w:val="en-US"/>
          </w:rPr>
          <w:t xml:space="preserve"> Participation in education of children with migrant parents (</w:t>
        </w:r>
        <w:r w:rsidR="005C79AD">
          <w:rPr>
            <w:rStyle w:val="Hyperlink"/>
            <w:noProof/>
            <w:lang w:val="en-US"/>
          </w:rPr>
          <w:t>percent</w:t>
        </w:r>
        <w:r w:rsidR="005E2EA4" w:rsidRPr="00933100">
          <w:rPr>
            <w:rStyle w:val="Hyperlink"/>
            <w:noProof/>
            <w:lang w:val="en-US"/>
          </w:rPr>
          <w:t>)</w:t>
        </w:r>
        <w:r w:rsidR="005E2EA4">
          <w:rPr>
            <w:noProof/>
            <w:webHidden/>
          </w:rPr>
          <w:tab/>
        </w:r>
        <w:r w:rsidR="005E2EA4">
          <w:rPr>
            <w:noProof/>
            <w:webHidden/>
          </w:rPr>
          <w:fldChar w:fldCharType="begin"/>
        </w:r>
        <w:r w:rsidR="005E2EA4">
          <w:rPr>
            <w:noProof/>
            <w:webHidden/>
          </w:rPr>
          <w:instrText xml:space="preserve"> PAGEREF _Toc511308834 \h </w:instrText>
        </w:r>
        <w:r w:rsidR="005E2EA4">
          <w:rPr>
            <w:noProof/>
            <w:webHidden/>
          </w:rPr>
        </w:r>
        <w:r w:rsidR="005E2EA4">
          <w:rPr>
            <w:noProof/>
            <w:webHidden/>
          </w:rPr>
          <w:fldChar w:fldCharType="separate"/>
        </w:r>
        <w:r w:rsidR="003445E8">
          <w:rPr>
            <w:noProof/>
            <w:webHidden/>
          </w:rPr>
          <w:t>16</w:t>
        </w:r>
        <w:r w:rsidR="005E2EA4">
          <w:rPr>
            <w:noProof/>
            <w:webHidden/>
          </w:rPr>
          <w:fldChar w:fldCharType="end"/>
        </w:r>
      </w:hyperlink>
      <w:r w:rsidRPr="00A47A2E">
        <w:rPr>
          <w:rFonts w:cstheme="minorHAnsi"/>
          <w:szCs w:val="20"/>
          <w:lang w:val="en-US"/>
        </w:rPr>
        <w:fldChar w:fldCharType="end"/>
      </w:r>
    </w:p>
    <w:p w14:paraId="22E03ECD" w14:textId="1D6A5FAB" w:rsidR="00405EE6" w:rsidRPr="00A47A2E" w:rsidRDefault="00405EE6" w:rsidP="00D159E9">
      <w:pPr>
        <w:pStyle w:val="Heading1"/>
        <w:numPr>
          <w:ilvl w:val="0"/>
          <w:numId w:val="0"/>
        </w:numPr>
        <w:spacing w:before="0" w:after="240"/>
        <w:rPr>
          <w:rFonts w:asciiTheme="minorHAnsi" w:hAnsiTheme="minorHAnsi" w:cstheme="minorHAnsi"/>
          <w:lang w:val="en-US"/>
        </w:rPr>
      </w:pPr>
      <w:bookmarkStart w:id="6" w:name="_Toc511308332"/>
      <w:r w:rsidRPr="00A47A2E">
        <w:rPr>
          <w:rFonts w:asciiTheme="minorHAnsi" w:hAnsiTheme="minorHAnsi" w:cstheme="minorHAnsi"/>
          <w:lang w:val="en-US"/>
        </w:rPr>
        <w:lastRenderedPageBreak/>
        <w:t xml:space="preserve">Executive </w:t>
      </w:r>
      <w:bookmarkEnd w:id="6"/>
      <w:r w:rsidR="005C79AD">
        <w:rPr>
          <w:rFonts w:asciiTheme="minorHAnsi" w:hAnsiTheme="minorHAnsi" w:cstheme="minorHAnsi"/>
          <w:lang w:val="en-US"/>
        </w:rPr>
        <w:t>S</w:t>
      </w:r>
      <w:r w:rsidR="005C79AD" w:rsidRPr="00A47A2E">
        <w:rPr>
          <w:rFonts w:asciiTheme="minorHAnsi" w:hAnsiTheme="minorHAnsi" w:cstheme="minorHAnsi"/>
          <w:lang w:val="en-US"/>
        </w:rPr>
        <w:t>ummary</w:t>
      </w:r>
    </w:p>
    <w:p w14:paraId="210416F9" w14:textId="5B587B1B" w:rsidR="000E0041" w:rsidRPr="0078239A" w:rsidRDefault="00917079" w:rsidP="00D159E9">
      <w:pPr>
        <w:spacing w:after="240" w:line="240" w:lineRule="auto"/>
        <w:jc w:val="both"/>
        <w:rPr>
          <w:lang w:val="en-US"/>
        </w:rPr>
      </w:pPr>
      <w:r>
        <w:rPr>
          <w:b/>
          <w:lang w:val="en-US"/>
        </w:rPr>
        <w:t>Romania experienced</w:t>
      </w:r>
      <w:r w:rsidR="004E1ABF" w:rsidRPr="00774638">
        <w:rPr>
          <w:b/>
          <w:lang w:val="en-US"/>
        </w:rPr>
        <w:t xml:space="preserve"> the highest increase in </w:t>
      </w:r>
      <w:r w:rsidR="004E210A">
        <w:rPr>
          <w:b/>
          <w:lang w:val="en-US"/>
        </w:rPr>
        <w:t>e</w:t>
      </w:r>
      <w:r w:rsidR="004E1ABF" w:rsidRPr="00774638">
        <w:rPr>
          <w:b/>
          <w:lang w:val="en-US"/>
        </w:rPr>
        <w:t>migration</w:t>
      </w:r>
      <w:r w:rsidR="00FD19AA">
        <w:rPr>
          <w:b/>
          <w:lang w:val="en-US"/>
        </w:rPr>
        <w:t xml:space="preserve"> among t</w:t>
      </w:r>
      <w:r w:rsidR="004E1ABF" w:rsidRPr="00774638">
        <w:rPr>
          <w:b/>
          <w:lang w:val="en-US"/>
        </w:rPr>
        <w:t xml:space="preserve">he EU </w:t>
      </w:r>
      <w:r w:rsidR="00FD19AA">
        <w:rPr>
          <w:b/>
          <w:lang w:val="en-US"/>
        </w:rPr>
        <w:t xml:space="preserve">countries </w:t>
      </w:r>
      <w:r w:rsidR="004E1ABF" w:rsidRPr="00774638">
        <w:rPr>
          <w:b/>
          <w:lang w:val="en-US"/>
        </w:rPr>
        <w:t>since 1990</w:t>
      </w:r>
      <w:r w:rsidR="004E1ABF" w:rsidRPr="004E1ABF">
        <w:rPr>
          <w:lang w:val="en-US"/>
        </w:rPr>
        <w:t xml:space="preserve">. Between 1990 and 2017, Romania registered the highest increase </w:t>
      </w:r>
      <w:r w:rsidR="004E210A">
        <w:rPr>
          <w:lang w:val="en-US"/>
        </w:rPr>
        <w:t>in the migration stock</w:t>
      </w:r>
      <w:r w:rsidR="004E1ABF" w:rsidRPr="004E1ABF">
        <w:rPr>
          <w:lang w:val="en-US"/>
        </w:rPr>
        <w:t>, at 287 percent</w:t>
      </w:r>
      <w:r w:rsidR="005C79AD">
        <w:rPr>
          <w:lang w:val="en-US"/>
        </w:rPr>
        <w:t>.</w:t>
      </w:r>
      <w:r w:rsidR="004068F9">
        <w:rPr>
          <w:rStyle w:val="FootnoteReference"/>
          <w:lang w:val="en-US"/>
        </w:rPr>
        <w:footnoteReference w:id="1"/>
      </w:r>
      <w:r w:rsidR="004E1ABF" w:rsidRPr="004E1ABF">
        <w:rPr>
          <w:lang w:val="en-US"/>
        </w:rPr>
        <w:t xml:space="preserve"> However, in terms of </w:t>
      </w:r>
      <w:r w:rsidR="00DA7B11">
        <w:rPr>
          <w:lang w:val="en-US"/>
        </w:rPr>
        <w:t>the share of emigrants in population</w:t>
      </w:r>
      <w:r w:rsidR="005C79AD">
        <w:rPr>
          <w:lang w:val="en-US"/>
        </w:rPr>
        <w:t>,</w:t>
      </w:r>
      <w:r w:rsidR="00DA7B11">
        <w:rPr>
          <w:rStyle w:val="FootnoteReference"/>
          <w:lang w:val="en-US"/>
        </w:rPr>
        <w:footnoteReference w:id="2"/>
      </w:r>
      <w:r w:rsidR="00DA7B11">
        <w:rPr>
          <w:lang w:val="en-US"/>
        </w:rPr>
        <w:t xml:space="preserve"> </w:t>
      </w:r>
      <w:r w:rsidR="004E1ABF" w:rsidRPr="004E1ABF">
        <w:rPr>
          <w:lang w:val="en-US"/>
        </w:rPr>
        <w:t>Romania is only</w:t>
      </w:r>
      <w:r>
        <w:rPr>
          <w:lang w:val="en-US"/>
        </w:rPr>
        <w:t xml:space="preserve"> the</w:t>
      </w:r>
      <w:r w:rsidR="004E1ABF" w:rsidRPr="004E1ABF">
        <w:rPr>
          <w:lang w:val="en-US"/>
        </w:rPr>
        <w:t xml:space="preserve"> seventh in </w:t>
      </w:r>
      <w:r w:rsidR="005C79AD">
        <w:rPr>
          <w:lang w:val="en-US"/>
        </w:rPr>
        <w:t xml:space="preserve">the </w:t>
      </w:r>
      <w:r w:rsidR="004E1ABF" w:rsidRPr="004E1ABF">
        <w:rPr>
          <w:lang w:val="en-US"/>
        </w:rPr>
        <w:t>EU</w:t>
      </w:r>
      <w:r w:rsidR="004E210A">
        <w:rPr>
          <w:lang w:val="en-US"/>
        </w:rPr>
        <w:t>,</w:t>
      </w:r>
      <w:r w:rsidR="004E1ABF" w:rsidRPr="0078239A">
        <w:rPr>
          <w:lang w:val="en-US"/>
        </w:rPr>
        <w:t xml:space="preserve"> </w:t>
      </w:r>
      <w:r w:rsidR="004E210A">
        <w:rPr>
          <w:rFonts w:cstheme="minorHAnsi"/>
          <w:color w:val="000000"/>
          <w:lang w:val="en-US"/>
        </w:rPr>
        <w:t>a</w:t>
      </w:r>
      <w:r w:rsidR="000E0041" w:rsidRPr="00774638">
        <w:rPr>
          <w:rFonts w:cstheme="minorHAnsi"/>
          <w:color w:val="000000"/>
          <w:lang w:val="en-US"/>
        </w:rPr>
        <w:t>t 18.2 percent</w:t>
      </w:r>
      <w:r w:rsidR="005C79AD">
        <w:rPr>
          <w:rFonts w:cstheme="minorHAnsi"/>
          <w:color w:val="000000"/>
          <w:lang w:val="en-US"/>
        </w:rPr>
        <w:t>.</w:t>
      </w:r>
      <w:r w:rsidR="000E0041" w:rsidRPr="00774638">
        <w:rPr>
          <w:rStyle w:val="FootnoteReference"/>
          <w:rFonts w:cstheme="minorHAnsi"/>
          <w:color w:val="000000"/>
          <w:lang w:val="en-US"/>
        </w:rPr>
        <w:footnoteReference w:id="3"/>
      </w:r>
      <w:r w:rsidR="000E0041" w:rsidRPr="0078239A">
        <w:rPr>
          <w:rFonts w:cstheme="minorHAnsi"/>
          <w:color w:val="000000"/>
          <w:lang w:val="en-US"/>
        </w:rPr>
        <w:t xml:space="preserve"> Compared with regional peers</w:t>
      </w:r>
      <w:r w:rsidR="005C79AD">
        <w:rPr>
          <w:rFonts w:cstheme="minorHAnsi"/>
          <w:color w:val="000000"/>
          <w:lang w:val="en-US"/>
        </w:rPr>
        <w:t>,</w:t>
      </w:r>
      <w:r w:rsidR="00DA7B11">
        <w:rPr>
          <w:rStyle w:val="FootnoteReference"/>
          <w:rFonts w:cstheme="minorHAnsi"/>
          <w:color w:val="000000"/>
          <w:lang w:val="en-US"/>
        </w:rPr>
        <w:footnoteReference w:id="4"/>
      </w:r>
      <w:r w:rsidR="000E0041" w:rsidRPr="0078239A">
        <w:rPr>
          <w:rFonts w:cstheme="minorHAnsi"/>
          <w:color w:val="000000"/>
          <w:lang w:val="en-US"/>
        </w:rPr>
        <w:t xml:space="preserve"> Romania ranked second, after Croatia</w:t>
      </w:r>
      <w:r>
        <w:rPr>
          <w:rFonts w:cstheme="minorHAnsi"/>
          <w:color w:val="000000"/>
          <w:lang w:val="en-US"/>
        </w:rPr>
        <w:t>,</w:t>
      </w:r>
      <w:r w:rsidR="000E0041" w:rsidRPr="0078239A">
        <w:rPr>
          <w:rFonts w:cstheme="minorHAnsi"/>
          <w:color w:val="000000"/>
          <w:lang w:val="en-US"/>
        </w:rPr>
        <w:t xml:space="preserve"> which recorded a 22.1 percent emigration rate. </w:t>
      </w:r>
      <w:r w:rsidR="007040CF" w:rsidRPr="007040CF">
        <w:rPr>
          <w:rFonts w:cstheme="minorHAnsi"/>
          <w:color w:val="000000"/>
          <w:lang w:val="en-US"/>
        </w:rPr>
        <w:t>The impact of the high number of emigrants from the Eastern European countries was emphasized in numerous studies (OECD 2013, European Commission 2014, IMF 2016). These studies point to a less than clear-cut impact of emigration on the labor market, social and human capital development</w:t>
      </w:r>
      <w:r w:rsidR="005C79AD">
        <w:rPr>
          <w:rFonts w:cstheme="minorHAnsi"/>
          <w:color w:val="000000"/>
          <w:lang w:val="en-US"/>
        </w:rPr>
        <w:t>,</w:t>
      </w:r>
      <w:r w:rsidR="007040CF" w:rsidRPr="007040CF">
        <w:rPr>
          <w:rFonts w:cstheme="minorHAnsi"/>
          <w:color w:val="000000"/>
          <w:lang w:val="en-US"/>
        </w:rPr>
        <w:t xml:space="preserve"> and economic growth.</w:t>
      </w:r>
      <w:r w:rsidR="007040CF">
        <w:rPr>
          <w:rFonts w:cstheme="minorHAnsi"/>
          <w:color w:val="000000"/>
          <w:lang w:val="en-US"/>
        </w:rPr>
        <w:t xml:space="preserve"> </w:t>
      </w:r>
    </w:p>
    <w:p w14:paraId="7A5A4221" w14:textId="6C77976B" w:rsidR="007040CF" w:rsidRDefault="00917079" w:rsidP="00D159E9">
      <w:pPr>
        <w:spacing w:after="240" w:line="240" w:lineRule="auto"/>
        <w:jc w:val="both"/>
        <w:rPr>
          <w:rFonts w:cstheme="minorHAnsi"/>
          <w:color w:val="000000"/>
          <w:lang w:val="en-US"/>
        </w:rPr>
      </w:pPr>
      <w:r>
        <w:rPr>
          <w:rFonts w:cstheme="minorHAnsi"/>
          <w:b/>
          <w:color w:val="000000"/>
          <w:lang w:val="en-US"/>
        </w:rPr>
        <w:t xml:space="preserve">This high emigration dynamic </w:t>
      </w:r>
      <w:r w:rsidR="000701FE" w:rsidRPr="00242B25">
        <w:rPr>
          <w:b/>
          <w:lang w:val="en-US"/>
        </w:rPr>
        <w:t xml:space="preserve">affected </w:t>
      </w:r>
      <w:r w:rsidRPr="00242B25">
        <w:rPr>
          <w:b/>
          <w:lang w:val="en-US"/>
        </w:rPr>
        <w:t xml:space="preserve">both </w:t>
      </w:r>
      <w:r w:rsidR="000701FE" w:rsidRPr="00242B25">
        <w:rPr>
          <w:b/>
          <w:lang w:val="en-US"/>
        </w:rPr>
        <w:t>high-skilled and low-</w:t>
      </w:r>
      <w:r w:rsidR="007040CF" w:rsidRPr="00242B25">
        <w:rPr>
          <w:b/>
          <w:lang w:val="en-US"/>
        </w:rPr>
        <w:t>skilled migration.</w:t>
      </w:r>
      <w:r w:rsidR="007040CF">
        <w:rPr>
          <w:rFonts w:cstheme="minorHAnsi"/>
          <w:b/>
          <w:color w:val="000000"/>
          <w:lang w:val="en-US"/>
        </w:rPr>
        <w:t xml:space="preserve"> </w:t>
      </w:r>
      <w:r w:rsidR="007040CF" w:rsidRPr="00774638">
        <w:rPr>
          <w:rFonts w:cstheme="minorHAnsi"/>
          <w:color w:val="000000"/>
          <w:lang w:val="en-US"/>
        </w:rPr>
        <w:t>The structu</w:t>
      </w:r>
      <w:r w:rsidR="004068F9">
        <w:rPr>
          <w:rFonts w:cstheme="minorHAnsi"/>
          <w:color w:val="000000"/>
          <w:lang w:val="en-US"/>
        </w:rPr>
        <w:t>re of emigration by skill level</w:t>
      </w:r>
      <w:r w:rsidR="004068F9">
        <w:rPr>
          <w:rStyle w:val="FootnoteReference"/>
          <w:rFonts w:cstheme="minorHAnsi"/>
          <w:color w:val="000000"/>
          <w:lang w:val="en-US"/>
        </w:rPr>
        <w:footnoteReference w:id="5"/>
      </w:r>
      <w:r w:rsidR="004068F9">
        <w:rPr>
          <w:rFonts w:cstheme="minorHAnsi"/>
          <w:color w:val="000000"/>
          <w:lang w:val="en-US"/>
        </w:rPr>
        <w:t xml:space="preserve"> </w:t>
      </w:r>
      <w:r w:rsidR="007040CF" w:rsidRPr="00774638">
        <w:rPr>
          <w:rFonts w:cstheme="minorHAnsi"/>
          <w:color w:val="000000"/>
          <w:lang w:val="en-US"/>
        </w:rPr>
        <w:t>reflects the prevalence of two types of emigratio</w:t>
      </w:r>
      <w:r w:rsidR="00673EB0" w:rsidRPr="0078239A">
        <w:rPr>
          <w:rFonts w:cstheme="minorHAnsi"/>
          <w:color w:val="000000"/>
          <w:lang w:val="en-US"/>
        </w:rPr>
        <w:t xml:space="preserve">n. The highest emigration rate </w:t>
      </w:r>
      <w:r w:rsidR="00673EB0">
        <w:rPr>
          <w:rFonts w:cstheme="minorHAnsi"/>
          <w:color w:val="000000"/>
          <w:lang w:val="en-US"/>
        </w:rPr>
        <w:t>is</w:t>
      </w:r>
      <w:r w:rsidR="007040CF" w:rsidRPr="00774638">
        <w:rPr>
          <w:rFonts w:cstheme="minorHAnsi"/>
          <w:color w:val="000000"/>
          <w:lang w:val="en-US"/>
        </w:rPr>
        <w:t xml:space="preserve"> registered for high-skilled emigrants at 26.6 percent, followed by low-skilled emigrants at 20 percent. The lowest emigration rate is recorded for medium-skilled emigrants at 15.7</w:t>
      </w:r>
      <w:r w:rsidR="007040CF" w:rsidRPr="0078239A">
        <w:rPr>
          <w:rFonts w:cstheme="minorHAnsi"/>
          <w:color w:val="000000"/>
          <w:lang w:val="en-US"/>
        </w:rPr>
        <w:t xml:space="preserve"> percent</w:t>
      </w:r>
      <w:r w:rsidR="007040CF" w:rsidRPr="00774638">
        <w:rPr>
          <w:rFonts w:cstheme="minorHAnsi"/>
          <w:color w:val="000000"/>
          <w:lang w:val="en-US"/>
        </w:rPr>
        <w:t>. The structure has important consequences for the contribution of labor to growth and for the Romanian labor market (Mereuta 2012, European Commission 2014, IMF 2016). For example, the number of physicians working abroad exceeded 14 thousand as of 2013</w:t>
      </w:r>
      <w:r w:rsidR="005C79AD">
        <w:rPr>
          <w:rFonts w:cstheme="minorHAnsi"/>
          <w:color w:val="000000"/>
          <w:lang w:val="en-US"/>
        </w:rPr>
        <w:t>,</w:t>
      </w:r>
      <w:r w:rsidR="007040CF" w:rsidRPr="00774638">
        <w:rPr>
          <w:rFonts w:cstheme="minorHAnsi"/>
          <w:color w:val="000000"/>
          <w:lang w:val="en-US"/>
        </w:rPr>
        <w:t xml:space="preserve"> representing more than 26 percent of the total number of Romanian physicians.</w:t>
      </w:r>
    </w:p>
    <w:p w14:paraId="2E77CA64" w14:textId="3F26098A" w:rsidR="00FD19AA" w:rsidRPr="00E61311" w:rsidRDefault="00DE1733" w:rsidP="00D159E9">
      <w:pPr>
        <w:pStyle w:val="ListParagraph"/>
        <w:spacing w:after="240" w:line="240" w:lineRule="auto"/>
        <w:ind w:left="0"/>
        <w:contextualSpacing w:val="0"/>
        <w:jc w:val="both"/>
        <w:rPr>
          <w:color w:val="000000" w:themeColor="text1"/>
          <w:lang w:val="en-US"/>
        </w:rPr>
      </w:pPr>
      <w:r w:rsidRPr="00242B25">
        <w:rPr>
          <w:b/>
          <w:lang w:val="en-US"/>
        </w:rPr>
        <w:t xml:space="preserve">Migration had a negative impact on the labor market. </w:t>
      </w:r>
      <w:r w:rsidR="00FA4908" w:rsidRPr="00774638">
        <w:rPr>
          <w:rFonts w:cstheme="minorHAnsi"/>
          <w:lang w:val="en-US"/>
        </w:rPr>
        <w:t>Workin</w:t>
      </w:r>
      <w:r w:rsidR="005A3A3F">
        <w:rPr>
          <w:rFonts w:cstheme="minorHAnsi"/>
          <w:lang w:val="en-US"/>
        </w:rPr>
        <w:t>g-</w:t>
      </w:r>
      <w:r w:rsidR="00FA4908" w:rsidRPr="00774638">
        <w:rPr>
          <w:rFonts w:cstheme="minorHAnsi"/>
          <w:lang w:val="en-US"/>
        </w:rPr>
        <w:t>age emigrants exceed</w:t>
      </w:r>
      <w:r w:rsidR="00D93853" w:rsidRPr="00774638">
        <w:rPr>
          <w:rFonts w:cstheme="minorHAnsi"/>
          <w:lang w:val="en-US"/>
        </w:rPr>
        <w:t xml:space="preserve"> 2.6</w:t>
      </w:r>
      <w:r w:rsidR="000E0041" w:rsidRPr="00774638">
        <w:rPr>
          <w:rFonts w:cstheme="minorHAnsi"/>
          <w:lang w:val="en-US"/>
        </w:rPr>
        <w:t>5</w:t>
      </w:r>
      <w:r w:rsidR="00D93853" w:rsidRPr="00774638">
        <w:rPr>
          <w:rFonts w:cstheme="minorHAnsi"/>
          <w:lang w:val="en-US"/>
        </w:rPr>
        <w:t xml:space="preserve"> million persons</w:t>
      </w:r>
      <w:r w:rsidR="005A3A3F">
        <w:rPr>
          <w:rFonts w:cstheme="minorHAnsi"/>
          <w:lang w:val="en-US"/>
        </w:rPr>
        <w:t>,</w:t>
      </w:r>
      <w:r w:rsidR="00D93853" w:rsidRPr="00774638">
        <w:rPr>
          <w:rFonts w:cstheme="minorHAnsi"/>
          <w:lang w:val="en-US"/>
        </w:rPr>
        <w:t xml:space="preserve"> accounting for </w:t>
      </w:r>
      <w:r w:rsidR="005A3A3F">
        <w:rPr>
          <w:rFonts w:cstheme="minorHAnsi"/>
          <w:lang w:val="en-US"/>
        </w:rPr>
        <w:t>about</w:t>
      </w:r>
      <w:r w:rsidR="005A3A3F" w:rsidRPr="00774638">
        <w:rPr>
          <w:rFonts w:cstheme="minorHAnsi"/>
          <w:lang w:val="en-US"/>
        </w:rPr>
        <w:t xml:space="preserve"> </w:t>
      </w:r>
      <w:r w:rsidR="00D93853" w:rsidRPr="00774638">
        <w:rPr>
          <w:rFonts w:cstheme="minorHAnsi"/>
          <w:lang w:val="en-US"/>
        </w:rPr>
        <w:t>20</w:t>
      </w:r>
      <w:r w:rsidR="000E0041" w:rsidRPr="00774638">
        <w:rPr>
          <w:rFonts w:cstheme="minorHAnsi"/>
          <w:lang w:val="en-US"/>
        </w:rPr>
        <w:t>.6</w:t>
      </w:r>
      <w:r w:rsidR="00D93853" w:rsidRPr="00774638">
        <w:rPr>
          <w:rFonts w:cstheme="minorHAnsi"/>
          <w:lang w:val="en-US"/>
        </w:rPr>
        <w:t xml:space="preserve"> percent of the Romanian working population</w:t>
      </w:r>
      <w:r w:rsidR="005A3A3F">
        <w:rPr>
          <w:rFonts w:cstheme="minorHAnsi"/>
          <w:lang w:val="en-US"/>
        </w:rPr>
        <w:t>.</w:t>
      </w:r>
      <w:r w:rsidR="000E0041">
        <w:rPr>
          <w:rStyle w:val="FootnoteReference"/>
          <w:rFonts w:cstheme="minorHAnsi"/>
          <w:lang w:val="en-US"/>
        </w:rPr>
        <w:footnoteReference w:id="6"/>
      </w:r>
      <w:r w:rsidR="005A3A3F">
        <w:rPr>
          <w:rFonts w:cstheme="minorHAnsi"/>
          <w:b/>
          <w:lang w:val="en-US"/>
        </w:rPr>
        <w:t xml:space="preserve"> </w:t>
      </w:r>
      <w:r>
        <w:rPr>
          <w:rFonts w:cstheme="minorHAnsi"/>
          <w:lang w:val="en-US"/>
        </w:rPr>
        <w:t>This high outflow had a negative impact on the working-age population growth</w:t>
      </w:r>
      <w:r w:rsidR="002337BF">
        <w:rPr>
          <w:rFonts w:cstheme="minorHAnsi"/>
          <w:lang w:val="en-US"/>
        </w:rPr>
        <w:t xml:space="preserve">. </w:t>
      </w:r>
      <w:r w:rsidR="0019754E" w:rsidRPr="00E61311">
        <w:rPr>
          <w:rFonts w:cstheme="minorHAnsi"/>
          <w:color w:val="000000" w:themeColor="text1"/>
          <w:lang w:val="en-US"/>
        </w:rPr>
        <w:t>T</w:t>
      </w:r>
      <w:r w:rsidR="006C7F96" w:rsidRPr="00E61311">
        <w:rPr>
          <w:rFonts w:cstheme="minorHAnsi"/>
          <w:color w:val="000000" w:themeColor="text1"/>
          <w:lang w:val="en-US"/>
        </w:rPr>
        <w:t>he</w:t>
      </w:r>
      <w:r w:rsidR="009D73CC" w:rsidRPr="00E61311">
        <w:rPr>
          <w:rFonts w:cstheme="minorHAnsi"/>
          <w:color w:val="000000" w:themeColor="text1"/>
          <w:lang w:val="en-US"/>
        </w:rPr>
        <w:t xml:space="preserve"> </w:t>
      </w:r>
      <w:r w:rsidR="00F437DC" w:rsidRPr="00E61311">
        <w:rPr>
          <w:rFonts w:cstheme="minorHAnsi"/>
          <w:color w:val="000000" w:themeColor="text1"/>
          <w:lang w:val="en-US"/>
        </w:rPr>
        <w:t>average annual</w:t>
      </w:r>
      <w:r w:rsidR="002A5574" w:rsidRPr="00E61311">
        <w:rPr>
          <w:rFonts w:cstheme="minorHAnsi"/>
          <w:color w:val="000000" w:themeColor="text1"/>
          <w:lang w:val="en-US"/>
        </w:rPr>
        <w:t xml:space="preserve"> </w:t>
      </w:r>
      <w:r w:rsidR="00CA2A8A" w:rsidRPr="00E61311">
        <w:rPr>
          <w:rFonts w:cstheme="minorHAnsi"/>
          <w:color w:val="000000" w:themeColor="text1"/>
          <w:lang w:val="en-US"/>
        </w:rPr>
        <w:t>working</w:t>
      </w:r>
      <w:r w:rsidR="00F437DC" w:rsidRPr="00E61311">
        <w:rPr>
          <w:rFonts w:cstheme="minorHAnsi"/>
          <w:color w:val="000000" w:themeColor="text1"/>
          <w:lang w:val="en-US"/>
        </w:rPr>
        <w:t>-</w:t>
      </w:r>
      <w:r w:rsidR="00CA2A8A" w:rsidRPr="00E61311">
        <w:rPr>
          <w:rFonts w:cstheme="minorHAnsi"/>
          <w:color w:val="000000" w:themeColor="text1"/>
          <w:lang w:val="en-US"/>
        </w:rPr>
        <w:t>age population growth</w:t>
      </w:r>
      <w:r w:rsidR="002A5574" w:rsidRPr="00E61311">
        <w:rPr>
          <w:rFonts w:cstheme="minorHAnsi"/>
          <w:color w:val="000000" w:themeColor="text1"/>
          <w:lang w:val="en-US"/>
        </w:rPr>
        <w:t xml:space="preserve"> in Romania</w:t>
      </w:r>
      <w:r w:rsidR="0019754E" w:rsidRPr="00E61311">
        <w:rPr>
          <w:rFonts w:cstheme="minorHAnsi"/>
          <w:color w:val="000000" w:themeColor="text1"/>
          <w:lang w:val="en-US"/>
        </w:rPr>
        <w:t>, for example,</w:t>
      </w:r>
      <w:r w:rsidR="00CA2A8A" w:rsidRPr="00E61311">
        <w:rPr>
          <w:rFonts w:cstheme="minorHAnsi"/>
          <w:color w:val="000000" w:themeColor="text1"/>
          <w:lang w:val="en-US"/>
        </w:rPr>
        <w:t xml:space="preserve"> would have been </w:t>
      </w:r>
      <w:r w:rsidR="008425CB" w:rsidRPr="00E61311">
        <w:rPr>
          <w:rFonts w:cstheme="minorHAnsi"/>
          <w:color w:val="000000" w:themeColor="text1"/>
          <w:lang w:val="en-US"/>
        </w:rPr>
        <w:t xml:space="preserve">around </w:t>
      </w:r>
      <w:r w:rsidR="00F437DC" w:rsidRPr="00E61311">
        <w:rPr>
          <w:rFonts w:cstheme="minorHAnsi"/>
          <w:color w:val="000000" w:themeColor="text1"/>
          <w:lang w:val="en-US"/>
        </w:rPr>
        <w:t>0.9 percent</w:t>
      </w:r>
      <w:r w:rsidR="002A5574" w:rsidRPr="00E61311">
        <w:rPr>
          <w:rFonts w:cstheme="minorHAnsi"/>
          <w:color w:val="000000" w:themeColor="text1"/>
          <w:lang w:val="en-US"/>
        </w:rPr>
        <w:t>age points</w:t>
      </w:r>
      <w:r w:rsidR="00F437DC" w:rsidRPr="00E61311">
        <w:rPr>
          <w:rFonts w:cstheme="minorHAnsi"/>
          <w:color w:val="000000" w:themeColor="text1"/>
          <w:lang w:val="en-US"/>
        </w:rPr>
        <w:t xml:space="preserve"> higher in </w:t>
      </w:r>
      <w:r w:rsidR="005A3A3F">
        <w:rPr>
          <w:rFonts w:cstheme="minorHAnsi"/>
          <w:color w:val="000000" w:themeColor="text1"/>
          <w:lang w:val="en-US"/>
        </w:rPr>
        <w:t xml:space="preserve">the </w:t>
      </w:r>
      <w:r w:rsidR="00F437DC" w:rsidRPr="00E61311">
        <w:rPr>
          <w:rFonts w:cstheme="minorHAnsi"/>
          <w:color w:val="000000" w:themeColor="text1"/>
          <w:lang w:val="en-US"/>
        </w:rPr>
        <w:t>absence of emigration</w:t>
      </w:r>
      <w:r w:rsidR="002A5574" w:rsidRPr="00E61311">
        <w:rPr>
          <w:rFonts w:cstheme="minorHAnsi"/>
          <w:color w:val="000000" w:themeColor="text1"/>
          <w:lang w:val="en-US"/>
        </w:rPr>
        <w:t xml:space="preserve"> (IMF 2016)</w:t>
      </w:r>
      <w:r w:rsidRPr="00E61311">
        <w:rPr>
          <w:rFonts w:cstheme="minorHAnsi"/>
          <w:color w:val="000000" w:themeColor="text1"/>
          <w:lang w:val="en-US"/>
        </w:rPr>
        <w:t>. Real labor productivity growth was also affected</w:t>
      </w:r>
      <w:r w:rsidR="005A3A3F">
        <w:rPr>
          <w:rFonts w:cstheme="minorHAnsi"/>
          <w:color w:val="000000" w:themeColor="text1"/>
          <w:lang w:val="en-US"/>
        </w:rPr>
        <w:t>,</w:t>
      </w:r>
      <w:r w:rsidRPr="00E61311">
        <w:rPr>
          <w:rFonts w:cstheme="minorHAnsi"/>
          <w:color w:val="000000" w:themeColor="text1"/>
          <w:lang w:val="en-US"/>
        </w:rPr>
        <w:t xml:space="preserve"> especially </w:t>
      </w:r>
      <w:r w:rsidR="005A3A3F">
        <w:rPr>
          <w:rFonts w:cstheme="minorHAnsi"/>
          <w:color w:val="000000" w:themeColor="text1"/>
          <w:lang w:val="en-US"/>
        </w:rPr>
        <w:t xml:space="preserve">by </w:t>
      </w:r>
      <w:r w:rsidRPr="00E61311">
        <w:rPr>
          <w:rFonts w:cstheme="minorHAnsi"/>
          <w:color w:val="000000" w:themeColor="text1"/>
          <w:lang w:val="en-US"/>
        </w:rPr>
        <w:t xml:space="preserve">the high emigration rate of skilled emigrants (IMF 2016). </w:t>
      </w:r>
      <w:r w:rsidR="00774638" w:rsidRPr="00E61311">
        <w:rPr>
          <w:rFonts w:cstheme="minorHAnsi"/>
          <w:color w:val="000000" w:themeColor="text1"/>
          <w:lang w:val="en-US"/>
        </w:rPr>
        <w:t>This large outflow of labor</w:t>
      </w:r>
      <w:r w:rsidR="00FD19AA" w:rsidRPr="00E61311">
        <w:rPr>
          <w:rFonts w:cstheme="minorHAnsi"/>
          <w:color w:val="000000" w:themeColor="text1"/>
          <w:lang w:val="en-US"/>
        </w:rPr>
        <w:t xml:space="preserve"> led to significant</w:t>
      </w:r>
      <w:r w:rsidR="00FD19AA" w:rsidRPr="00E61311">
        <w:rPr>
          <w:color w:val="000000" w:themeColor="text1"/>
          <w:lang w:val="en-US"/>
        </w:rPr>
        <w:t xml:space="preserve"> </w:t>
      </w:r>
      <w:r w:rsidR="00D73157" w:rsidRPr="00E61311">
        <w:rPr>
          <w:color w:val="000000" w:themeColor="text1"/>
          <w:lang w:val="en-US"/>
        </w:rPr>
        <w:t>s</w:t>
      </w:r>
      <w:r w:rsidR="00D93853" w:rsidRPr="00E61311">
        <w:rPr>
          <w:color w:val="000000" w:themeColor="text1"/>
          <w:lang w:val="en-US"/>
        </w:rPr>
        <w:t>upply shortage</w:t>
      </w:r>
      <w:r w:rsidR="00D73157" w:rsidRPr="00E61311">
        <w:rPr>
          <w:color w:val="000000" w:themeColor="text1"/>
          <w:lang w:val="en-US"/>
        </w:rPr>
        <w:t>s</w:t>
      </w:r>
      <w:r w:rsidR="00FD19AA" w:rsidRPr="00E61311">
        <w:rPr>
          <w:color w:val="000000" w:themeColor="text1"/>
          <w:lang w:val="en-US"/>
        </w:rPr>
        <w:t>, mainly</w:t>
      </w:r>
      <w:r w:rsidR="00D93853" w:rsidRPr="00E61311">
        <w:rPr>
          <w:color w:val="000000" w:themeColor="text1"/>
          <w:lang w:val="en-US"/>
        </w:rPr>
        <w:t xml:space="preserve"> for </w:t>
      </w:r>
      <w:r w:rsidR="00D73157" w:rsidRPr="00E61311">
        <w:rPr>
          <w:color w:val="000000" w:themeColor="text1"/>
          <w:lang w:val="en-US"/>
        </w:rPr>
        <w:t xml:space="preserve">the </w:t>
      </w:r>
      <w:r w:rsidR="003710FF" w:rsidRPr="00E61311">
        <w:rPr>
          <w:color w:val="000000" w:themeColor="text1"/>
          <w:lang w:val="en-US"/>
        </w:rPr>
        <w:t>high-</w:t>
      </w:r>
      <w:r w:rsidR="00D93853" w:rsidRPr="00E61311">
        <w:rPr>
          <w:color w:val="000000" w:themeColor="text1"/>
          <w:lang w:val="en-US"/>
        </w:rPr>
        <w:t xml:space="preserve">skilled workers and </w:t>
      </w:r>
      <w:r w:rsidR="00D73157" w:rsidRPr="00E61311">
        <w:rPr>
          <w:color w:val="000000" w:themeColor="text1"/>
          <w:lang w:val="en-US"/>
        </w:rPr>
        <w:t xml:space="preserve">the </w:t>
      </w:r>
      <w:r w:rsidR="00D93853" w:rsidRPr="00E61311">
        <w:rPr>
          <w:color w:val="000000" w:themeColor="text1"/>
          <w:lang w:val="en-US"/>
        </w:rPr>
        <w:t>skilled manual workers</w:t>
      </w:r>
      <w:r w:rsidR="001A6427" w:rsidRPr="00E61311">
        <w:rPr>
          <w:color w:val="000000" w:themeColor="text1"/>
          <w:lang w:val="en-US"/>
        </w:rPr>
        <w:t xml:space="preserve">. </w:t>
      </w:r>
      <w:r w:rsidR="00673EB0" w:rsidRPr="00E61311">
        <w:rPr>
          <w:color w:val="000000" w:themeColor="text1"/>
          <w:lang w:val="en-US"/>
        </w:rPr>
        <w:t>ICT, health and education, science and engineering professionals</w:t>
      </w:r>
      <w:r w:rsidR="005A3A3F">
        <w:rPr>
          <w:color w:val="000000" w:themeColor="text1"/>
          <w:lang w:val="en-US"/>
        </w:rPr>
        <w:t>,</w:t>
      </w:r>
      <w:r w:rsidR="00673EB0" w:rsidRPr="00E61311">
        <w:rPr>
          <w:color w:val="000000" w:themeColor="text1"/>
          <w:lang w:val="en-US"/>
        </w:rPr>
        <w:t xml:space="preserve"> and technicians were mainly affected (European Commission 2014).</w:t>
      </w:r>
    </w:p>
    <w:p w14:paraId="78F1589C" w14:textId="52E3477F" w:rsidR="00D93853" w:rsidRPr="00A47A2E" w:rsidRDefault="00FD19AA" w:rsidP="00D159E9">
      <w:pPr>
        <w:spacing w:after="240" w:line="240" w:lineRule="auto"/>
        <w:jc w:val="both"/>
        <w:rPr>
          <w:lang w:val="en-US"/>
        </w:rPr>
      </w:pPr>
      <w:r w:rsidRPr="00242B25">
        <w:rPr>
          <w:b/>
          <w:color w:val="000000" w:themeColor="text1"/>
          <w:lang w:val="en-US"/>
        </w:rPr>
        <w:t xml:space="preserve">The impact of migration on economic growth has been </w:t>
      </w:r>
      <w:r w:rsidRPr="00242B25">
        <w:rPr>
          <w:b/>
          <w:lang w:val="en-US"/>
        </w:rPr>
        <w:t xml:space="preserve">mixed. </w:t>
      </w:r>
      <w:r w:rsidR="00844527" w:rsidRPr="00242B25">
        <w:rPr>
          <w:lang w:val="en-US"/>
        </w:rPr>
        <w:t>Labor productivity was positively affected by t</w:t>
      </w:r>
      <w:r w:rsidR="001F02B4" w:rsidRPr="00242B25">
        <w:rPr>
          <w:lang w:val="en-US"/>
        </w:rPr>
        <w:t xml:space="preserve">he returning Romanian migrants </w:t>
      </w:r>
      <w:r w:rsidR="001F02B4">
        <w:rPr>
          <w:rFonts w:eastAsia="Times New Roman" w:cstheme="minorHAnsi"/>
          <w:lang w:val="en-US"/>
        </w:rPr>
        <w:t xml:space="preserve">(Léon-Ledesma and Piracha </w:t>
      </w:r>
      <w:r w:rsidR="001F02B4" w:rsidRPr="00BB1D4F">
        <w:rPr>
          <w:rFonts w:eastAsia="Times New Roman" w:cstheme="minorHAnsi"/>
          <w:lang w:val="en-US"/>
        </w:rPr>
        <w:t>2004</w:t>
      </w:r>
      <w:r w:rsidR="001F02B4">
        <w:rPr>
          <w:rFonts w:eastAsia="Times New Roman" w:cstheme="minorHAnsi"/>
          <w:lang w:val="en-US"/>
        </w:rPr>
        <w:t xml:space="preserve">, </w:t>
      </w:r>
      <w:r w:rsidR="001F02B4">
        <w:rPr>
          <w:rFonts w:cstheme="minorHAnsi"/>
          <w:color w:val="000000" w:themeColor="text1"/>
          <w:lang w:val="en-US"/>
        </w:rPr>
        <w:t>Radu and Epstein 2007, Mereuta 2012)</w:t>
      </w:r>
      <w:r w:rsidR="00844527">
        <w:rPr>
          <w:rFonts w:cstheme="minorHAnsi"/>
          <w:color w:val="000000" w:themeColor="text1"/>
          <w:lang w:val="en-US"/>
        </w:rPr>
        <w:t xml:space="preserve"> </w:t>
      </w:r>
      <w:r w:rsidR="00844527">
        <w:rPr>
          <w:rFonts w:eastAsia="Times New Roman" w:cstheme="minorHAnsi"/>
          <w:lang w:val="en-US"/>
        </w:rPr>
        <w:t xml:space="preserve">while remittances boosted investment (Léon-Ledesma and Piracha </w:t>
      </w:r>
      <w:r w:rsidR="00844527" w:rsidRPr="00BB1D4F">
        <w:rPr>
          <w:rFonts w:eastAsia="Times New Roman" w:cstheme="minorHAnsi"/>
          <w:lang w:val="en-US"/>
        </w:rPr>
        <w:t>2004</w:t>
      </w:r>
      <w:r w:rsidR="00844527">
        <w:rPr>
          <w:rFonts w:eastAsia="Times New Roman" w:cstheme="minorHAnsi"/>
          <w:lang w:val="en-US"/>
        </w:rPr>
        <w:t xml:space="preserve">, </w:t>
      </w:r>
      <w:r w:rsidR="00844527">
        <w:rPr>
          <w:rFonts w:cstheme="minorHAnsi"/>
          <w:color w:val="000000" w:themeColor="text1"/>
          <w:lang w:val="en-US"/>
        </w:rPr>
        <w:t xml:space="preserve">Radu and Epstein 2007, Mereuta 2012). On the negative side, </w:t>
      </w:r>
      <w:r w:rsidR="00844527" w:rsidRPr="00844527">
        <w:rPr>
          <w:rFonts w:cstheme="minorHAnsi"/>
          <w:color w:val="000000" w:themeColor="text1"/>
          <w:lang w:val="en-US"/>
        </w:rPr>
        <w:t xml:space="preserve">cumulative real GDP growth would have been </w:t>
      </w:r>
      <w:r w:rsidR="005A3A3F">
        <w:rPr>
          <w:rFonts w:cstheme="minorHAnsi"/>
          <w:color w:val="000000" w:themeColor="text1"/>
          <w:lang w:val="en-US"/>
        </w:rPr>
        <w:t>about</w:t>
      </w:r>
      <w:r w:rsidR="005A3A3F" w:rsidRPr="00844527">
        <w:rPr>
          <w:rFonts w:cstheme="minorHAnsi"/>
          <w:color w:val="000000" w:themeColor="text1"/>
          <w:lang w:val="en-US"/>
        </w:rPr>
        <w:t xml:space="preserve"> </w:t>
      </w:r>
      <w:r w:rsidR="00844527" w:rsidRPr="00844527">
        <w:rPr>
          <w:rFonts w:cstheme="minorHAnsi"/>
          <w:color w:val="000000" w:themeColor="text1"/>
          <w:lang w:val="en-US"/>
        </w:rPr>
        <w:t xml:space="preserve">10 percentage points higher on average in Romania in </w:t>
      </w:r>
      <w:r w:rsidR="005A3A3F">
        <w:rPr>
          <w:rFonts w:cstheme="minorHAnsi"/>
          <w:color w:val="000000" w:themeColor="text1"/>
          <w:lang w:val="en-US"/>
        </w:rPr>
        <w:t xml:space="preserve">the </w:t>
      </w:r>
      <w:r w:rsidR="00844527" w:rsidRPr="00844527">
        <w:rPr>
          <w:rFonts w:cstheme="minorHAnsi"/>
          <w:color w:val="000000" w:themeColor="text1"/>
          <w:lang w:val="en-US"/>
        </w:rPr>
        <w:t>absence of emigration</w:t>
      </w:r>
      <w:r w:rsidR="00844527">
        <w:rPr>
          <w:rFonts w:cstheme="minorHAnsi"/>
          <w:color w:val="000000" w:themeColor="text1"/>
          <w:lang w:val="en-US"/>
        </w:rPr>
        <w:t xml:space="preserve">. </w:t>
      </w:r>
      <w:r w:rsidR="0078239A">
        <w:rPr>
          <w:rFonts w:cstheme="minorHAnsi"/>
          <w:color w:val="000000" w:themeColor="text1"/>
          <w:lang w:val="en-US"/>
        </w:rPr>
        <w:t>H</w:t>
      </w:r>
      <w:r w:rsidR="003710FF">
        <w:rPr>
          <w:rFonts w:cstheme="minorHAnsi"/>
          <w:color w:val="000000" w:themeColor="text1"/>
          <w:lang w:val="en-US"/>
        </w:rPr>
        <w:t>igh-</w:t>
      </w:r>
      <w:r w:rsidR="00844527">
        <w:rPr>
          <w:rFonts w:cstheme="minorHAnsi"/>
          <w:color w:val="000000" w:themeColor="text1"/>
          <w:lang w:val="en-US"/>
        </w:rPr>
        <w:t xml:space="preserve">skilled emigration </w:t>
      </w:r>
      <w:r w:rsidR="0078239A">
        <w:rPr>
          <w:rFonts w:cstheme="minorHAnsi"/>
          <w:color w:val="000000" w:themeColor="text1"/>
          <w:lang w:val="en-US"/>
        </w:rPr>
        <w:t>was the main cause</w:t>
      </w:r>
      <w:r w:rsidR="004A2501">
        <w:rPr>
          <w:rFonts w:cstheme="minorHAnsi"/>
          <w:color w:val="000000" w:themeColor="text1"/>
          <w:lang w:val="en-US"/>
        </w:rPr>
        <w:t xml:space="preserve">, accounting for </w:t>
      </w:r>
      <w:r w:rsidR="005A3A3F">
        <w:rPr>
          <w:rFonts w:cstheme="minorHAnsi"/>
          <w:color w:val="000000" w:themeColor="text1"/>
          <w:lang w:val="en-US"/>
        </w:rPr>
        <w:t xml:space="preserve">more than </w:t>
      </w:r>
      <w:r w:rsidR="004A2501">
        <w:rPr>
          <w:rFonts w:cstheme="minorHAnsi"/>
          <w:color w:val="000000" w:themeColor="text1"/>
          <w:lang w:val="en-US"/>
        </w:rPr>
        <w:t>95 percent of the</w:t>
      </w:r>
      <w:r w:rsidR="0078239A">
        <w:rPr>
          <w:rFonts w:cstheme="minorHAnsi"/>
          <w:color w:val="000000" w:themeColor="text1"/>
          <w:lang w:val="en-US"/>
        </w:rPr>
        <w:t xml:space="preserve"> negative impact </w:t>
      </w:r>
      <w:r w:rsidR="004A2501">
        <w:rPr>
          <w:rFonts w:cstheme="minorHAnsi"/>
          <w:color w:val="000000" w:themeColor="text1"/>
          <w:lang w:val="en-US"/>
        </w:rPr>
        <w:t xml:space="preserve">on growth </w:t>
      </w:r>
      <w:r w:rsidR="00844527">
        <w:rPr>
          <w:rFonts w:cstheme="minorHAnsi"/>
          <w:color w:val="000000" w:themeColor="text1"/>
          <w:lang w:val="en-US"/>
        </w:rPr>
        <w:t xml:space="preserve">(IMF 2016). </w:t>
      </w:r>
    </w:p>
    <w:p w14:paraId="4047F797" w14:textId="63B7E5F8" w:rsidR="004068F9" w:rsidRPr="004068F9" w:rsidRDefault="003A13FC" w:rsidP="00D159E9">
      <w:pPr>
        <w:spacing w:after="240" w:line="240" w:lineRule="auto"/>
        <w:jc w:val="both"/>
        <w:rPr>
          <w:lang w:val="en-US"/>
        </w:rPr>
      </w:pPr>
      <w:r>
        <w:rPr>
          <w:b/>
          <w:lang w:val="en-US"/>
        </w:rPr>
        <w:lastRenderedPageBreak/>
        <w:t>Remittances had a posit</w:t>
      </w:r>
      <w:r w:rsidR="002D0F3A">
        <w:rPr>
          <w:b/>
          <w:lang w:val="en-US"/>
        </w:rPr>
        <w:t xml:space="preserve">ive impact on poverty </w:t>
      </w:r>
      <w:r>
        <w:rPr>
          <w:b/>
          <w:lang w:val="en-US"/>
        </w:rPr>
        <w:t xml:space="preserve">and </w:t>
      </w:r>
      <w:r w:rsidR="00D93853" w:rsidRPr="00A47A2E">
        <w:rPr>
          <w:b/>
          <w:lang w:val="en-US"/>
        </w:rPr>
        <w:t>income inequality</w:t>
      </w:r>
      <w:r w:rsidR="002D0F3A">
        <w:rPr>
          <w:b/>
          <w:lang w:val="en-US"/>
        </w:rPr>
        <w:t xml:space="preserve"> reduction</w:t>
      </w:r>
      <w:r w:rsidR="00D93853" w:rsidRPr="00A47A2E">
        <w:rPr>
          <w:b/>
          <w:lang w:val="en-US"/>
        </w:rPr>
        <w:t xml:space="preserve">. </w:t>
      </w:r>
      <w:r w:rsidR="00D044F3" w:rsidRPr="00774638">
        <w:rPr>
          <w:lang w:val="en-US"/>
        </w:rPr>
        <w:t xml:space="preserve">Various panel </w:t>
      </w:r>
      <w:r w:rsidR="00D044F3">
        <w:rPr>
          <w:lang w:val="en-US"/>
        </w:rPr>
        <w:t xml:space="preserve">data </w:t>
      </w:r>
      <w:r w:rsidR="00D044F3" w:rsidRPr="00774638">
        <w:rPr>
          <w:lang w:val="en-US"/>
        </w:rPr>
        <w:t>analys</w:t>
      </w:r>
      <w:r w:rsidR="005A3A3F">
        <w:rPr>
          <w:lang w:val="en-US"/>
        </w:rPr>
        <w:t>e</w:t>
      </w:r>
      <w:r w:rsidR="00D044F3" w:rsidRPr="00774638">
        <w:rPr>
          <w:lang w:val="en-US"/>
        </w:rPr>
        <w:t>s</w:t>
      </w:r>
      <w:r w:rsidR="00D044F3">
        <w:rPr>
          <w:lang w:val="en-US"/>
        </w:rPr>
        <w:t xml:space="preserve"> (UNCAD 2011, Ciupureanu and Roman 2016, Pekovic 2017), which included Romania in the sample of </w:t>
      </w:r>
      <w:r w:rsidR="00D044F3" w:rsidRPr="00242B25">
        <w:rPr>
          <w:lang w:val="en-US"/>
        </w:rPr>
        <w:t>countries, found that a 10 percent increase in remittances reduced the poverty headcount</w:t>
      </w:r>
      <w:r w:rsidR="004D3DE2" w:rsidRPr="00242B25">
        <w:rPr>
          <w:rStyle w:val="FootnoteReference"/>
          <w:rFonts w:cstheme="minorHAnsi"/>
          <w:lang w:val="en-US"/>
        </w:rPr>
        <w:footnoteReference w:id="7"/>
      </w:r>
      <w:r w:rsidR="00D044F3" w:rsidRPr="00242B25">
        <w:rPr>
          <w:lang w:val="en-US"/>
        </w:rPr>
        <w:t xml:space="preserve"> by as high as 5.3 percent and as low as 3.1 percent. </w:t>
      </w:r>
      <w:r w:rsidR="00D93853" w:rsidRPr="00242B25">
        <w:rPr>
          <w:lang w:val="en-US"/>
        </w:rPr>
        <w:t>Remittances</w:t>
      </w:r>
      <w:r w:rsidR="002D0F3A" w:rsidRPr="00242B25">
        <w:rPr>
          <w:lang w:val="en-US"/>
        </w:rPr>
        <w:t xml:space="preserve"> also</w:t>
      </w:r>
      <w:r w:rsidR="00D93853" w:rsidRPr="00242B25">
        <w:rPr>
          <w:lang w:val="en-US"/>
        </w:rPr>
        <w:t xml:space="preserve"> led to a reduction of inequality within </w:t>
      </w:r>
      <w:r w:rsidR="00D73157" w:rsidRPr="00242B25">
        <w:rPr>
          <w:lang w:val="en-US"/>
        </w:rPr>
        <w:t xml:space="preserve">localities and </w:t>
      </w:r>
      <w:r w:rsidR="00D93853" w:rsidRPr="00242B25">
        <w:rPr>
          <w:lang w:val="en-US"/>
        </w:rPr>
        <w:t xml:space="preserve">between </w:t>
      </w:r>
      <w:r w:rsidR="00D73157" w:rsidRPr="00242B25">
        <w:rPr>
          <w:lang w:val="en-US"/>
        </w:rPr>
        <w:t xml:space="preserve">the </w:t>
      </w:r>
      <w:r w:rsidR="00D93853" w:rsidRPr="00242B25">
        <w:rPr>
          <w:lang w:val="en-US"/>
        </w:rPr>
        <w:t>ur</w:t>
      </w:r>
      <w:r w:rsidR="00D73157" w:rsidRPr="00242B25">
        <w:rPr>
          <w:lang w:val="en-US"/>
        </w:rPr>
        <w:t xml:space="preserve">ban and rural areas </w:t>
      </w:r>
      <w:r w:rsidR="00D93853" w:rsidRPr="00242B25">
        <w:rPr>
          <w:lang w:val="en-US"/>
        </w:rPr>
        <w:t>(Zamfir et al 2010).</w:t>
      </w:r>
      <w:r w:rsidR="00F967DD">
        <w:rPr>
          <w:lang w:val="en-US"/>
        </w:rPr>
        <w:t xml:space="preserve"> </w:t>
      </w:r>
    </w:p>
    <w:p w14:paraId="1DABD433" w14:textId="4ED3D791" w:rsidR="00D93853" w:rsidRPr="00A47A2E" w:rsidRDefault="003B1C31" w:rsidP="00D159E9">
      <w:pPr>
        <w:spacing w:after="240" w:line="240" w:lineRule="auto"/>
        <w:jc w:val="both"/>
        <w:rPr>
          <w:rFonts w:cstheme="minorHAnsi"/>
          <w:color w:val="000000" w:themeColor="text1"/>
          <w:lang w:val="en-US"/>
        </w:rPr>
      </w:pPr>
      <w:r w:rsidRPr="00A47A2E">
        <w:rPr>
          <w:rFonts w:cstheme="minorHAnsi"/>
          <w:b/>
          <w:color w:val="000000" w:themeColor="text1"/>
          <w:lang w:val="en-US"/>
        </w:rPr>
        <w:t>The i</w:t>
      </w:r>
      <w:r w:rsidR="00D90488" w:rsidRPr="00A47A2E">
        <w:rPr>
          <w:rFonts w:cstheme="minorHAnsi"/>
          <w:b/>
          <w:color w:val="000000" w:themeColor="text1"/>
          <w:lang w:val="en-US"/>
        </w:rPr>
        <w:t xml:space="preserve">ncreased vulnerability of the low-skilled </w:t>
      </w:r>
      <w:r w:rsidR="003B0305">
        <w:rPr>
          <w:rFonts w:cstheme="minorHAnsi"/>
          <w:b/>
          <w:color w:val="000000" w:themeColor="text1"/>
          <w:lang w:val="en-US"/>
        </w:rPr>
        <w:t>e</w:t>
      </w:r>
      <w:r w:rsidR="00D90488" w:rsidRPr="00A47A2E">
        <w:rPr>
          <w:rFonts w:cstheme="minorHAnsi"/>
          <w:b/>
          <w:color w:val="000000" w:themeColor="text1"/>
          <w:lang w:val="en-US"/>
        </w:rPr>
        <w:t>migrants</w:t>
      </w:r>
      <w:r w:rsidRPr="00A47A2E">
        <w:rPr>
          <w:rFonts w:cstheme="minorHAnsi"/>
          <w:b/>
          <w:color w:val="000000" w:themeColor="text1"/>
          <w:lang w:val="en-US"/>
        </w:rPr>
        <w:t xml:space="preserve"> and the disruptive effects</w:t>
      </w:r>
      <w:r w:rsidR="001A4170">
        <w:rPr>
          <w:rFonts w:cstheme="minorHAnsi"/>
          <w:b/>
          <w:color w:val="000000" w:themeColor="text1"/>
          <w:lang w:val="en-US"/>
        </w:rPr>
        <w:t xml:space="preserve"> of migration</w:t>
      </w:r>
      <w:r w:rsidRPr="00A47A2E">
        <w:rPr>
          <w:rFonts w:cstheme="minorHAnsi"/>
          <w:b/>
          <w:color w:val="000000" w:themeColor="text1"/>
          <w:lang w:val="en-US"/>
        </w:rPr>
        <w:t xml:space="preserve"> on the family structure </w:t>
      </w:r>
      <w:r w:rsidR="006F7B30">
        <w:rPr>
          <w:rFonts w:cstheme="minorHAnsi"/>
          <w:b/>
          <w:color w:val="000000" w:themeColor="text1"/>
          <w:lang w:val="en-US"/>
        </w:rPr>
        <w:t xml:space="preserve">partially </w:t>
      </w:r>
      <w:r w:rsidR="00D90488" w:rsidRPr="00A47A2E">
        <w:rPr>
          <w:rFonts w:cstheme="minorHAnsi"/>
          <w:b/>
          <w:color w:val="000000" w:themeColor="text1"/>
          <w:lang w:val="en-US"/>
        </w:rPr>
        <w:t xml:space="preserve">offset the benefits from remittances. </w:t>
      </w:r>
      <w:r w:rsidR="00D93853" w:rsidRPr="00A47A2E">
        <w:rPr>
          <w:lang w:val="en-US"/>
        </w:rPr>
        <w:t>Migrant parents are vulnerabl</w:t>
      </w:r>
      <w:r w:rsidR="001A4170">
        <w:rPr>
          <w:lang w:val="en-US"/>
        </w:rPr>
        <w:t xml:space="preserve">e </w:t>
      </w:r>
      <w:r w:rsidR="00FF7CF3">
        <w:rPr>
          <w:lang w:val="en-US"/>
        </w:rPr>
        <w:t xml:space="preserve">because high </w:t>
      </w:r>
      <w:r w:rsidR="001A4170">
        <w:rPr>
          <w:lang w:val="en-US"/>
        </w:rPr>
        <w:t>percentage</w:t>
      </w:r>
      <w:r w:rsidR="0041473B">
        <w:rPr>
          <w:lang w:val="en-US"/>
        </w:rPr>
        <w:t>s</w:t>
      </w:r>
      <w:r w:rsidR="001A4170">
        <w:rPr>
          <w:lang w:val="en-US"/>
        </w:rPr>
        <w:t xml:space="preserve"> </w:t>
      </w:r>
      <w:r w:rsidR="00FF7CF3">
        <w:rPr>
          <w:lang w:val="en-US"/>
        </w:rPr>
        <w:t>are</w:t>
      </w:r>
      <w:r w:rsidR="001A4170">
        <w:rPr>
          <w:lang w:val="en-US"/>
        </w:rPr>
        <w:t xml:space="preserve"> </w:t>
      </w:r>
      <w:r w:rsidR="00D93853" w:rsidRPr="00A47A2E">
        <w:rPr>
          <w:lang w:val="en-US"/>
        </w:rPr>
        <w:t xml:space="preserve">low-skilled. </w:t>
      </w:r>
      <w:r w:rsidR="00FF7CF3">
        <w:rPr>
          <w:lang w:val="en-US"/>
        </w:rPr>
        <w:t xml:space="preserve">When they return to Romania, they have lesser capacity </w:t>
      </w:r>
      <w:r w:rsidR="00D93853" w:rsidRPr="00A47A2E">
        <w:rPr>
          <w:lang w:val="en-US"/>
        </w:rPr>
        <w:t>to integrate into the Romanian labor market</w:t>
      </w:r>
      <w:r w:rsidR="00AF2A84">
        <w:rPr>
          <w:lang w:val="en-US"/>
        </w:rPr>
        <w:t xml:space="preserve"> </w:t>
      </w:r>
      <w:r w:rsidR="0041473B">
        <w:rPr>
          <w:lang w:val="en-US"/>
        </w:rPr>
        <w:t xml:space="preserve">because of </w:t>
      </w:r>
      <w:r w:rsidR="00AF2A84">
        <w:rPr>
          <w:lang w:val="en-US"/>
        </w:rPr>
        <w:t>lack of jobs on the local labor market and low wages</w:t>
      </w:r>
      <w:r w:rsidR="00D93853" w:rsidRPr="00A47A2E">
        <w:rPr>
          <w:lang w:val="en-US"/>
        </w:rPr>
        <w:t xml:space="preserve"> (Vasile 2014</w:t>
      </w:r>
      <w:r w:rsidR="00AF2A84">
        <w:rPr>
          <w:lang w:val="en-US"/>
        </w:rPr>
        <w:t>, Eurofound 2012</w:t>
      </w:r>
      <w:r w:rsidR="00D93853" w:rsidRPr="00A47A2E">
        <w:rPr>
          <w:lang w:val="en-US"/>
        </w:rPr>
        <w:t xml:space="preserve">). </w:t>
      </w:r>
      <w:r w:rsidRPr="00A47A2E">
        <w:rPr>
          <w:rFonts w:cstheme="minorHAnsi"/>
          <w:color w:val="000000" w:themeColor="text1"/>
          <w:lang w:val="en-US"/>
        </w:rPr>
        <w:t>Children whose parents are working abroad are more exposed to vulnerability, marginalization</w:t>
      </w:r>
      <w:r w:rsidR="0041473B">
        <w:rPr>
          <w:rFonts w:cstheme="minorHAnsi"/>
          <w:color w:val="000000" w:themeColor="text1"/>
          <w:lang w:val="en-US"/>
        </w:rPr>
        <w:t>,</w:t>
      </w:r>
      <w:r w:rsidRPr="00A47A2E">
        <w:rPr>
          <w:rFonts w:cstheme="minorHAnsi"/>
          <w:color w:val="000000" w:themeColor="text1"/>
          <w:lang w:val="en-US"/>
        </w:rPr>
        <w:t xml:space="preserve"> and exclusion (UNICEF 2008).</w:t>
      </w:r>
      <w:r w:rsidRPr="00A47A2E">
        <w:rPr>
          <w:lang w:val="en-US"/>
        </w:rPr>
        <w:t xml:space="preserve"> </w:t>
      </w:r>
      <w:r w:rsidR="00FF7CF3">
        <w:rPr>
          <w:lang w:val="en-US"/>
        </w:rPr>
        <w:t xml:space="preserve">Spatially, </w:t>
      </w:r>
      <w:r w:rsidRPr="00A47A2E">
        <w:rPr>
          <w:lang w:val="en-US"/>
        </w:rPr>
        <w:t>risk</w:t>
      </w:r>
      <w:r w:rsidR="00FF7CF3">
        <w:rPr>
          <w:lang w:val="en-US"/>
        </w:rPr>
        <w:t>s</w:t>
      </w:r>
      <w:r w:rsidRPr="00A47A2E">
        <w:rPr>
          <w:lang w:val="en-US"/>
        </w:rPr>
        <w:t xml:space="preserve"> associated with migration</w:t>
      </w:r>
      <w:r w:rsidR="0041473B">
        <w:rPr>
          <w:rFonts w:cstheme="minorHAnsi"/>
          <w:lang w:val="en-US"/>
        </w:rPr>
        <w:t>—</w:t>
      </w:r>
      <w:r w:rsidR="00FF7CF3">
        <w:rPr>
          <w:lang w:val="en-US"/>
        </w:rPr>
        <w:t xml:space="preserve">with </w:t>
      </w:r>
      <w:r w:rsidRPr="00A47A2E">
        <w:rPr>
          <w:lang w:val="en-US"/>
        </w:rPr>
        <w:t xml:space="preserve">the highest number of children with one or both parents working abroad </w:t>
      </w:r>
      <w:r w:rsidR="00FF7CF3">
        <w:rPr>
          <w:lang w:val="en-US"/>
        </w:rPr>
        <w:t xml:space="preserve">– was </w:t>
      </w:r>
      <w:r w:rsidRPr="00A47A2E">
        <w:rPr>
          <w:lang w:val="en-US"/>
        </w:rPr>
        <w:t>recorded in the North-E</w:t>
      </w:r>
      <w:r w:rsidR="00FF7CF3">
        <w:rPr>
          <w:lang w:val="en-US"/>
        </w:rPr>
        <w:t>a</w:t>
      </w:r>
      <w:r w:rsidRPr="00A47A2E">
        <w:rPr>
          <w:lang w:val="en-US"/>
        </w:rPr>
        <w:t xml:space="preserve">st region. This is also the region with the highest </w:t>
      </w:r>
      <w:r w:rsidR="0041473B">
        <w:rPr>
          <w:lang w:val="en-US"/>
        </w:rPr>
        <w:t xml:space="preserve">risk of poverty or social exclusion (AROPE) </w:t>
      </w:r>
      <w:r w:rsidR="00AF2A84">
        <w:rPr>
          <w:lang w:val="en-US"/>
        </w:rPr>
        <w:t>rate</w:t>
      </w:r>
      <w:r w:rsidR="00AF2A84" w:rsidRPr="00A47A2E">
        <w:rPr>
          <w:lang w:val="en-US"/>
        </w:rPr>
        <w:t xml:space="preserve"> </w:t>
      </w:r>
      <w:r w:rsidRPr="00A47A2E">
        <w:rPr>
          <w:lang w:val="en-US"/>
        </w:rPr>
        <w:t>(Sanduleasa and Matei 2015).</w:t>
      </w:r>
    </w:p>
    <w:p w14:paraId="6D69717B" w14:textId="3001AE18" w:rsidR="00E15335" w:rsidRPr="00A47A2E" w:rsidRDefault="00E15335" w:rsidP="00242B25">
      <w:pPr>
        <w:pStyle w:val="Heading1"/>
        <w:numPr>
          <w:ilvl w:val="0"/>
          <w:numId w:val="0"/>
        </w:numPr>
        <w:spacing w:after="240"/>
        <w:rPr>
          <w:rFonts w:asciiTheme="minorHAnsi" w:hAnsiTheme="minorHAnsi" w:cstheme="minorHAnsi"/>
          <w:lang w:val="en-US"/>
        </w:rPr>
      </w:pPr>
      <w:bookmarkStart w:id="7" w:name="_Toc511308333"/>
      <w:r w:rsidRPr="00A47A2E">
        <w:rPr>
          <w:rFonts w:asciiTheme="minorHAnsi" w:hAnsiTheme="minorHAnsi" w:cstheme="minorHAnsi"/>
          <w:lang w:val="en-US"/>
        </w:rPr>
        <w:t xml:space="preserve">Theoretical </w:t>
      </w:r>
      <w:bookmarkEnd w:id="7"/>
      <w:r w:rsidR="0041473B">
        <w:rPr>
          <w:rFonts w:asciiTheme="minorHAnsi" w:hAnsiTheme="minorHAnsi" w:cstheme="minorHAnsi"/>
          <w:lang w:val="en-US"/>
        </w:rPr>
        <w:t>B</w:t>
      </w:r>
      <w:r w:rsidR="0041473B" w:rsidRPr="00A47A2E">
        <w:rPr>
          <w:rFonts w:asciiTheme="minorHAnsi" w:hAnsiTheme="minorHAnsi" w:cstheme="minorHAnsi"/>
          <w:lang w:val="en-US"/>
        </w:rPr>
        <w:t>ackground</w:t>
      </w:r>
    </w:p>
    <w:p w14:paraId="01336317" w14:textId="28173B43" w:rsidR="009D2DBD" w:rsidRDefault="00822ED5" w:rsidP="00D159E9">
      <w:pPr>
        <w:pStyle w:val="ListParagraph"/>
        <w:numPr>
          <w:ilvl w:val="2"/>
          <w:numId w:val="5"/>
        </w:numPr>
        <w:autoSpaceDE w:val="0"/>
        <w:autoSpaceDN w:val="0"/>
        <w:adjustRightInd w:val="0"/>
        <w:spacing w:after="240" w:line="240" w:lineRule="auto"/>
        <w:contextualSpacing w:val="0"/>
        <w:jc w:val="both"/>
        <w:rPr>
          <w:rFonts w:cs="Courier New"/>
          <w:lang w:val="en-US"/>
        </w:rPr>
      </w:pPr>
      <w:r w:rsidRPr="00D73157">
        <w:rPr>
          <w:b/>
          <w:lang w:val="en-US"/>
        </w:rPr>
        <w:t>International migration is becoming an increasingly important topic in the government</w:t>
      </w:r>
      <w:r w:rsidR="0041473B">
        <w:rPr>
          <w:b/>
          <w:lang w:val="en-US"/>
        </w:rPr>
        <w:t>’</w:t>
      </w:r>
      <w:r w:rsidRPr="00D73157">
        <w:rPr>
          <w:b/>
          <w:lang w:val="en-US"/>
        </w:rPr>
        <w:t>s agenda</w:t>
      </w:r>
      <w:r w:rsidRPr="00D73157">
        <w:rPr>
          <w:lang w:val="en-US"/>
        </w:rPr>
        <w:t>. The number of intern</w:t>
      </w:r>
      <w:r w:rsidR="00972298">
        <w:rPr>
          <w:lang w:val="en-US"/>
        </w:rPr>
        <w:t>ational migrants increased by 49.</w:t>
      </w:r>
      <w:r w:rsidR="0050676A">
        <w:rPr>
          <w:lang w:val="en-US"/>
        </w:rPr>
        <w:t>1 percent between 2000 and 2017</w:t>
      </w:r>
      <w:r w:rsidR="00C33049">
        <w:rPr>
          <w:lang w:val="en-US"/>
        </w:rPr>
        <w:t>,</w:t>
      </w:r>
      <w:r w:rsidRPr="00D73157">
        <w:rPr>
          <w:lang w:val="en-US"/>
        </w:rPr>
        <w:t xml:space="preserve"> compared </w:t>
      </w:r>
      <w:r w:rsidR="00C33049">
        <w:rPr>
          <w:lang w:val="en-US"/>
        </w:rPr>
        <w:t>with</w:t>
      </w:r>
      <w:r w:rsidR="00C33049" w:rsidRPr="00D73157">
        <w:rPr>
          <w:lang w:val="en-US"/>
        </w:rPr>
        <w:t xml:space="preserve"> </w:t>
      </w:r>
      <w:r w:rsidRPr="00D73157">
        <w:rPr>
          <w:lang w:val="en-US"/>
        </w:rPr>
        <w:t xml:space="preserve">a growth of </w:t>
      </w:r>
      <w:r w:rsidR="00917187" w:rsidRPr="00D73157">
        <w:rPr>
          <w:lang w:val="en-US"/>
        </w:rPr>
        <w:t xml:space="preserve">only </w:t>
      </w:r>
      <w:r w:rsidRPr="00D73157">
        <w:rPr>
          <w:lang w:val="en-US"/>
        </w:rPr>
        <w:t>13.2 percent</w:t>
      </w:r>
      <w:r w:rsidR="0050676A">
        <w:rPr>
          <w:lang w:val="en-US"/>
        </w:rPr>
        <w:t xml:space="preserve"> in the previous decade (UN 2017</w:t>
      </w:r>
      <w:r w:rsidRPr="00D73157">
        <w:rPr>
          <w:lang w:val="en-US"/>
        </w:rPr>
        <w:t xml:space="preserve">). </w:t>
      </w:r>
      <w:r w:rsidR="00AF1E2F">
        <w:rPr>
          <w:lang w:val="en-US"/>
        </w:rPr>
        <w:t>Migration</w:t>
      </w:r>
      <w:r w:rsidRPr="00D73157">
        <w:rPr>
          <w:lang w:val="en-US"/>
        </w:rPr>
        <w:t xml:space="preserve"> has different determinants and characteristics depending on the geographic origin and destination of flows. Add</w:t>
      </w:r>
      <w:r w:rsidR="00914510">
        <w:rPr>
          <w:lang w:val="en-US"/>
        </w:rPr>
        <w:t>ed</w:t>
      </w:r>
      <w:r w:rsidRPr="00D73157">
        <w:rPr>
          <w:lang w:val="en-US"/>
        </w:rPr>
        <w:t xml:space="preserve"> to this, t</w:t>
      </w:r>
      <w:r w:rsidRPr="00D73157">
        <w:rPr>
          <w:rFonts w:cs="Courier New"/>
          <w:lang w:val="en-US"/>
        </w:rPr>
        <w:t>he variety of migration patterns</w:t>
      </w:r>
      <w:r w:rsidR="00C33049">
        <w:rPr>
          <w:rFonts w:cstheme="minorHAnsi"/>
          <w:lang w:val="en-US"/>
        </w:rPr>
        <w:t>—</w:t>
      </w:r>
      <w:r w:rsidRPr="00D73157">
        <w:rPr>
          <w:rFonts w:cs="Courier New"/>
          <w:lang w:val="en-US"/>
        </w:rPr>
        <w:t xml:space="preserve">permanent migration, temporary migration, repeat migration, seasonal migration, </w:t>
      </w:r>
      <w:r w:rsidR="00C33049">
        <w:rPr>
          <w:rFonts w:cs="Courier New"/>
          <w:lang w:val="en-US"/>
        </w:rPr>
        <w:t xml:space="preserve">and </w:t>
      </w:r>
      <w:r w:rsidRPr="00D73157">
        <w:rPr>
          <w:rFonts w:cs="Courier New"/>
          <w:lang w:val="en-US"/>
        </w:rPr>
        <w:t>circular migration</w:t>
      </w:r>
      <w:r w:rsidR="00C33049">
        <w:rPr>
          <w:rFonts w:cstheme="minorHAnsi"/>
          <w:lang w:val="en-US"/>
        </w:rPr>
        <w:t>—</w:t>
      </w:r>
      <w:r w:rsidRPr="00D73157">
        <w:rPr>
          <w:rFonts w:cs="Courier New"/>
          <w:lang w:val="en-US"/>
        </w:rPr>
        <w:t xml:space="preserve">and the challenges </w:t>
      </w:r>
      <w:r w:rsidR="00914510">
        <w:rPr>
          <w:rFonts w:cs="Courier New"/>
          <w:lang w:val="en-US"/>
        </w:rPr>
        <w:t>stemming</w:t>
      </w:r>
      <w:r w:rsidR="00914510" w:rsidRPr="00D73157">
        <w:rPr>
          <w:rFonts w:cs="Courier New"/>
          <w:lang w:val="en-US"/>
        </w:rPr>
        <w:t xml:space="preserve"> </w:t>
      </w:r>
      <w:r w:rsidRPr="00D73157">
        <w:rPr>
          <w:rFonts w:cs="Courier New"/>
          <w:lang w:val="en-US"/>
        </w:rPr>
        <w:t>from the availability and reliability of different data source</w:t>
      </w:r>
      <w:r w:rsidR="00E36DE3">
        <w:rPr>
          <w:rFonts w:cs="Courier New"/>
          <w:lang w:val="en-US"/>
        </w:rPr>
        <w:t xml:space="preserve">s </w:t>
      </w:r>
      <w:r w:rsidRPr="00D73157">
        <w:rPr>
          <w:rFonts w:cs="Courier New"/>
          <w:lang w:val="en-US"/>
        </w:rPr>
        <w:t>makes international migration “the most difficult of demographic phenomena to define and measure correctly</w:t>
      </w:r>
      <w:r w:rsidR="00E36DE3" w:rsidRPr="00D73157">
        <w:rPr>
          <w:rFonts w:cs="Courier New"/>
          <w:lang w:val="en-US"/>
        </w:rPr>
        <w:t>”</w:t>
      </w:r>
      <w:r w:rsidR="00E36DE3">
        <w:rPr>
          <w:rFonts w:cs="Courier New"/>
          <w:lang w:val="en-US"/>
        </w:rPr>
        <w:t xml:space="preserve"> (</w:t>
      </w:r>
      <w:r w:rsidRPr="00D73157">
        <w:rPr>
          <w:rFonts w:cs="Courier New"/>
          <w:lang w:val="en-US"/>
        </w:rPr>
        <w:t xml:space="preserve">UN 1991, p. 99). </w:t>
      </w:r>
    </w:p>
    <w:p w14:paraId="12097F4D" w14:textId="3D08202E" w:rsidR="00822ED5" w:rsidRDefault="00822ED5" w:rsidP="00D159E9">
      <w:pPr>
        <w:pStyle w:val="ListParagraph"/>
        <w:numPr>
          <w:ilvl w:val="2"/>
          <w:numId w:val="5"/>
        </w:numPr>
        <w:autoSpaceDE w:val="0"/>
        <w:autoSpaceDN w:val="0"/>
        <w:adjustRightInd w:val="0"/>
        <w:spacing w:after="240" w:line="240" w:lineRule="auto"/>
        <w:contextualSpacing w:val="0"/>
        <w:jc w:val="both"/>
        <w:rPr>
          <w:lang w:val="en-US"/>
        </w:rPr>
      </w:pPr>
      <w:r w:rsidRPr="00D73157">
        <w:rPr>
          <w:b/>
          <w:lang w:val="en-US"/>
        </w:rPr>
        <w:t>Complex political, economic</w:t>
      </w:r>
      <w:r w:rsidR="00E36DE3">
        <w:rPr>
          <w:b/>
          <w:lang w:val="en-US"/>
        </w:rPr>
        <w:t>,</w:t>
      </w:r>
      <w:r w:rsidRPr="00D73157">
        <w:rPr>
          <w:b/>
          <w:lang w:val="en-US"/>
        </w:rPr>
        <w:t xml:space="preserve"> and social events are shaping the migration phenomenon in Europe and Eastern Europe. </w:t>
      </w:r>
      <w:r w:rsidRPr="00D73157">
        <w:rPr>
          <w:lang w:val="en-US"/>
        </w:rPr>
        <w:t xml:space="preserve">Europe went through several migration periods following World War II (Zimmermann 1995). The war caused major population displacements, which however were determined by the conflict, rather than economic opportunities. Later, the collapse of the Soviet Union and the related economic strain reintroduced a large share of the world </w:t>
      </w:r>
      <w:r w:rsidRPr="00D159E9">
        <w:rPr>
          <w:rFonts w:cs="Courier New"/>
          <w:lang w:val="en-US"/>
        </w:rPr>
        <w:t>population</w:t>
      </w:r>
      <w:r w:rsidRPr="00D73157">
        <w:rPr>
          <w:lang w:val="en-US"/>
        </w:rPr>
        <w:t xml:space="preserve"> into the world labor market. After the dramatic years following 1989, the transition to a market economy</w:t>
      </w:r>
      <w:r w:rsidR="00E36DE3">
        <w:rPr>
          <w:lang w:val="en-US"/>
        </w:rPr>
        <w:t>,</w:t>
      </w:r>
      <w:r w:rsidRPr="00D73157">
        <w:rPr>
          <w:lang w:val="en-US"/>
        </w:rPr>
        <w:t xml:space="preserve"> and the increasing integration with the EU have favored a more regular mobility. The increased integra</w:t>
      </w:r>
      <w:r w:rsidR="00917187" w:rsidRPr="00D73157">
        <w:rPr>
          <w:lang w:val="en-US"/>
        </w:rPr>
        <w:t xml:space="preserve">tion is also a trademark of the </w:t>
      </w:r>
      <w:r w:rsidRPr="00D73157">
        <w:rPr>
          <w:lang w:val="en-US"/>
        </w:rPr>
        <w:t xml:space="preserve">European migration characterized by a higher weight of temporary migration compared </w:t>
      </w:r>
      <w:r w:rsidR="00E36DE3">
        <w:rPr>
          <w:lang w:val="en-US"/>
        </w:rPr>
        <w:t>with</w:t>
      </w:r>
      <w:r w:rsidR="00E36DE3" w:rsidRPr="00D73157">
        <w:rPr>
          <w:lang w:val="en-US"/>
        </w:rPr>
        <w:t xml:space="preserve"> </w:t>
      </w:r>
      <w:r w:rsidRPr="00D73157">
        <w:rPr>
          <w:lang w:val="en-US"/>
        </w:rPr>
        <w:t>the North America</w:t>
      </w:r>
      <w:r w:rsidR="00E36DE3">
        <w:rPr>
          <w:lang w:val="en-US"/>
        </w:rPr>
        <w:t>n migration</w:t>
      </w:r>
      <w:r w:rsidRPr="00D73157">
        <w:rPr>
          <w:lang w:val="en-US"/>
        </w:rPr>
        <w:t xml:space="preserve"> (Bohning 1987, Glytsos 1988). This phenomenon is more visible in the case of migration from transitional countries, with </w:t>
      </w:r>
      <w:r w:rsidR="00E36DE3">
        <w:rPr>
          <w:lang w:val="en-US"/>
        </w:rPr>
        <w:t>more than</w:t>
      </w:r>
      <w:r w:rsidR="00E36DE3" w:rsidRPr="00D73157">
        <w:rPr>
          <w:lang w:val="en-US"/>
        </w:rPr>
        <w:t xml:space="preserve"> </w:t>
      </w:r>
      <w:r w:rsidRPr="00D73157">
        <w:rPr>
          <w:lang w:val="en-US"/>
        </w:rPr>
        <w:t xml:space="preserve">80 percent of the migrants </w:t>
      </w:r>
      <w:r w:rsidR="00914510">
        <w:rPr>
          <w:lang w:val="en-US"/>
        </w:rPr>
        <w:t xml:space="preserve">choosing </w:t>
      </w:r>
      <w:r w:rsidRPr="00D73157">
        <w:rPr>
          <w:lang w:val="en-US"/>
        </w:rPr>
        <w:t>to return home within a few years of departure</w:t>
      </w:r>
      <w:r w:rsidR="00E36DE3">
        <w:rPr>
          <w:lang w:val="en-US"/>
        </w:rPr>
        <w:t>,</w:t>
      </w:r>
      <w:r w:rsidRPr="00D73157">
        <w:rPr>
          <w:lang w:val="en-US"/>
        </w:rPr>
        <w:t xml:space="preserve"> according to the </w:t>
      </w:r>
      <w:bookmarkStart w:id="8" w:name="_Hlk503447925"/>
      <w:r w:rsidRPr="00D73157">
        <w:rPr>
          <w:lang w:val="en-US"/>
        </w:rPr>
        <w:t xml:space="preserve">International Organization for Migration </w:t>
      </w:r>
      <w:bookmarkEnd w:id="8"/>
      <w:r w:rsidR="009D2DBD">
        <w:rPr>
          <w:lang w:val="en-US"/>
        </w:rPr>
        <w:t>(1998).</w:t>
      </w:r>
    </w:p>
    <w:p w14:paraId="77D78D08" w14:textId="5601630E" w:rsidR="00822ED5" w:rsidRPr="009D2DBD" w:rsidRDefault="00822ED5" w:rsidP="00D159E9">
      <w:pPr>
        <w:pStyle w:val="ListParagraph"/>
        <w:numPr>
          <w:ilvl w:val="2"/>
          <w:numId w:val="5"/>
        </w:numPr>
        <w:autoSpaceDE w:val="0"/>
        <w:autoSpaceDN w:val="0"/>
        <w:adjustRightInd w:val="0"/>
        <w:spacing w:after="240" w:line="240" w:lineRule="auto"/>
        <w:contextualSpacing w:val="0"/>
        <w:jc w:val="both"/>
        <w:rPr>
          <w:b/>
          <w:lang w:val="en-US"/>
        </w:rPr>
      </w:pPr>
      <w:r w:rsidRPr="00D73157">
        <w:rPr>
          <w:b/>
          <w:lang w:val="en-US"/>
        </w:rPr>
        <w:t xml:space="preserve">Romania went through several migration waves following the political regime change in 1989. </w:t>
      </w:r>
      <w:r w:rsidRPr="00D73157">
        <w:rPr>
          <w:lang w:val="en-US"/>
        </w:rPr>
        <w:t xml:space="preserve">Between 1990 and 1993 there was a large compensation movement, constituted mainly of citizens of German origin, who couldn’t leave before 1989. This was followed by a decline in migration until </w:t>
      </w:r>
      <w:r w:rsidR="00E36DE3">
        <w:rPr>
          <w:lang w:val="en-US"/>
        </w:rPr>
        <w:t xml:space="preserve">the </w:t>
      </w:r>
      <w:r w:rsidRPr="00D73157">
        <w:rPr>
          <w:lang w:val="en-US"/>
        </w:rPr>
        <w:t>early 2000s. The subsequent integration in the EU led to an increasing number of Romanian emigrants in the EU countries, especially in Italy and Spain (Sandu 2010). Until early 2000, migration was highly selective, in majority male, with urban migration higher than rural (Sandu 2006). There were also significant regional differences</w:t>
      </w:r>
      <w:r w:rsidR="00E36DE3">
        <w:rPr>
          <w:lang w:val="en-US"/>
        </w:rPr>
        <w:t>,</w:t>
      </w:r>
      <w:r w:rsidRPr="00D73157">
        <w:rPr>
          <w:lang w:val="en-US"/>
        </w:rPr>
        <w:t xml:space="preserve"> with migrants coming mainly from the East and the West of the country and les</w:t>
      </w:r>
      <w:r w:rsidR="00F967DD">
        <w:rPr>
          <w:lang w:val="en-US"/>
        </w:rPr>
        <w:t xml:space="preserve">s from the South (Sandu 2005). </w:t>
      </w:r>
      <w:r w:rsidRPr="00D73157">
        <w:rPr>
          <w:lang w:val="en-US"/>
        </w:rPr>
        <w:t>Following the EU integration, migration became less selective in terms of urban v</w:t>
      </w:r>
      <w:r w:rsidR="006C6DA9">
        <w:rPr>
          <w:lang w:val="en-US"/>
        </w:rPr>
        <w:t>ersu</w:t>
      </w:r>
      <w:r w:rsidRPr="00D73157">
        <w:rPr>
          <w:lang w:val="en-US"/>
        </w:rPr>
        <w:t>s rural, male v</w:t>
      </w:r>
      <w:r w:rsidR="006C6DA9">
        <w:rPr>
          <w:lang w:val="en-US"/>
        </w:rPr>
        <w:t>ersu</w:t>
      </w:r>
      <w:r w:rsidRPr="00D73157">
        <w:rPr>
          <w:lang w:val="en-US"/>
        </w:rPr>
        <w:t xml:space="preserve">s </w:t>
      </w:r>
      <w:r w:rsidRPr="00D73157">
        <w:rPr>
          <w:lang w:val="en-US"/>
        </w:rPr>
        <w:lastRenderedPageBreak/>
        <w:t>female</w:t>
      </w:r>
      <w:r w:rsidR="006C6DA9">
        <w:rPr>
          <w:lang w:val="en-US"/>
        </w:rPr>
        <w:t>, and</w:t>
      </w:r>
      <w:r w:rsidR="00C5128B">
        <w:rPr>
          <w:lang w:val="en-US"/>
        </w:rPr>
        <w:t xml:space="preserve"> </w:t>
      </w:r>
      <w:r w:rsidRPr="00D73157">
        <w:rPr>
          <w:lang w:val="en-US"/>
        </w:rPr>
        <w:t>in terms of regional distribution (Sandu 2010). Romania’s EU accession in 2007 had also a high impact</w:t>
      </w:r>
      <w:r w:rsidR="00C5128B">
        <w:rPr>
          <w:lang w:val="en-US"/>
        </w:rPr>
        <w:t>,</w:t>
      </w:r>
      <w:r w:rsidRPr="00D73157">
        <w:rPr>
          <w:lang w:val="en-US"/>
        </w:rPr>
        <w:t xml:space="preserve"> leadin</w:t>
      </w:r>
      <w:r w:rsidR="003710FF">
        <w:rPr>
          <w:lang w:val="en-US"/>
        </w:rPr>
        <w:t>g to an increase</w:t>
      </w:r>
      <w:r w:rsidR="006C6DA9">
        <w:rPr>
          <w:lang w:val="en-US"/>
        </w:rPr>
        <w:t>d</w:t>
      </w:r>
      <w:r w:rsidR="003710FF">
        <w:rPr>
          <w:lang w:val="en-US"/>
        </w:rPr>
        <w:t xml:space="preserve"> weight of high-</w:t>
      </w:r>
      <w:r w:rsidRPr="00D73157">
        <w:rPr>
          <w:lang w:val="en-US"/>
        </w:rPr>
        <w:t>skilled migration</w:t>
      </w:r>
      <w:r w:rsidR="006C6DA9">
        <w:rPr>
          <w:rFonts w:cstheme="minorHAnsi"/>
          <w:lang w:val="en-US"/>
        </w:rPr>
        <w:t>—</w:t>
      </w:r>
      <w:r w:rsidR="006C6DA9">
        <w:rPr>
          <w:lang w:val="en-US"/>
        </w:rPr>
        <w:t xml:space="preserve">of </w:t>
      </w:r>
      <w:r w:rsidRPr="00D73157">
        <w:rPr>
          <w:lang w:val="en-US"/>
        </w:rPr>
        <w:t>physicians for example</w:t>
      </w:r>
      <w:r w:rsidR="006C6DA9">
        <w:rPr>
          <w:rFonts w:cstheme="minorHAnsi"/>
          <w:lang w:val="en-US"/>
        </w:rPr>
        <w:t>—</w:t>
      </w:r>
      <w:r w:rsidRPr="00D73157">
        <w:rPr>
          <w:lang w:val="en-US"/>
        </w:rPr>
        <w:t xml:space="preserve">but also of </w:t>
      </w:r>
      <w:r w:rsidR="006C6DA9">
        <w:rPr>
          <w:lang w:val="en-US"/>
        </w:rPr>
        <w:t xml:space="preserve">the </w:t>
      </w:r>
      <w:r w:rsidRPr="00D73157">
        <w:rPr>
          <w:lang w:val="en-US"/>
        </w:rPr>
        <w:t xml:space="preserve">unskilled labor force (Sandu 2010, Suciu 2010). </w:t>
      </w:r>
    </w:p>
    <w:p w14:paraId="75DF3586" w14:textId="6CC60D7E" w:rsidR="00822ED5" w:rsidRDefault="00822ED5" w:rsidP="00D159E9">
      <w:pPr>
        <w:pStyle w:val="ListParagraph"/>
        <w:numPr>
          <w:ilvl w:val="2"/>
          <w:numId w:val="5"/>
        </w:numPr>
        <w:autoSpaceDE w:val="0"/>
        <w:autoSpaceDN w:val="0"/>
        <w:adjustRightInd w:val="0"/>
        <w:spacing w:after="240" w:line="240" w:lineRule="auto"/>
        <w:contextualSpacing w:val="0"/>
        <w:jc w:val="both"/>
        <w:rPr>
          <w:rFonts w:cs="Courier New"/>
          <w:lang w:val="en-US"/>
        </w:rPr>
      </w:pPr>
      <w:r w:rsidRPr="00D73157">
        <w:rPr>
          <w:rFonts w:cs="Courier New"/>
          <w:b/>
          <w:lang w:val="en-US"/>
        </w:rPr>
        <w:t xml:space="preserve">Economic theory suggests that </w:t>
      </w:r>
      <w:r w:rsidR="00917187" w:rsidRPr="00D73157">
        <w:rPr>
          <w:rFonts w:cs="Courier New"/>
          <w:b/>
          <w:lang w:val="en-US"/>
        </w:rPr>
        <w:t xml:space="preserve">the </w:t>
      </w:r>
      <w:r w:rsidRPr="00D73157">
        <w:rPr>
          <w:rFonts w:cs="Courier New"/>
          <w:b/>
          <w:lang w:val="en-US"/>
        </w:rPr>
        <w:t>gains from labor mobility are large.</w:t>
      </w:r>
      <w:r w:rsidRPr="00D73157">
        <w:rPr>
          <w:rFonts w:cs="Courier New"/>
          <w:lang w:val="en-US"/>
        </w:rPr>
        <w:t xml:space="preserve"> Workers move where their productivity is higher, and this movement increases production and enhances efficiency at the global level. Remittances flow toward the sending countries, where they alleviate poverty. </w:t>
      </w:r>
      <w:r w:rsidR="006C6DA9">
        <w:rPr>
          <w:rFonts w:cs="Courier New"/>
          <w:lang w:val="en-US"/>
        </w:rPr>
        <w:t>T</w:t>
      </w:r>
      <w:r w:rsidRPr="00D73157">
        <w:rPr>
          <w:rFonts w:cs="Courier New"/>
          <w:lang w:val="en-US"/>
        </w:rPr>
        <w:t>he relative scarcity of workers can also support wages in the source countries. Historical experience prove</w:t>
      </w:r>
      <w:r w:rsidR="006C6DA9">
        <w:rPr>
          <w:rFonts w:cs="Courier New"/>
          <w:lang w:val="en-US"/>
        </w:rPr>
        <w:t>s</w:t>
      </w:r>
      <w:r w:rsidRPr="00D73157">
        <w:rPr>
          <w:rFonts w:cs="Courier New"/>
          <w:lang w:val="en-US"/>
        </w:rPr>
        <w:t xml:space="preserve"> that migration flows change promptly following economic opportunities (Chiswick and Hatton, 2003; Venturini, 2004; Faini and Venturini; 2010) and that they not only benefit the destination country, but are also very effective in promoting the welfare of immigrants (Clemens, 2011; Rapoport, 2016). </w:t>
      </w:r>
      <w:r w:rsidR="006C6DA9">
        <w:rPr>
          <w:rFonts w:cs="Courier New"/>
          <w:lang w:val="en-US"/>
        </w:rPr>
        <w:t>R</w:t>
      </w:r>
      <w:r w:rsidRPr="00D73157">
        <w:rPr>
          <w:rFonts w:cs="Courier New"/>
          <w:lang w:val="en-US"/>
        </w:rPr>
        <w:t>eturning migrants often benefit the origin country by importing skills, business</w:t>
      </w:r>
      <w:r w:rsidR="006C6DA9">
        <w:rPr>
          <w:rFonts w:cs="Courier New"/>
          <w:lang w:val="en-US"/>
        </w:rPr>
        <w:t>,</w:t>
      </w:r>
      <w:r w:rsidRPr="00D73157">
        <w:rPr>
          <w:rFonts w:cs="Courier New"/>
          <w:lang w:val="en-US"/>
        </w:rPr>
        <w:t xml:space="preserve"> and social norms (Le, 2008; Rapoport, 2004; Clemens et al., 2014). </w:t>
      </w:r>
    </w:p>
    <w:p w14:paraId="0F15416E" w14:textId="050096C9" w:rsidR="00822ED5" w:rsidRDefault="00822ED5" w:rsidP="00D159E9">
      <w:pPr>
        <w:pStyle w:val="ListParagraph"/>
        <w:numPr>
          <w:ilvl w:val="2"/>
          <w:numId w:val="5"/>
        </w:numPr>
        <w:autoSpaceDE w:val="0"/>
        <w:autoSpaceDN w:val="0"/>
        <w:adjustRightInd w:val="0"/>
        <w:spacing w:after="240" w:line="240" w:lineRule="auto"/>
        <w:contextualSpacing w:val="0"/>
        <w:jc w:val="both"/>
        <w:rPr>
          <w:rFonts w:cs="Courier New"/>
          <w:lang w:val="en-US"/>
        </w:rPr>
      </w:pPr>
      <w:r w:rsidRPr="00D73157">
        <w:rPr>
          <w:rFonts w:cs="Courier New"/>
          <w:b/>
          <w:lang w:val="en-US"/>
        </w:rPr>
        <w:t>However</w:t>
      </w:r>
      <w:r w:rsidR="006C6DA9">
        <w:rPr>
          <w:rFonts w:cs="Courier New"/>
          <w:b/>
          <w:lang w:val="en-US"/>
        </w:rPr>
        <w:t xml:space="preserve">, </w:t>
      </w:r>
      <w:r w:rsidRPr="00D73157">
        <w:rPr>
          <w:rFonts w:cs="Courier New"/>
          <w:b/>
          <w:lang w:val="en-US"/>
        </w:rPr>
        <w:t>various kind</w:t>
      </w:r>
      <w:r w:rsidR="00917187" w:rsidRPr="00D73157">
        <w:rPr>
          <w:rFonts w:cs="Courier New"/>
          <w:b/>
          <w:lang w:val="en-US"/>
        </w:rPr>
        <w:t>s of externalities associated with</w:t>
      </w:r>
      <w:r w:rsidRPr="00D73157">
        <w:rPr>
          <w:rFonts w:cs="Courier New"/>
          <w:b/>
          <w:lang w:val="en-US"/>
        </w:rPr>
        <w:t xml:space="preserve"> migrations can reverse the </w:t>
      </w:r>
      <w:r w:rsidR="00AB39A3" w:rsidRPr="00D73157">
        <w:rPr>
          <w:rFonts w:cs="Courier New"/>
          <w:b/>
          <w:lang w:val="en-US"/>
        </w:rPr>
        <w:t>positive impact</w:t>
      </w:r>
      <w:r w:rsidRPr="00D73157">
        <w:rPr>
          <w:rFonts w:cs="Courier New"/>
          <w:b/>
          <w:lang w:val="en-US"/>
        </w:rPr>
        <w:t xml:space="preserve">. </w:t>
      </w:r>
      <w:r w:rsidRPr="00D73157">
        <w:rPr>
          <w:rFonts w:cs="Courier New"/>
          <w:lang w:val="en-US"/>
        </w:rPr>
        <w:t>A traditional concern is that a brain drain may harm long-term growth prospects (see Commander et al., 2004, for a survey); the loss of the most productive young workers may harm local businesses, and the separation of households may leave entire generations of distressed children. These downsides are known in the literature (</w:t>
      </w:r>
      <w:r w:rsidRPr="00D73157">
        <w:rPr>
          <w:lang w:val="en-US"/>
        </w:rPr>
        <w:t xml:space="preserve">McKenzie and Rapoport, 2006; Hildebrandt and McKenzie, 2005), </w:t>
      </w:r>
      <w:r w:rsidRPr="00D73157">
        <w:rPr>
          <w:rFonts w:cs="Courier New"/>
          <w:lang w:val="en-US"/>
        </w:rPr>
        <w:t xml:space="preserve">and are essentially linked to a one-way migration, where the outflow of human capital permanently impoverishes the sending country. Return migration or even circular migration seem more apt to promote the welfare of both sending and destination countries (Zimmermann, </w:t>
      </w:r>
      <w:r w:rsidRPr="00242B25">
        <w:rPr>
          <w:rFonts w:cs="Courier New"/>
          <w:lang w:val="en-US"/>
        </w:rPr>
        <w:t xml:space="preserve">2014). Other social costs linked to emigration </w:t>
      </w:r>
      <w:r w:rsidRPr="00D73157">
        <w:rPr>
          <w:rFonts w:cs="Courier New"/>
          <w:lang w:val="en-US"/>
        </w:rPr>
        <w:t xml:space="preserve">concern the left-behind generations. Children whose parents are working abroad may be vulnerable to exclusion or marginalization </w:t>
      </w:r>
      <w:r w:rsidRPr="00D73157">
        <w:rPr>
          <w:lang w:val="en-US"/>
        </w:rPr>
        <w:t>(Giannelli and Mangiavacchi, 2010)</w:t>
      </w:r>
      <w:r w:rsidRPr="00D73157">
        <w:rPr>
          <w:rFonts w:cs="Courier New"/>
          <w:lang w:val="en-US"/>
        </w:rPr>
        <w:t xml:space="preserve">. There is insufficient evidence on this issue, mainly because of a lack of data. However, studies (Botezat and Pfeiffer, 2014) suggest that children of migrated parents tend to be more sick or depressed </w:t>
      </w:r>
      <w:r w:rsidR="00917187" w:rsidRPr="00D73157">
        <w:rPr>
          <w:rFonts w:cs="Courier New"/>
          <w:lang w:val="en-US"/>
        </w:rPr>
        <w:t xml:space="preserve">and </w:t>
      </w:r>
      <w:r w:rsidRPr="00D73157">
        <w:rPr>
          <w:rFonts w:cs="Courier New"/>
          <w:lang w:val="en-US"/>
        </w:rPr>
        <w:t>register a lower participation ra</w:t>
      </w:r>
      <w:r w:rsidR="00515302">
        <w:rPr>
          <w:rFonts w:cs="Courier New"/>
          <w:lang w:val="en-US"/>
        </w:rPr>
        <w:t>te in education (World Bank 2015</w:t>
      </w:r>
      <w:r w:rsidRPr="00D73157">
        <w:rPr>
          <w:rFonts w:cs="Courier New"/>
          <w:lang w:val="en-US"/>
        </w:rPr>
        <w:t xml:space="preserve">). </w:t>
      </w:r>
    </w:p>
    <w:p w14:paraId="5289A8E9" w14:textId="2261DC78" w:rsidR="00822ED5" w:rsidRPr="00D73157" w:rsidRDefault="00822ED5" w:rsidP="00D159E9">
      <w:pPr>
        <w:pStyle w:val="ListParagraph"/>
        <w:numPr>
          <w:ilvl w:val="2"/>
          <w:numId w:val="5"/>
        </w:numPr>
        <w:autoSpaceDE w:val="0"/>
        <w:autoSpaceDN w:val="0"/>
        <w:adjustRightInd w:val="0"/>
        <w:spacing w:after="240" w:line="240" w:lineRule="auto"/>
        <w:contextualSpacing w:val="0"/>
        <w:jc w:val="both"/>
        <w:rPr>
          <w:rFonts w:cs="Courier New"/>
          <w:lang w:val="en-US"/>
        </w:rPr>
      </w:pPr>
      <w:r w:rsidRPr="00D73157">
        <w:rPr>
          <w:rFonts w:cs="Courier New"/>
          <w:b/>
          <w:lang w:val="en-US"/>
        </w:rPr>
        <w:t>The net effect of emigration should be assessed empirically to facilitate a well-informed governmental intervention.</w:t>
      </w:r>
      <w:r w:rsidRPr="00D73157">
        <w:rPr>
          <w:rFonts w:cs="Courier New"/>
          <w:lang w:val="en-US"/>
        </w:rPr>
        <w:t xml:space="preserve"> </w:t>
      </w:r>
      <w:r w:rsidR="00914510">
        <w:rPr>
          <w:rFonts w:cs="Courier New"/>
          <w:lang w:val="en-US"/>
        </w:rPr>
        <w:t>A</w:t>
      </w:r>
      <w:r w:rsidRPr="00D73157">
        <w:rPr>
          <w:rFonts w:cs="Courier New"/>
          <w:lang w:val="en-US"/>
        </w:rPr>
        <w:t>vailable data suggest that in recent years more dynamic forms of migration</w:t>
      </w:r>
      <w:r w:rsidR="006C6DA9">
        <w:rPr>
          <w:rFonts w:cstheme="minorHAnsi"/>
          <w:lang w:val="en-US"/>
        </w:rPr>
        <w:t>—</w:t>
      </w:r>
      <w:r w:rsidRPr="00D73157">
        <w:rPr>
          <w:rFonts w:cs="Courier New"/>
          <w:lang w:val="en-US"/>
        </w:rPr>
        <w:t>like return migration or circular migration</w:t>
      </w:r>
      <w:r w:rsidR="006C6DA9">
        <w:rPr>
          <w:rFonts w:cstheme="minorHAnsi"/>
          <w:lang w:val="en-US"/>
        </w:rPr>
        <w:t>—</w:t>
      </w:r>
      <w:r w:rsidRPr="00D73157">
        <w:rPr>
          <w:rFonts w:cs="Courier New"/>
          <w:lang w:val="en-US"/>
        </w:rPr>
        <w:t>are indeed substituting older patterns of permanent migration. The freedom of movement within the EU in 2002</w:t>
      </w:r>
      <w:r w:rsidR="006C6DA9">
        <w:rPr>
          <w:rFonts w:cs="Courier New"/>
          <w:lang w:val="en-US"/>
        </w:rPr>
        <w:t>,</w:t>
      </w:r>
      <w:r w:rsidRPr="00D73157">
        <w:rPr>
          <w:rFonts w:cs="Courier New"/>
          <w:lang w:val="en-US"/>
        </w:rPr>
        <w:t xml:space="preserve"> </w:t>
      </w:r>
      <w:r w:rsidR="006C6DA9" w:rsidRPr="00D73157">
        <w:rPr>
          <w:rFonts w:cs="Courier New"/>
          <w:lang w:val="en-US"/>
        </w:rPr>
        <w:t>culminat</w:t>
      </w:r>
      <w:r w:rsidR="006C6DA9">
        <w:rPr>
          <w:rFonts w:cs="Courier New"/>
          <w:lang w:val="en-US"/>
        </w:rPr>
        <w:t>ing</w:t>
      </w:r>
      <w:r w:rsidR="006C6DA9" w:rsidRPr="00D73157">
        <w:rPr>
          <w:rFonts w:cs="Courier New"/>
          <w:lang w:val="en-US"/>
        </w:rPr>
        <w:t xml:space="preserve"> </w:t>
      </w:r>
      <w:r w:rsidRPr="00D73157">
        <w:rPr>
          <w:rFonts w:cs="Courier New"/>
          <w:lang w:val="en-US"/>
        </w:rPr>
        <w:t xml:space="preserve">with membership </w:t>
      </w:r>
      <w:r w:rsidR="006C6DA9">
        <w:rPr>
          <w:rFonts w:cs="Courier New"/>
          <w:lang w:val="en-US"/>
        </w:rPr>
        <w:t xml:space="preserve">in </w:t>
      </w:r>
      <w:r w:rsidRPr="00D73157">
        <w:rPr>
          <w:rFonts w:cs="Courier New"/>
          <w:lang w:val="en-US"/>
        </w:rPr>
        <w:t xml:space="preserve">the EU in 2007, played a major role in reshaping the behavior of the emigrants. On the one hand, it made migration easier and less costly, thus incentivizing mobility from the poorer regions. On the other hand, it stimulated returns and seasonal mobility. From a theoretical point of view, these developments suggest that migration may be evolving toward a model more favorable to Romania, since it reduces the risk of hampering potential growth through brain drain and labor shortage. However, brain drain is still a major concern in the health sector: the EU membership has remarkably facilitated the physicians’ emigration, because it assures full recognition of their qualifications. According to the official statistical data, as of 2013 more than 14 thousand physicians work abroad, representing more than 26 percent of the total number of Romanian physicians. </w:t>
      </w:r>
      <w:r w:rsidR="005549CD">
        <w:rPr>
          <w:rFonts w:cs="Courier New"/>
          <w:lang w:val="en-US"/>
        </w:rPr>
        <w:t>Also</w:t>
      </w:r>
      <w:r w:rsidRPr="00D73157">
        <w:rPr>
          <w:rFonts w:cs="Courier New"/>
          <w:lang w:val="en-US"/>
        </w:rPr>
        <w:t>, the number of Romanian students abroad more than doubled in the last 16 years</w:t>
      </w:r>
      <w:r w:rsidR="005549CD">
        <w:rPr>
          <w:rFonts w:cs="Courier New"/>
          <w:lang w:val="en-US"/>
        </w:rPr>
        <w:t>,</w:t>
      </w:r>
      <w:r w:rsidRPr="00D73157">
        <w:rPr>
          <w:rFonts w:cs="Courier New"/>
          <w:lang w:val="en-US"/>
        </w:rPr>
        <w:t xml:space="preserve"> from </w:t>
      </w:r>
      <w:r w:rsidR="005549CD">
        <w:rPr>
          <w:rFonts w:cs="Courier New"/>
          <w:lang w:val="en-US"/>
        </w:rPr>
        <w:t>about</w:t>
      </w:r>
      <w:r w:rsidR="005549CD" w:rsidRPr="00D73157">
        <w:rPr>
          <w:rFonts w:cs="Courier New"/>
          <w:lang w:val="en-US"/>
        </w:rPr>
        <w:t xml:space="preserve"> </w:t>
      </w:r>
      <w:r w:rsidRPr="00D73157">
        <w:rPr>
          <w:rFonts w:cs="Courier New"/>
          <w:lang w:val="en-US"/>
        </w:rPr>
        <w:t>12.5 thousand in 2000 to 33.4 thousand in 2016, a large majority of them preferrin</w:t>
      </w:r>
      <w:r w:rsidR="00C567AE">
        <w:rPr>
          <w:rFonts w:cs="Courier New"/>
          <w:lang w:val="en-US"/>
        </w:rPr>
        <w:t>g to remain abroad (LSRS</w:t>
      </w:r>
      <w:r w:rsidR="005549CD">
        <w:rPr>
          <w:rFonts w:cs="Courier New"/>
          <w:lang w:val="en-US"/>
        </w:rPr>
        <w:t>,</w:t>
      </w:r>
      <w:r w:rsidR="00C567AE">
        <w:rPr>
          <w:rFonts w:cs="Courier New"/>
          <w:lang w:val="en-US"/>
        </w:rPr>
        <w:t xml:space="preserve"> 2016).</w:t>
      </w:r>
      <w:r w:rsidRPr="00D73157">
        <w:rPr>
          <w:rFonts w:cs="Courier New"/>
          <w:lang w:val="en-US"/>
        </w:rPr>
        <w:t xml:space="preserve"> </w:t>
      </w:r>
    </w:p>
    <w:p w14:paraId="5EE9E6AF" w14:textId="77777777" w:rsidR="0014036C" w:rsidRPr="00A47A2E" w:rsidRDefault="0014036C" w:rsidP="0014036C">
      <w:pPr>
        <w:rPr>
          <w:lang w:val="en-US"/>
        </w:rPr>
      </w:pPr>
    </w:p>
    <w:p w14:paraId="04A63DEB" w14:textId="77777777" w:rsidR="005109DD" w:rsidRPr="00A47A2E" w:rsidRDefault="005109DD" w:rsidP="00BE0541">
      <w:pPr>
        <w:rPr>
          <w:lang w:val="en-US"/>
        </w:rPr>
      </w:pPr>
    </w:p>
    <w:p w14:paraId="6CB5CAAE" w14:textId="78DD2905" w:rsidR="00EA553F" w:rsidRPr="00A47A2E" w:rsidRDefault="00EA553F" w:rsidP="00BE0541">
      <w:pPr>
        <w:rPr>
          <w:lang w:val="en-US"/>
        </w:rPr>
      </w:pPr>
    </w:p>
    <w:p w14:paraId="3571B009" w14:textId="1F53B2AD" w:rsidR="00E15335" w:rsidRPr="00A47A2E" w:rsidRDefault="00E15335" w:rsidP="00242B25">
      <w:pPr>
        <w:pStyle w:val="Heading1"/>
        <w:numPr>
          <w:ilvl w:val="0"/>
          <w:numId w:val="0"/>
        </w:numPr>
        <w:spacing w:after="240"/>
        <w:rPr>
          <w:rFonts w:asciiTheme="minorHAnsi" w:hAnsiTheme="minorHAnsi" w:cstheme="minorHAnsi"/>
          <w:lang w:val="en-US"/>
        </w:rPr>
      </w:pPr>
      <w:bookmarkStart w:id="9" w:name="_Toc511308334"/>
      <w:r w:rsidRPr="00A47A2E">
        <w:rPr>
          <w:rFonts w:asciiTheme="minorHAnsi" w:hAnsiTheme="minorHAnsi" w:cstheme="minorHAnsi"/>
          <w:lang w:val="en-US"/>
        </w:rPr>
        <w:lastRenderedPageBreak/>
        <w:t>Emigration from Romania</w:t>
      </w:r>
      <w:r w:rsidR="00FB6BC6">
        <w:rPr>
          <w:rFonts w:asciiTheme="minorHAnsi" w:hAnsiTheme="minorHAnsi" w:cstheme="minorHAnsi"/>
          <w:lang w:val="en-US"/>
        </w:rPr>
        <w:t xml:space="preserve">: </w:t>
      </w:r>
      <w:r w:rsidRPr="00A47A2E">
        <w:rPr>
          <w:rFonts w:asciiTheme="minorHAnsi" w:hAnsiTheme="minorHAnsi" w:cstheme="minorHAnsi"/>
          <w:lang w:val="en-US"/>
        </w:rPr>
        <w:t>Challenges, Risks</w:t>
      </w:r>
      <w:r w:rsidR="005549CD">
        <w:rPr>
          <w:rFonts w:asciiTheme="minorHAnsi" w:hAnsiTheme="minorHAnsi" w:cstheme="minorHAnsi"/>
          <w:lang w:val="en-US"/>
        </w:rPr>
        <w:t>,</w:t>
      </w:r>
      <w:r w:rsidRPr="00A47A2E">
        <w:rPr>
          <w:rFonts w:asciiTheme="minorHAnsi" w:hAnsiTheme="minorHAnsi" w:cstheme="minorHAnsi"/>
          <w:lang w:val="en-US"/>
        </w:rPr>
        <w:t xml:space="preserve"> and Opportunities.</w:t>
      </w:r>
      <w:bookmarkEnd w:id="9"/>
      <w:r w:rsidRPr="00A47A2E">
        <w:rPr>
          <w:rFonts w:asciiTheme="minorHAnsi" w:hAnsiTheme="minorHAnsi" w:cstheme="minorHAnsi"/>
          <w:lang w:val="en-US"/>
        </w:rPr>
        <w:t xml:space="preserve"> </w:t>
      </w:r>
    </w:p>
    <w:p w14:paraId="657B2B93" w14:textId="6507E390" w:rsidR="00E50A9D" w:rsidRPr="00A47A2E" w:rsidRDefault="00D73157" w:rsidP="00D159E9">
      <w:pPr>
        <w:spacing w:after="240" w:line="240" w:lineRule="auto"/>
        <w:jc w:val="both"/>
        <w:rPr>
          <w:rFonts w:cstheme="minorHAnsi"/>
          <w:lang w:val="en-US"/>
        </w:rPr>
      </w:pPr>
      <w:r>
        <w:rPr>
          <w:rFonts w:cstheme="minorHAnsi"/>
          <w:b/>
          <w:color w:val="000000"/>
          <w:lang w:val="en-US"/>
        </w:rPr>
        <w:t>12</w:t>
      </w:r>
      <w:r w:rsidR="0017615C" w:rsidRPr="00A47A2E">
        <w:rPr>
          <w:rFonts w:cstheme="minorHAnsi"/>
          <w:b/>
          <w:color w:val="000000"/>
          <w:lang w:val="en-US"/>
        </w:rPr>
        <w:t xml:space="preserve">. </w:t>
      </w:r>
      <w:r w:rsidR="00262A0D" w:rsidRPr="00A47A2E">
        <w:rPr>
          <w:rFonts w:cstheme="minorHAnsi"/>
          <w:b/>
          <w:color w:val="000000"/>
          <w:lang w:val="en-US"/>
        </w:rPr>
        <w:tab/>
      </w:r>
      <w:r w:rsidR="006832F6" w:rsidRPr="00A47A2E">
        <w:rPr>
          <w:rFonts w:cstheme="minorHAnsi"/>
          <w:b/>
          <w:color w:val="000000"/>
          <w:lang w:val="en-US"/>
        </w:rPr>
        <w:t>Emigration has been one of the key issues in Romania since the early 1990s, being partially responsible for the demographic decline.</w:t>
      </w:r>
      <w:r w:rsidR="00AA0E25" w:rsidRPr="00A47A2E">
        <w:rPr>
          <w:rFonts w:cstheme="minorHAnsi"/>
          <w:color w:val="000000"/>
          <w:lang w:val="en-US"/>
        </w:rPr>
        <w:t xml:space="preserve"> </w:t>
      </w:r>
      <w:r w:rsidR="00BD150A" w:rsidRPr="00A47A2E">
        <w:rPr>
          <w:rFonts w:cstheme="minorHAnsi"/>
          <w:color w:val="000000"/>
          <w:lang w:val="en-US"/>
        </w:rPr>
        <w:t>V</w:t>
      </w:r>
      <w:r w:rsidR="00DE3DE6" w:rsidRPr="00A47A2E">
        <w:rPr>
          <w:rFonts w:cstheme="minorHAnsi"/>
          <w:color w:val="000000"/>
          <w:lang w:val="en-US"/>
        </w:rPr>
        <w:t>arious</w:t>
      </w:r>
      <w:r w:rsidR="00BD150A" w:rsidRPr="00A47A2E">
        <w:rPr>
          <w:rFonts w:cstheme="minorHAnsi"/>
          <w:color w:val="000000"/>
          <w:lang w:val="en-US"/>
        </w:rPr>
        <w:t xml:space="preserve"> estimates</w:t>
      </w:r>
      <w:r w:rsidR="00BD150A" w:rsidRPr="00A47A2E">
        <w:rPr>
          <w:rStyle w:val="FootnoteReference"/>
          <w:rFonts w:cstheme="minorHAnsi"/>
          <w:color w:val="000000"/>
          <w:lang w:val="en-US"/>
        </w:rPr>
        <w:footnoteReference w:id="8"/>
      </w:r>
      <w:r w:rsidR="00BD150A" w:rsidRPr="00A47A2E">
        <w:rPr>
          <w:rFonts w:cstheme="minorHAnsi"/>
          <w:color w:val="000000"/>
          <w:lang w:val="en-US"/>
        </w:rPr>
        <w:t xml:space="preserve"> </w:t>
      </w:r>
      <w:r w:rsidR="00AA0E25" w:rsidRPr="00A47A2E">
        <w:rPr>
          <w:rFonts w:cstheme="minorHAnsi"/>
          <w:color w:val="000000"/>
          <w:lang w:val="en-US"/>
        </w:rPr>
        <w:t xml:space="preserve">indicate that </w:t>
      </w:r>
      <w:r w:rsidR="00BD150A" w:rsidRPr="00A47A2E">
        <w:rPr>
          <w:rFonts w:cstheme="minorHAnsi"/>
          <w:color w:val="000000"/>
          <w:lang w:val="en-US"/>
        </w:rPr>
        <w:t>between 3</w:t>
      </w:r>
      <w:r w:rsidR="005549CD">
        <w:rPr>
          <w:rFonts w:cstheme="minorHAnsi"/>
          <w:color w:val="000000"/>
          <w:lang w:val="en-US"/>
        </w:rPr>
        <w:t>–</w:t>
      </w:r>
      <w:r w:rsidR="00BD150A" w:rsidRPr="00A47A2E">
        <w:rPr>
          <w:rFonts w:cstheme="minorHAnsi"/>
          <w:color w:val="000000"/>
          <w:lang w:val="en-US"/>
        </w:rPr>
        <w:t>5</w:t>
      </w:r>
      <w:r w:rsidR="00AA0E25" w:rsidRPr="00A47A2E">
        <w:rPr>
          <w:rFonts w:cstheme="minorHAnsi"/>
          <w:color w:val="000000"/>
          <w:lang w:val="en-US"/>
        </w:rPr>
        <w:t xml:space="preserve"> million Romanians currently live and work abroad. </w:t>
      </w:r>
      <w:r w:rsidR="000748B2" w:rsidRPr="00A47A2E">
        <w:rPr>
          <w:rFonts w:cstheme="minorHAnsi"/>
          <w:color w:val="000000"/>
          <w:lang w:val="en-US"/>
        </w:rPr>
        <w:t>If we take the more optimistic figure of 3.</w:t>
      </w:r>
      <w:r w:rsidR="00BB6D7C">
        <w:rPr>
          <w:rFonts w:cstheme="minorHAnsi"/>
          <w:color w:val="000000"/>
          <w:lang w:val="en-US"/>
        </w:rPr>
        <w:t>58</w:t>
      </w:r>
      <w:r w:rsidR="000748B2" w:rsidRPr="00A47A2E">
        <w:rPr>
          <w:rFonts w:cstheme="minorHAnsi"/>
          <w:color w:val="000000"/>
          <w:lang w:val="en-US"/>
        </w:rPr>
        <w:t xml:space="preserve"> </w:t>
      </w:r>
      <w:r w:rsidR="00067534" w:rsidRPr="00A47A2E">
        <w:rPr>
          <w:rFonts w:cstheme="minorHAnsi"/>
          <w:color w:val="000000"/>
          <w:lang w:val="en-US"/>
        </w:rPr>
        <w:t>million</w:t>
      </w:r>
      <w:r w:rsidR="00490E57" w:rsidRPr="00A47A2E">
        <w:rPr>
          <w:rFonts w:cstheme="minorHAnsi"/>
          <w:color w:val="000000"/>
          <w:lang w:val="en-US"/>
        </w:rPr>
        <w:t xml:space="preserve"> </w:t>
      </w:r>
      <w:r w:rsidR="004F49EC" w:rsidRPr="00A47A2E">
        <w:rPr>
          <w:rFonts w:cstheme="minorHAnsi"/>
          <w:color w:val="000000"/>
          <w:lang w:val="en-US"/>
        </w:rPr>
        <w:t xml:space="preserve">from </w:t>
      </w:r>
      <w:r w:rsidR="005549CD">
        <w:rPr>
          <w:rFonts w:cstheme="minorHAnsi"/>
          <w:color w:val="000000"/>
          <w:lang w:val="en-US"/>
        </w:rPr>
        <w:t xml:space="preserve">the </w:t>
      </w:r>
      <w:r w:rsidR="000513AF" w:rsidRPr="00A47A2E">
        <w:rPr>
          <w:rFonts w:cstheme="minorHAnsi"/>
          <w:color w:val="000000"/>
          <w:lang w:val="en-US"/>
        </w:rPr>
        <w:t>UN</w:t>
      </w:r>
      <w:r w:rsidR="004F49EC" w:rsidRPr="00A47A2E">
        <w:rPr>
          <w:rFonts w:cstheme="minorHAnsi"/>
          <w:color w:val="000000"/>
          <w:lang w:val="en-US"/>
        </w:rPr>
        <w:t xml:space="preserve"> (201</w:t>
      </w:r>
      <w:r w:rsidR="00BB6D7C">
        <w:rPr>
          <w:rFonts w:cstheme="minorHAnsi"/>
          <w:color w:val="000000"/>
          <w:lang w:val="en-US"/>
        </w:rPr>
        <w:t>7</w:t>
      </w:r>
      <w:r w:rsidR="004F49EC" w:rsidRPr="00A47A2E">
        <w:rPr>
          <w:rFonts w:cstheme="minorHAnsi"/>
          <w:color w:val="000000"/>
          <w:lang w:val="en-US"/>
        </w:rPr>
        <w:t>)</w:t>
      </w:r>
      <w:r w:rsidR="005549CD">
        <w:rPr>
          <w:rFonts w:cstheme="minorHAnsi"/>
          <w:color w:val="000000"/>
          <w:lang w:val="en-US"/>
        </w:rPr>
        <w:t>,</w:t>
      </w:r>
      <w:r w:rsidR="004F49EC" w:rsidRPr="00A47A2E">
        <w:rPr>
          <w:rFonts w:cstheme="minorHAnsi"/>
          <w:color w:val="000000"/>
          <w:lang w:val="en-US"/>
        </w:rPr>
        <w:t xml:space="preserve"> emigrants represent </w:t>
      </w:r>
      <w:r w:rsidR="00490E57" w:rsidRPr="00A47A2E">
        <w:rPr>
          <w:rFonts w:cstheme="minorHAnsi"/>
          <w:color w:val="000000"/>
          <w:lang w:val="en-US"/>
        </w:rPr>
        <w:t xml:space="preserve">around </w:t>
      </w:r>
      <w:r w:rsidR="004F49EC" w:rsidRPr="00A47A2E">
        <w:rPr>
          <w:rFonts w:cstheme="minorHAnsi"/>
          <w:color w:val="000000"/>
          <w:lang w:val="en-US"/>
        </w:rPr>
        <w:t>1</w:t>
      </w:r>
      <w:r w:rsidR="00BB6D7C">
        <w:rPr>
          <w:rFonts w:cstheme="minorHAnsi"/>
          <w:color w:val="000000"/>
          <w:lang w:val="en-US"/>
        </w:rPr>
        <w:t>8.2</w:t>
      </w:r>
      <w:r w:rsidR="004F49EC" w:rsidRPr="00A47A2E">
        <w:rPr>
          <w:rFonts w:cstheme="minorHAnsi"/>
          <w:color w:val="000000"/>
          <w:lang w:val="en-US"/>
        </w:rPr>
        <w:t xml:space="preserve"> percent of the population. </w:t>
      </w:r>
      <w:r w:rsidR="00836234" w:rsidRPr="00A47A2E">
        <w:rPr>
          <w:rFonts w:cstheme="minorHAnsi"/>
          <w:color w:val="000000"/>
          <w:lang w:val="en-US"/>
        </w:rPr>
        <w:t xml:space="preserve">Moreover, </w:t>
      </w:r>
      <w:r w:rsidR="005549CD">
        <w:rPr>
          <w:rFonts w:cstheme="minorHAnsi"/>
          <w:color w:val="000000"/>
          <w:lang w:val="en-US"/>
        </w:rPr>
        <w:t xml:space="preserve">the </w:t>
      </w:r>
      <w:r w:rsidR="00161ECF" w:rsidRPr="00A47A2E">
        <w:rPr>
          <w:rFonts w:cstheme="minorHAnsi"/>
          <w:color w:val="000000"/>
          <w:lang w:val="en-US"/>
        </w:rPr>
        <w:t>Roman</w:t>
      </w:r>
      <w:r w:rsidR="005A348A">
        <w:rPr>
          <w:rFonts w:cstheme="minorHAnsi"/>
          <w:color w:val="000000"/>
          <w:lang w:val="en-US"/>
        </w:rPr>
        <w:t xml:space="preserve">ian population has fallen from </w:t>
      </w:r>
      <w:r w:rsidR="00161ECF" w:rsidRPr="00A47A2E">
        <w:rPr>
          <w:rFonts w:cstheme="minorHAnsi"/>
          <w:color w:val="000000"/>
          <w:lang w:val="en-US"/>
        </w:rPr>
        <w:t>22.8 million i</w:t>
      </w:r>
      <w:r w:rsidR="00E50A9D" w:rsidRPr="00A47A2E">
        <w:rPr>
          <w:rFonts w:cstheme="minorHAnsi"/>
          <w:color w:val="000000"/>
          <w:lang w:val="en-US"/>
        </w:rPr>
        <w:t>n 2000 to 19.</w:t>
      </w:r>
      <w:r w:rsidR="00BB6D7C">
        <w:rPr>
          <w:rFonts w:cstheme="minorHAnsi"/>
          <w:color w:val="000000"/>
          <w:lang w:val="en-US"/>
        </w:rPr>
        <w:t>6</w:t>
      </w:r>
      <w:r w:rsidR="00E50A9D" w:rsidRPr="00A47A2E">
        <w:rPr>
          <w:rFonts w:cstheme="minorHAnsi"/>
          <w:color w:val="000000"/>
          <w:lang w:val="en-US"/>
        </w:rPr>
        <w:t xml:space="preserve"> million in 201</w:t>
      </w:r>
      <w:r w:rsidR="00BB6D7C">
        <w:rPr>
          <w:rFonts w:cstheme="minorHAnsi"/>
          <w:color w:val="000000"/>
          <w:lang w:val="en-US"/>
        </w:rPr>
        <w:t>7</w:t>
      </w:r>
      <w:r w:rsidR="00E50A9D" w:rsidRPr="00A47A2E">
        <w:rPr>
          <w:rFonts w:cstheme="minorHAnsi"/>
          <w:color w:val="000000"/>
          <w:lang w:val="en-US"/>
        </w:rPr>
        <w:t xml:space="preserve">, with outward migration </w:t>
      </w:r>
      <w:r w:rsidR="00161ECF" w:rsidRPr="00A47A2E">
        <w:rPr>
          <w:rFonts w:cstheme="minorHAnsi"/>
          <w:color w:val="000000"/>
          <w:lang w:val="en-US"/>
        </w:rPr>
        <w:t xml:space="preserve">responsible for </w:t>
      </w:r>
      <w:r w:rsidR="005549CD">
        <w:rPr>
          <w:rFonts w:cstheme="minorHAnsi"/>
          <w:color w:val="000000"/>
          <w:lang w:val="en-US"/>
        </w:rPr>
        <w:t>more than</w:t>
      </w:r>
      <w:r w:rsidR="005549CD" w:rsidRPr="00A47A2E">
        <w:rPr>
          <w:rFonts w:cstheme="minorHAnsi"/>
          <w:color w:val="000000"/>
          <w:lang w:val="en-US"/>
        </w:rPr>
        <w:t xml:space="preserve"> </w:t>
      </w:r>
      <w:r w:rsidR="00161ECF" w:rsidRPr="00A47A2E">
        <w:rPr>
          <w:rFonts w:cstheme="minorHAnsi"/>
          <w:color w:val="000000"/>
          <w:lang w:val="en-US"/>
        </w:rPr>
        <w:t>75 percent of this decline</w:t>
      </w:r>
      <w:r w:rsidR="00196E1C">
        <w:rPr>
          <w:rFonts w:cstheme="minorHAnsi"/>
          <w:color w:val="000000"/>
          <w:lang w:val="en-US"/>
        </w:rPr>
        <w:t>.</w:t>
      </w:r>
      <w:r w:rsidR="00161ECF" w:rsidRPr="00A47A2E">
        <w:rPr>
          <w:rStyle w:val="FootnoteReference"/>
          <w:rFonts w:cstheme="minorHAnsi"/>
          <w:color w:val="000000"/>
          <w:lang w:val="en-US"/>
        </w:rPr>
        <w:footnoteReference w:id="9"/>
      </w:r>
      <w:r w:rsidR="004F49EC" w:rsidRPr="00A47A2E">
        <w:rPr>
          <w:rFonts w:cstheme="minorHAnsi"/>
          <w:color w:val="000000"/>
          <w:lang w:val="en-US"/>
        </w:rPr>
        <w:t xml:space="preserve"> </w:t>
      </w:r>
      <w:r w:rsidR="00AA0E25" w:rsidRPr="00A47A2E">
        <w:rPr>
          <w:rFonts w:cstheme="minorHAnsi"/>
          <w:color w:val="000000"/>
          <w:lang w:val="en-US"/>
        </w:rPr>
        <w:t>What are the consequences of this huge outflow for the Romanian economy? Does emigration make Romania worse off or better off?</w:t>
      </w:r>
      <w:r w:rsidR="00AF25D9" w:rsidRPr="00A47A2E">
        <w:rPr>
          <w:rFonts w:cstheme="minorHAnsi"/>
          <w:color w:val="000000"/>
          <w:lang w:val="en-US"/>
        </w:rPr>
        <w:t xml:space="preserve"> </w:t>
      </w:r>
      <w:r w:rsidR="00AF25D9" w:rsidRPr="00A47A2E">
        <w:rPr>
          <w:rFonts w:cstheme="minorHAnsi"/>
          <w:lang w:val="en-US"/>
        </w:rPr>
        <w:t>The answer</w:t>
      </w:r>
      <w:r w:rsidR="005549CD">
        <w:rPr>
          <w:rFonts w:cstheme="minorHAnsi"/>
          <w:lang w:val="en-US"/>
        </w:rPr>
        <w:t>s</w:t>
      </w:r>
      <w:r w:rsidR="00AF25D9" w:rsidRPr="00A47A2E">
        <w:rPr>
          <w:rFonts w:cstheme="minorHAnsi"/>
          <w:lang w:val="en-US"/>
        </w:rPr>
        <w:t xml:space="preserve"> to these question</w:t>
      </w:r>
      <w:r w:rsidR="00A35C93" w:rsidRPr="00A47A2E">
        <w:rPr>
          <w:rFonts w:cstheme="minorHAnsi"/>
          <w:lang w:val="en-US"/>
        </w:rPr>
        <w:t>s</w:t>
      </w:r>
      <w:r w:rsidR="00AF25D9" w:rsidRPr="00A47A2E">
        <w:rPr>
          <w:rFonts w:cstheme="minorHAnsi"/>
          <w:lang w:val="en-US"/>
        </w:rPr>
        <w:t xml:space="preserve"> can be crucial for the long-term development of Romania.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476"/>
      </w:tblGrid>
      <w:tr w:rsidR="00E50A9D" w:rsidRPr="00A47A2E" w14:paraId="39C6320F" w14:textId="77777777" w:rsidTr="00774638">
        <w:tc>
          <w:tcPr>
            <w:tcW w:w="5320" w:type="dxa"/>
          </w:tcPr>
          <w:p w14:paraId="41438C3B" w14:textId="09FEB9F8" w:rsidR="00271D57" w:rsidRPr="00242B25" w:rsidRDefault="004755C6" w:rsidP="004755C6">
            <w:pPr>
              <w:pStyle w:val="Caption"/>
              <w:jc w:val="center"/>
              <w:rPr>
                <w:i w:val="0"/>
                <w:sz w:val="22"/>
                <w:szCs w:val="22"/>
                <w:lang w:val="en-US"/>
              </w:rPr>
            </w:pPr>
            <w:bookmarkStart w:id="10" w:name="_Toc511409137"/>
            <w:r w:rsidRPr="00242B25">
              <w:rPr>
                <w:i w:val="0"/>
                <w:sz w:val="22"/>
                <w:szCs w:val="22"/>
                <w:lang w:val="en-US"/>
              </w:rPr>
              <w:t xml:space="preserve">Figure </w:t>
            </w:r>
            <w:r w:rsidR="00B66F6B" w:rsidRPr="00242B25">
              <w:rPr>
                <w:i w:val="0"/>
                <w:sz w:val="22"/>
                <w:szCs w:val="22"/>
                <w:lang w:val="en-US"/>
              </w:rPr>
              <w:fldChar w:fldCharType="begin"/>
            </w:r>
            <w:r w:rsidR="00B66F6B" w:rsidRPr="00242B25">
              <w:rPr>
                <w:i w:val="0"/>
                <w:sz w:val="22"/>
                <w:szCs w:val="22"/>
                <w:lang w:val="en-US"/>
              </w:rPr>
              <w:instrText xml:space="preserve"> SEQ Figure \* ARABIC </w:instrText>
            </w:r>
            <w:r w:rsidR="00B66F6B" w:rsidRPr="00242B25">
              <w:rPr>
                <w:i w:val="0"/>
                <w:sz w:val="22"/>
                <w:szCs w:val="22"/>
                <w:lang w:val="en-US"/>
              </w:rPr>
              <w:fldChar w:fldCharType="separate"/>
            </w:r>
            <w:r w:rsidR="004E4D7F">
              <w:rPr>
                <w:i w:val="0"/>
                <w:noProof/>
                <w:sz w:val="22"/>
                <w:szCs w:val="22"/>
                <w:lang w:val="en-US"/>
              </w:rPr>
              <w:t>1</w:t>
            </w:r>
            <w:r w:rsidR="00B66F6B" w:rsidRPr="00242B25">
              <w:rPr>
                <w:i w:val="0"/>
                <w:sz w:val="22"/>
                <w:szCs w:val="22"/>
                <w:lang w:val="en-US"/>
              </w:rPr>
              <w:fldChar w:fldCharType="end"/>
            </w:r>
            <w:r w:rsidR="00387EB6" w:rsidRPr="00242B25">
              <w:rPr>
                <w:i w:val="0"/>
                <w:sz w:val="22"/>
                <w:szCs w:val="22"/>
                <w:lang w:val="en-US"/>
              </w:rPr>
              <w:t>.</w:t>
            </w:r>
            <w:r w:rsidRPr="00242B25">
              <w:rPr>
                <w:i w:val="0"/>
                <w:sz w:val="22"/>
                <w:szCs w:val="22"/>
                <w:lang w:val="en-US"/>
              </w:rPr>
              <w:t xml:space="preserve"> </w:t>
            </w:r>
            <w:r w:rsidR="0075400D" w:rsidRPr="00242B25">
              <w:rPr>
                <w:rFonts w:cstheme="minorHAnsi"/>
                <w:i w:val="0"/>
                <w:sz w:val="22"/>
                <w:szCs w:val="22"/>
                <w:lang w:val="en-US"/>
              </w:rPr>
              <w:t>Top countries of destination (201</w:t>
            </w:r>
            <w:r w:rsidR="00904671" w:rsidRPr="00242B25">
              <w:rPr>
                <w:rFonts w:cstheme="minorHAnsi"/>
                <w:i w:val="0"/>
                <w:sz w:val="22"/>
                <w:szCs w:val="22"/>
                <w:lang w:val="en-US"/>
              </w:rPr>
              <w:t>7</w:t>
            </w:r>
            <w:r w:rsidR="0075400D" w:rsidRPr="00242B25">
              <w:rPr>
                <w:rFonts w:cstheme="minorHAnsi"/>
                <w:i w:val="0"/>
                <w:sz w:val="22"/>
                <w:szCs w:val="22"/>
                <w:lang w:val="en-US"/>
              </w:rPr>
              <w:t>)</w:t>
            </w:r>
            <w:bookmarkEnd w:id="10"/>
          </w:p>
          <w:p w14:paraId="3CA21B88" w14:textId="7DBF2C4F" w:rsidR="00E50A9D" w:rsidRPr="00271D57" w:rsidRDefault="00271D57" w:rsidP="00774638">
            <w:pPr>
              <w:rPr>
                <w:lang w:val="en-US"/>
              </w:rPr>
            </w:pPr>
            <w:r>
              <w:rPr>
                <w:noProof/>
                <w:lang w:eastAsia="it-IT"/>
              </w:rPr>
              <w:drawing>
                <wp:inline distT="0" distB="0" distL="0" distR="0" wp14:anchorId="46013D82" wp14:editId="278680E1">
                  <wp:extent cx="3088005" cy="2583056"/>
                  <wp:effectExtent l="0" t="0" r="17145" b="8255"/>
                  <wp:docPr id="23" name="Chart 23">
                    <a:extLst xmlns:a="http://schemas.openxmlformats.org/drawingml/2006/main">
                      <a:ext uri="{FF2B5EF4-FFF2-40B4-BE49-F238E27FC236}">
                        <a16:creationId xmlns:a16="http://schemas.microsoft.com/office/drawing/2014/main" id="{6214946A-A20B-4738-BDD3-C205C85263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405" w:type="dxa"/>
          </w:tcPr>
          <w:p w14:paraId="0D7897E0" w14:textId="0C5FFA97" w:rsidR="00E50A9D" w:rsidRPr="00242B25" w:rsidRDefault="004755C6" w:rsidP="009A04B5">
            <w:pPr>
              <w:jc w:val="center"/>
              <w:rPr>
                <w:rFonts w:cstheme="minorHAnsi"/>
                <w:color w:val="44546A" w:themeColor="text2"/>
                <w:lang w:val="en-US"/>
              </w:rPr>
            </w:pPr>
            <w:bookmarkStart w:id="11" w:name="_Toc511409138"/>
            <w:r w:rsidRPr="00242B25">
              <w:rPr>
                <w:color w:val="44546A" w:themeColor="text2"/>
                <w:lang w:val="en-US"/>
              </w:rPr>
              <w:t xml:space="preserve">Figure </w:t>
            </w:r>
            <w:r w:rsidR="00B66F6B" w:rsidRPr="00242B25">
              <w:rPr>
                <w:color w:val="44546A" w:themeColor="text2"/>
                <w:lang w:val="en-US"/>
              </w:rPr>
              <w:fldChar w:fldCharType="begin"/>
            </w:r>
            <w:r w:rsidR="00B66F6B" w:rsidRPr="00242B25">
              <w:rPr>
                <w:color w:val="44546A" w:themeColor="text2"/>
                <w:lang w:val="en-US"/>
              </w:rPr>
              <w:instrText xml:space="preserve"> SEQ Figure \* ARABIC </w:instrText>
            </w:r>
            <w:r w:rsidR="00B66F6B" w:rsidRPr="00242B25">
              <w:rPr>
                <w:color w:val="44546A" w:themeColor="text2"/>
                <w:lang w:val="en-US"/>
              </w:rPr>
              <w:fldChar w:fldCharType="separate"/>
            </w:r>
            <w:r w:rsidR="004E4D7F">
              <w:rPr>
                <w:noProof/>
                <w:color w:val="44546A" w:themeColor="text2"/>
                <w:lang w:val="en-US"/>
              </w:rPr>
              <w:t>2</w:t>
            </w:r>
            <w:r w:rsidR="00B66F6B" w:rsidRPr="00242B25">
              <w:rPr>
                <w:color w:val="44546A" w:themeColor="text2"/>
                <w:lang w:val="en-US"/>
              </w:rPr>
              <w:fldChar w:fldCharType="end"/>
            </w:r>
            <w:r w:rsidR="00387EB6" w:rsidRPr="00242B25">
              <w:rPr>
                <w:color w:val="44546A" w:themeColor="text2"/>
                <w:lang w:val="en-US"/>
              </w:rPr>
              <w:t>.</w:t>
            </w:r>
            <w:r w:rsidRPr="00242B25">
              <w:rPr>
                <w:color w:val="44546A" w:themeColor="text2"/>
                <w:lang w:val="en-US"/>
              </w:rPr>
              <w:t xml:space="preserve"> </w:t>
            </w:r>
            <w:r w:rsidR="009A04B5" w:rsidRPr="00242B25">
              <w:rPr>
                <w:rFonts w:cstheme="minorHAnsi"/>
                <w:color w:val="44546A" w:themeColor="text2"/>
                <w:lang w:val="en-US"/>
              </w:rPr>
              <w:t>Romanian population decline v</w:t>
            </w:r>
            <w:r w:rsidR="005549CD">
              <w:rPr>
                <w:rFonts w:cstheme="minorHAnsi"/>
                <w:color w:val="44546A" w:themeColor="text2"/>
                <w:lang w:val="en-US"/>
              </w:rPr>
              <w:t>ersu</w:t>
            </w:r>
            <w:r w:rsidR="009A04B5" w:rsidRPr="00242B25">
              <w:rPr>
                <w:rFonts w:cstheme="minorHAnsi"/>
                <w:color w:val="44546A" w:themeColor="text2"/>
                <w:lang w:val="en-US"/>
              </w:rPr>
              <w:t xml:space="preserve">s </w:t>
            </w:r>
            <w:r w:rsidR="005549CD">
              <w:rPr>
                <w:rFonts w:cstheme="minorHAnsi"/>
                <w:color w:val="44546A" w:themeColor="text2"/>
                <w:lang w:val="en-US"/>
              </w:rPr>
              <w:t>m</w:t>
            </w:r>
            <w:r w:rsidR="005549CD" w:rsidRPr="00242B25">
              <w:rPr>
                <w:rFonts w:cstheme="minorHAnsi"/>
                <w:color w:val="44546A" w:themeColor="text2"/>
                <w:lang w:val="en-US"/>
              </w:rPr>
              <w:t xml:space="preserve">igration </w:t>
            </w:r>
            <w:r w:rsidR="009A04B5" w:rsidRPr="00242B25">
              <w:rPr>
                <w:rFonts w:cstheme="minorHAnsi"/>
                <w:color w:val="44546A" w:themeColor="text2"/>
                <w:lang w:val="en-US"/>
              </w:rPr>
              <w:t>out</w:t>
            </w:r>
            <w:r w:rsidR="00863AAF" w:rsidRPr="00242B25">
              <w:rPr>
                <w:rFonts w:cstheme="minorHAnsi"/>
                <w:color w:val="44546A" w:themeColor="text2"/>
                <w:lang w:val="en-US"/>
              </w:rPr>
              <w:t>f</w:t>
            </w:r>
            <w:r w:rsidR="0050168F" w:rsidRPr="00242B25">
              <w:rPr>
                <w:rFonts w:cstheme="minorHAnsi"/>
                <w:color w:val="44546A" w:themeColor="text2"/>
                <w:lang w:val="en-US"/>
              </w:rPr>
              <w:t xml:space="preserve">lows (2000 vs </w:t>
            </w:r>
            <w:r w:rsidR="00894E85" w:rsidRPr="00242B25">
              <w:rPr>
                <w:rFonts w:cstheme="minorHAnsi"/>
                <w:color w:val="44546A" w:themeColor="text2"/>
                <w:lang w:val="en-US"/>
              </w:rPr>
              <w:t>201</w:t>
            </w:r>
            <w:r w:rsidR="00AE5282" w:rsidRPr="00242B25">
              <w:rPr>
                <w:rFonts w:cstheme="minorHAnsi"/>
                <w:color w:val="44546A" w:themeColor="text2"/>
                <w:lang w:val="en-US"/>
              </w:rPr>
              <w:t>7</w:t>
            </w:r>
            <w:r w:rsidR="009A04B5" w:rsidRPr="00242B25">
              <w:rPr>
                <w:rFonts w:cstheme="minorHAnsi"/>
                <w:color w:val="44546A" w:themeColor="text2"/>
                <w:lang w:val="en-US"/>
              </w:rPr>
              <w:t>)</w:t>
            </w:r>
            <w:bookmarkEnd w:id="11"/>
          </w:p>
          <w:p w14:paraId="57678781" w14:textId="20DA388A" w:rsidR="00271D57" w:rsidRPr="00A47A2E" w:rsidRDefault="00271D57" w:rsidP="009A04B5">
            <w:pPr>
              <w:jc w:val="center"/>
              <w:rPr>
                <w:rFonts w:cstheme="minorHAnsi"/>
                <w:i/>
                <w:lang w:val="en-US"/>
              </w:rPr>
            </w:pPr>
            <w:r>
              <w:rPr>
                <w:noProof/>
                <w:lang w:eastAsia="it-IT"/>
              </w:rPr>
              <w:drawing>
                <wp:inline distT="0" distB="0" distL="0" distR="0" wp14:anchorId="6EB7BB08" wp14:editId="26A720D1">
                  <wp:extent cx="2688590" cy="2535555"/>
                  <wp:effectExtent l="0" t="0" r="16510" b="17145"/>
                  <wp:docPr id="16" name="Chart 16">
                    <a:extLst xmlns:a="http://schemas.openxmlformats.org/drawingml/2006/main">
                      <a:ext uri="{FF2B5EF4-FFF2-40B4-BE49-F238E27FC236}">
                        <a16:creationId xmlns:a16="http://schemas.microsoft.com/office/drawing/2014/main" id="{71C6347B-643B-4429-8573-11C9514A9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50A9D" w:rsidRPr="00863DB1" w14:paraId="3F507213" w14:textId="77777777" w:rsidTr="00774638">
        <w:trPr>
          <w:trHeight w:val="325"/>
        </w:trPr>
        <w:tc>
          <w:tcPr>
            <w:tcW w:w="5320" w:type="dxa"/>
          </w:tcPr>
          <w:p w14:paraId="58CB0703" w14:textId="77777777" w:rsidR="00E50A9D" w:rsidRPr="00863DB1" w:rsidRDefault="0075400D" w:rsidP="0075400D">
            <w:pPr>
              <w:spacing w:line="360" w:lineRule="auto"/>
              <w:rPr>
                <w:rFonts w:cstheme="minorHAnsi"/>
                <w:lang w:val="en-US"/>
              </w:rPr>
            </w:pPr>
            <w:r w:rsidRPr="00863DB1">
              <w:rPr>
                <w:rFonts w:cstheme="minorHAnsi"/>
                <w:lang w:val="en-US"/>
              </w:rPr>
              <w:t>Source: Eurostat, National Census data</w:t>
            </w:r>
          </w:p>
        </w:tc>
        <w:tc>
          <w:tcPr>
            <w:tcW w:w="4405" w:type="dxa"/>
          </w:tcPr>
          <w:p w14:paraId="7FD8E830" w14:textId="77777777" w:rsidR="00E50A9D" w:rsidRPr="00863DB1" w:rsidRDefault="00863AAF" w:rsidP="00863AAF">
            <w:pPr>
              <w:spacing w:line="360" w:lineRule="auto"/>
              <w:rPr>
                <w:rFonts w:cstheme="minorHAnsi"/>
                <w:lang w:val="en-US"/>
              </w:rPr>
            </w:pPr>
            <w:r w:rsidRPr="00863DB1">
              <w:rPr>
                <w:rFonts w:cstheme="minorHAnsi"/>
                <w:lang w:val="en-US"/>
              </w:rPr>
              <w:t xml:space="preserve">Source: NIS, Eurostat, </w:t>
            </w:r>
            <w:r w:rsidR="00092D44" w:rsidRPr="00863DB1">
              <w:rPr>
                <w:rFonts w:cstheme="minorHAnsi"/>
                <w:lang w:val="en-US"/>
              </w:rPr>
              <w:t>UN</w:t>
            </w:r>
            <w:r w:rsidRPr="00863DB1">
              <w:rPr>
                <w:rFonts w:cstheme="minorHAnsi"/>
                <w:lang w:val="en-US"/>
              </w:rPr>
              <w:t xml:space="preserve"> </w:t>
            </w:r>
          </w:p>
        </w:tc>
      </w:tr>
    </w:tbl>
    <w:p w14:paraId="696C1B6C" w14:textId="2837EF8E" w:rsidR="00A11093" w:rsidRPr="00A47A2E" w:rsidRDefault="00D73157" w:rsidP="00D159E9">
      <w:pPr>
        <w:spacing w:after="240" w:line="240" w:lineRule="auto"/>
        <w:jc w:val="both"/>
        <w:rPr>
          <w:rFonts w:cstheme="minorHAnsi"/>
          <w:b/>
          <w:lang w:val="en-US"/>
        </w:rPr>
      </w:pPr>
      <w:r>
        <w:rPr>
          <w:rFonts w:cstheme="minorHAnsi"/>
          <w:b/>
          <w:lang w:val="en-US"/>
        </w:rPr>
        <w:t>13</w:t>
      </w:r>
      <w:r w:rsidR="00863AAF" w:rsidRPr="00A47A2E">
        <w:rPr>
          <w:rFonts w:cstheme="minorHAnsi"/>
          <w:b/>
          <w:lang w:val="en-US"/>
        </w:rPr>
        <w:t>.</w:t>
      </w:r>
      <w:r w:rsidR="00863AAF" w:rsidRPr="00A47A2E">
        <w:rPr>
          <w:rFonts w:cstheme="minorHAnsi"/>
          <w:b/>
          <w:lang w:val="en-US"/>
        </w:rPr>
        <w:tab/>
        <w:t xml:space="preserve">Romanian </w:t>
      </w:r>
      <w:r w:rsidR="00487FF7" w:rsidRPr="00A47A2E">
        <w:rPr>
          <w:rFonts w:cstheme="minorHAnsi"/>
          <w:b/>
          <w:lang w:val="en-US"/>
        </w:rPr>
        <w:t>e</w:t>
      </w:r>
      <w:r w:rsidR="00863AAF" w:rsidRPr="00A47A2E">
        <w:rPr>
          <w:rFonts w:cstheme="minorHAnsi"/>
          <w:b/>
          <w:lang w:val="en-US"/>
        </w:rPr>
        <w:t xml:space="preserve">migration corridors to Italy and Spain ranked </w:t>
      </w:r>
      <w:r w:rsidR="00E5699D" w:rsidRPr="00A47A2E">
        <w:rPr>
          <w:rFonts w:cstheme="minorHAnsi"/>
          <w:b/>
          <w:lang w:val="en-US"/>
        </w:rPr>
        <w:t>among</w:t>
      </w:r>
      <w:r w:rsidR="00863AAF" w:rsidRPr="00A47A2E">
        <w:rPr>
          <w:rFonts w:cstheme="minorHAnsi"/>
          <w:b/>
          <w:lang w:val="en-US"/>
        </w:rPr>
        <w:t xml:space="preserve"> the top ten international bilateral migration </w:t>
      </w:r>
      <w:r w:rsidR="00E5699D" w:rsidRPr="00A47A2E">
        <w:rPr>
          <w:rFonts w:cstheme="minorHAnsi"/>
          <w:b/>
          <w:lang w:val="en-US"/>
        </w:rPr>
        <w:t>corridors</w:t>
      </w:r>
      <w:r w:rsidR="00F53EAA" w:rsidRPr="00A47A2E">
        <w:rPr>
          <w:rFonts w:cstheme="minorHAnsi"/>
          <w:b/>
          <w:lang w:val="en-US"/>
        </w:rPr>
        <w:t xml:space="preserve"> between 2000 and 2010</w:t>
      </w:r>
      <w:r w:rsidR="00863AAF" w:rsidRPr="00A47A2E">
        <w:rPr>
          <w:rFonts w:cstheme="minorHAnsi"/>
          <w:b/>
          <w:lang w:val="en-US"/>
        </w:rPr>
        <w:t xml:space="preserve">. </w:t>
      </w:r>
      <w:r w:rsidR="00E5699D" w:rsidRPr="00A47A2E">
        <w:rPr>
          <w:rFonts w:cstheme="minorHAnsi"/>
          <w:lang w:val="en-US"/>
        </w:rPr>
        <w:t>Romania’s</w:t>
      </w:r>
      <w:r w:rsidR="00A11093" w:rsidRPr="00A47A2E">
        <w:rPr>
          <w:rFonts w:cstheme="minorHAnsi"/>
          <w:lang w:val="en-US"/>
        </w:rPr>
        <w:t xml:space="preserve"> EU </w:t>
      </w:r>
      <w:r w:rsidR="00E5699D" w:rsidRPr="00A47A2E">
        <w:rPr>
          <w:rFonts w:cstheme="minorHAnsi"/>
          <w:lang w:val="en-US"/>
        </w:rPr>
        <w:t>accession</w:t>
      </w:r>
      <w:r w:rsidR="00A11093" w:rsidRPr="00A47A2E">
        <w:rPr>
          <w:rFonts w:cstheme="minorHAnsi"/>
          <w:lang w:val="en-US"/>
        </w:rPr>
        <w:t xml:space="preserve"> in 2007</w:t>
      </w:r>
      <w:r w:rsidR="005549CD">
        <w:rPr>
          <w:rFonts w:cstheme="minorHAnsi"/>
          <w:lang w:val="en-US"/>
        </w:rPr>
        <w:t>,</w:t>
      </w:r>
      <w:r w:rsidR="00A11093" w:rsidRPr="00A47A2E">
        <w:rPr>
          <w:rFonts w:cstheme="minorHAnsi"/>
          <w:lang w:val="en-US"/>
        </w:rPr>
        <w:t xml:space="preserve"> </w:t>
      </w:r>
      <w:r w:rsidR="005549CD">
        <w:rPr>
          <w:rFonts w:cstheme="minorHAnsi"/>
          <w:lang w:val="en-US"/>
        </w:rPr>
        <w:t>and</w:t>
      </w:r>
      <w:r w:rsidR="00A11093" w:rsidRPr="00A47A2E">
        <w:rPr>
          <w:rFonts w:cstheme="minorHAnsi"/>
          <w:lang w:val="en-US"/>
        </w:rPr>
        <w:t xml:space="preserve"> t</w:t>
      </w:r>
      <w:r w:rsidR="00EC3935" w:rsidRPr="00A47A2E">
        <w:rPr>
          <w:rFonts w:cstheme="minorHAnsi"/>
          <w:lang w:val="en-US"/>
        </w:rPr>
        <w:t>he increase</w:t>
      </w:r>
      <w:r w:rsidR="00F53EAA" w:rsidRPr="00A47A2E">
        <w:rPr>
          <w:rFonts w:cstheme="minorHAnsi"/>
          <w:lang w:val="en-US"/>
        </w:rPr>
        <w:t>d</w:t>
      </w:r>
      <w:r w:rsidR="00EC3935" w:rsidRPr="00A47A2E">
        <w:rPr>
          <w:rFonts w:cstheme="minorHAnsi"/>
          <w:lang w:val="en-US"/>
        </w:rPr>
        <w:t xml:space="preserve"> integration into </w:t>
      </w:r>
      <w:r w:rsidR="005549CD">
        <w:rPr>
          <w:rFonts w:cstheme="minorHAnsi"/>
          <w:lang w:val="en-US"/>
        </w:rPr>
        <w:t xml:space="preserve">the </w:t>
      </w:r>
      <w:r w:rsidR="00EC3935" w:rsidRPr="00A47A2E">
        <w:rPr>
          <w:rFonts w:cstheme="minorHAnsi"/>
          <w:lang w:val="en-US"/>
        </w:rPr>
        <w:t>EU labor market</w:t>
      </w:r>
      <w:r w:rsidR="00A11093" w:rsidRPr="00A47A2E">
        <w:rPr>
          <w:rFonts w:cstheme="minorHAnsi"/>
          <w:lang w:val="en-US"/>
        </w:rPr>
        <w:t xml:space="preserve"> during the 2000s</w:t>
      </w:r>
      <w:r w:rsidR="005549CD">
        <w:rPr>
          <w:rFonts w:cstheme="minorHAnsi"/>
          <w:lang w:val="en-US"/>
        </w:rPr>
        <w:t>,</w:t>
      </w:r>
      <w:r w:rsidR="00A11093" w:rsidRPr="00A47A2E">
        <w:rPr>
          <w:rFonts w:cstheme="minorHAnsi"/>
          <w:lang w:val="en-US"/>
        </w:rPr>
        <w:t xml:space="preserve"> reinforced the EU position as the main migration destination. Between 2000 and 2010 the </w:t>
      </w:r>
      <w:r w:rsidR="00F53EAA" w:rsidRPr="00A47A2E">
        <w:rPr>
          <w:rFonts w:cstheme="minorHAnsi"/>
          <w:lang w:val="en-US"/>
        </w:rPr>
        <w:t>Romanian migration abroad</w:t>
      </w:r>
      <w:r w:rsidR="00A11093" w:rsidRPr="00A47A2E">
        <w:rPr>
          <w:rFonts w:cstheme="minorHAnsi"/>
          <w:lang w:val="en-US"/>
        </w:rPr>
        <w:t xml:space="preserve"> </w:t>
      </w:r>
      <w:r w:rsidR="00E5699D" w:rsidRPr="00A47A2E">
        <w:rPr>
          <w:rFonts w:cstheme="minorHAnsi"/>
          <w:lang w:val="en-US"/>
        </w:rPr>
        <w:t>tripled</w:t>
      </w:r>
      <w:r w:rsidR="005549CD">
        <w:rPr>
          <w:rFonts w:cstheme="minorHAnsi"/>
          <w:lang w:val="en-US"/>
        </w:rPr>
        <w:t>,</w:t>
      </w:r>
      <w:r w:rsidR="00A11093" w:rsidRPr="00A47A2E">
        <w:rPr>
          <w:rFonts w:cstheme="minorHAnsi"/>
          <w:lang w:val="en-US"/>
        </w:rPr>
        <w:t xml:space="preserve"> from </w:t>
      </w:r>
      <w:r w:rsidR="005549CD">
        <w:rPr>
          <w:rFonts w:cstheme="minorHAnsi"/>
          <w:lang w:val="en-US"/>
        </w:rPr>
        <w:t>about</w:t>
      </w:r>
      <w:r w:rsidR="005549CD" w:rsidRPr="00A47A2E">
        <w:rPr>
          <w:rFonts w:cstheme="minorHAnsi"/>
          <w:lang w:val="en-US"/>
        </w:rPr>
        <w:t xml:space="preserve"> </w:t>
      </w:r>
      <w:r w:rsidR="00A11093" w:rsidRPr="00A47A2E">
        <w:rPr>
          <w:rFonts w:cstheme="minorHAnsi"/>
          <w:lang w:val="en-US"/>
        </w:rPr>
        <w:t xml:space="preserve">1.1 million to </w:t>
      </w:r>
      <w:r w:rsidR="005549CD">
        <w:rPr>
          <w:rFonts w:cstheme="minorHAnsi"/>
          <w:lang w:val="en-US"/>
        </w:rPr>
        <w:t>about</w:t>
      </w:r>
      <w:r w:rsidR="005549CD" w:rsidRPr="00A47A2E">
        <w:rPr>
          <w:rFonts w:cstheme="minorHAnsi"/>
          <w:lang w:val="en-US"/>
        </w:rPr>
        <w:t xml:space="preserve"> </w:t>
      </w:r>
      <w:r w:rsidR="00A11093" w:rsidRPr="00A47A2E">
        <w:rPr>
          <w:rFonts w:cstheme="minorHAnsi"/>
          <w:lang w:val="en-US"/>
        </w:rPr>
        <w:t>3.4 million</w:t>
      </w:r>
      <w:r w:rsidR="005549CD">
        <w:rPr>
          <w:rFonts w:cstheme="minorHAnsi"/>
          <w:lang w:val="en-US"/>
        </w:rPr>
        <w:t>,</w:t>
      </w:r>
      <w:r w:rsidR="00A11093" w:rsidRPr="00A47A2E">
        <w:rPr>
          <w:rFonts w:cstheme="minorHAnsi"/>
          <w:lang w:val="en-US"/>
        </w:rPr>
        <w:t xml:space="preserve"> showcasing not only the impact of EU </w:t>
      </w:r>
      <w:r w:rsidR="00E5699D" w:rsidRPr="00A47A2E">
        <w:rPr>
          <w:rFonts w:cstheme="minorHAnsi"/>
          <w:lang w:val="en-US"/>
        </w:rPr>
        <w:t>accession</w:t>
      </w:r>
      <w:r w:rsidR="00A11093" w:rsidRPr="00A47A2E">
        <w:rPr>
          <w:rFonts w:cstheme="minorHAnsi"/>
          <w:lang w:val="en-US"/>
        </w:rPr>
        <w:t xml:space="preserve"> but also </w:t>
      </w:r>
      <w:r w:rsidR="00A35C93" w:rsidRPr="00A47A2E">
        <w:rPr>
          <w:rFonts w:cstheme="minorHAnsi"/>
          <w:lang w:val="en-US"/>
        </w:rPr>
        <w:t xml:space="preserve">the </w:t>
      </w:r>
      <w:r w:rsidR="00A11093" w:rsidRPr="00A47A2E">
        <w:rPr>
          <w:rFonts w:cstheme="minorHAnsi"/>
          <w:lang w:val="en-US"/>
        </w:rPr>
        <w:t>magnitude of the phenomenon</w:t>
      </w:r>
      <w:r w:rsidR="00A35C93" w:rsidRPr="00A47A2E">
        <w:rPr>
          <w:rFonts w:cstheme="minorHAnsi"/>
          <w:lang w:val="en-US"/>
        </w:rPr>
        <w:t>,</w:t>
      </w:r>
      <w:r w:rsidR="00A11093" w:rsidRPr="00A47A2E">
        <w:rPr>
          <w:rFonts w:cstheme="minorHAnsi"/>
          <w:lang w:val="en-US"/>
        </w:rPr>
        <w:t xml:space="preserve"> leading to social and economic implications. In the same </w:t>
      </w:r>
      <w:r w:rsidR="00D60E26">
        <w:rPr>
          <w:rFonts w:cstheme="minorHAnsi"/>
          <w:lang w:val="en-US"/>
        </w:rPr>
        <w:t>ve</w:t>
      </w:r>
      <w:r w:rsidR="00206D60" w:rsidRPr="00A47A2E">
        <w:rPr>
          <w:rFonts w:cstheme="minorHAnsi"/>
          <w:lang w:val="en-US"/>
        </w:rPr>
        <w:t xml:space="preserve">in, between 2006 and 2007 </w:t>
      </w:r>
      <w:r w:rsidR="00A11093" w:rsidRPr="00A47A2E">
        <w:rPr>
          <w:lang w:val="en-US"/>
        </w:rPr>
        <w:t>the number of Romanian</w:t>
      </w:r>
      <w:r w:rsidR="005549CD">
        <w:rPr>
          <w:lang w:val="en-US"/>
        </w:rPr>
        <w:t>s</w:t>
      </w:r>
      <w:r w:rsidR="00A11093" w:rsidRPr="00A47A2E">
        <w:rPr>
          <w:lang w:val="en-US"/>
        </w:rPr>
        <w:t xml:space="preserve"> residing in Italy and Spain doubled</w:t>
      </w:r>
      <w:r w:rsidR="005549CD">
        <w:rPr>
          <w:lang w:val="en-US"/>
        </w:rPr>
        <w:t>,</w:t>
      </w:r>
      <w:r w:rsidR="00A11093" w:rsidRPr="00A47A2E">
        <w:rPr>
          <w:lang w:val="en-US"/>
        </w:rPr>
        <w:t xml:space="preserve"> from </w:t>
      </w:r>
      <w:r w:rsidR="005549CD">
        <w:rPr>
          <w:lang w:val="en-US"/>
        </w:rPr>
        <w:t>about</w:t>
      </w:r>
      <w:r w:rsidR="005549CD" w:rsidRPr="00A47A2E">
        <w:rPr>
          <w:lang w:val="en-US"/>
        </w:rPr>
        <w:t xml:space="preserve"> </w:t>
      </w:r>
      <w:r w:rsidR="00A11093" w:rsidRPr="00A47A2E">
        <w:rPr>
          <w:lang w:val="en-US"/>
        </w:rPr>
        <w:t xml:space="preserve">800 thousand in 2006 to </w:t>
      </w:r>
      <w:r w:rsidR="005549CD">
        <w:rPr>
          <w:lang w:val="en-US"/>
        </w:rPr>
        <w:t>about</w:t>
      </w:r>
      <w:r w:rsidR="005549CD" w:rsidRPr="00A47A2E">
        <w:rPr>
          <w:lang w:val="en-US"/>
        </w:rPr>
        <w:t xml:space="preserve"> </w:t>
      </w:r>
      <w:r w:rsidR="00A11093" w:rsidRPr="00A47A2E">
        <w:rPr>
          <w:lang w:val="en-US"/>
        </w:rPr>
        <w:t>1.75 million in 2007 (Suciu 2010)</w:t>
      </w:r>
      <w:r w:rsidR="00A11093" w:rsidRPr="00A47A2E">
        <w:rPr>
          <w:b/>
          <w:lang w:val="en-US"/>
        </w:rPr>
        <w:t xml:space="preserve">. </w:t>
      </w:r>
      <w:r w:rsidR="00206D60" w:rsidRPr="00A47A2E">
        <w:rPr>
          <w:lang w:val="en-US"/>
        </w:rPr>
        <w:t xml:space="preserve">The </w:t>
      </w:r>
      <w:r w:rsidR="00E5699D" w:rsidRPr="00A47A2E">
        <w:rPr>
          <w:lang w:val="en-US"/>
        </w:rPr>
        <w:t>magnitude</w:t>
      </w:r>
      <w:r w:rsidR="00206D60" w:rsidRPr="00A47A2E">
        <w:rPr>
          <w:lang w:val="en-US"/>
        </w:rPr>
        <w:t xml:space="preserve"> </w:t>
      </w:r>
      <w:r w:rsidR="005549CD">
        <w:rPr>
          <w:lang w:val="en-US"/>
        </w:rPr>
        <w:t>and</w:t>
      </w:r>
      <w:r w:rsidR="00A35C93" w:rsidRPr="00A47A2E">
        <w:rPr>
          <w:lang w:val="en-US"/>
        </w:rPr>
        <w:t xml:space="preserve"> the</w:t>
      </w:r>
      <w:r w:rsidR="00206D60" w:rsidRPr="00A47A2E">
        <w:rPr>
          <w:lang w:val="en-US"/>
        </w:rPr>
        <w:t xml:space="preserve"> </w:t>
      </w:r>
      <w:r w:rsidR="00FE1A93" w:rsidRPr="00A47A2E">
        <w:rPr>
          <w:lang w:val="en-US"/>
        </w:rPr>
        <w:t xml:space="preserve">short </w:t>
      </w:r>
      <w:r w:rsidR="00206D60" w:rsidRPr="00A47A2E">
        <w:rPr>
          <w:lang w:val="en-US"/>
        </w:rPr>
        <w:t xml:space="preserve">time </w:t>
      </w:r>
      <w:r w:rsidR="00FE1A93" w:rsidRPr="00A47A2E">
        <w:rPr>
          <w:lang w:val="en-US"/>
        </w:rPr>
        <w:t>span</w:t>
      </w:r>
      <w:r w:rsidR="00206D60" w:rsidRPr="00A47A2E">
        <w:rPr>
          <w:lang w:val="en-US"/>
        </w:rPr>
        <w:t xml:space="preserve"> of the increase </w:t>
      </w:r>
      <w:r w:rsidR="00FE1A93" w:rsidRPr="00A47A2E">
        <w:rPr>
          <w:lang w:val="en-US"/>
        </w:rPr>
        <w:t>raised</w:t>
      </w:r>
      <w:r w:rsidR="00206D60" w:rsidRPr="00A47A2E">
        <w:rPr>
          <w:lang w:val="en-US"/>
        </w:rPr>
        <w:t xml:space="preserve"> the risks of marginalization and exclusion for children with one or both parents working abroad (UNICEF 2008)</w:t>
      </w:r>
      <w:r w:rsidR="00FE1A93" w:rsidRPr="00A47A2E">
        <w:rPr>
          <w:lang w:val="en-US"/>
        </w:rPr>
        <w:t xml:space="preserve"> and had negative implications for the labor market.</w:t>
      </w: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29"/>
      </w:tblGrid>
      <w:tr w:rsidR="0099375E" w:rsidRPr="00242B25" w14:paraId="62924B05" w14:textId="77777777" w:rsidTr="0099375E">
        <w:tc>
          <w:tcPr>
            <w:tcW w:w="4986" w:type="dxa"/>
          </w:tcPr>
          <w:p w14:paraId="2F80C0FC" w14:textId="1C95188A" w:rsidR="00487FF7" w:rsidRPr="00242B25" w:rsidRDefault="004755C6" w:rsidP="00195297">
            <w:pPr>
              <w:pStyle w:val="Caption"/>
              <w:jc w:val="center"/>
              <w:rPr>
                <w:rFonts w:cstheme="minorHAnsi"/>
                <w:i w:val="0"/>
                <w:sz w:val="22"/>
                <w:szCs w:val="22"/>
                <w:lang w:val="en-US"/>
              </w:rPr>
            </w:pPr>
            <w:bookmarkStart w:id="12" w:name="_Toc511409139"/>
            <w:r w:rsidRPr="00242B25">
              <w:rPr>
                <w:i w:val="0"/>
                <w:sz w:val="22"/>
                <w:szCs w:val="22"/>
                <w:lang w:val="en-US"/>
              </w:rPr>
              <w:lastRenderedPageBreak/>
              <w:t xml:space="preserve">Figure </w:t>
            </w:r>
            <w:r w:rsidR="00B66F6B" w:rsidRPr="00242B25">
              <w:rPr>
                <w:i w:val="0"/>
                <w:sz w:val="22"/>
                <w:szCs w:val="22"/>
                <w:lang w:val="en-US"/>
              </w:rPr>
              <w:fldChar w:fldCharType="begin"/>
            </w:r>
            <w:r w:rsidR="00B66F6B" w:rsidRPr="00242B25">
              <w:rPr>
                <w:i w:val="0"/>
                <w:sz w:val="22"/>
                <w:szCs w:val="22"/>
                <w:lang w:val="en-US"/>
              </w:rPr>
              <w:instrText xml:space="preserve"> SEQ Figure \* ARABIC </w:instrText>
            </w:r>
            <w:r w:rsidR="00B66F6B" w:rsidRPr="00242B25">
              <w:rPr>
                <w:i w:val="0"/>
                <w:sz w:val="22"/>
                <w:szCs w:val="22"/>
                <w:lang w:val="en-US"/>
              </w:rPr>
              <w:fldChar w:fldCharType="separate"/>
            </w:r>
            <w:r w:rsidR="004E4D7F">
              <w:rPr>
                <w:i w:val="0"/>
                <w:noProof/>
                <w:sz w:val="22"/>
                <w:szCs w:val="22"/>
                <w:lang w:val="en-US"/>
              </w:rPr>
              <w:t>3</w:t>
            </w:r>
            <w:r w:rsidR="00B66F6B" w:rsidRPr="00242B25">
              <w:rPr>
                <w:i w:val="0"/>
                <w:sz w:val="22"/>
                <w:szCs w:val="22"/>
                <w:lang w:val="en-US"/>
              </w:rPr>
              <w:fldChar w:fldCharType="end"/>
            </w:r>
            <w:r w:rsidR="00387EB6" w:rsidRPr="00242B25">
              <w:rPr>
                <w:i w:val="0"/>
                <w:sz w:val="22"/>
                <w:szCs w:val="22"/>
                <w:lang w:val="en-US"/>
              </w:rPr>
              <w:t>.</w:t>
            </w:r>
            <w:r w:rsidRPr="00242B25">
              <w:rPr>
                <w:i w:val="0"/>
                <w:sz w:val="22"/>
                <w:szCs w:val="22"/>
                <w:lang w:val="en-US"/>
              </w:rPr>
              <w:t xml:space="preserve"> </w:t>
            </w:r>
            <w:r w:rsidR="00487FF7" w:rsidRPr="00242B25">
              <w:rPr>
                <w:rFonts w:cstheme="minorHAnsi"/>
                <w:i w:val="0"/>
                <w:sz w:val="22"/>
                <w:szCs w:val="22"/>
                <w:lang w:val="en-US"/>
              </w:rPr>
              <w:t>Romanian migration to Europe</w:t>
            </w:r>
            <w:bookmarkEnd w:id="12"/>
          </w:p>
          <w:p w14:paraId="7364EB1A" w14:textId="7903DBBD" w:rsidR="0099375E" w:rsidRPr="00774638" w:rsidRDefault="00CC2BCB" w:rsidP="00774638">
            <w:pPr>
              <w:rPr>
                <w:lang w:val="en-US"/>
              </w:rPr>
            </w:pPr>
            <w:r>
              <w:rPr>
                <w:noProof/>
                <w:lang w:eastAsia="it-IT"/>
              </w:rPr>
              <w:drawing>
                <wp:inline distT="0" distB="0" distL="0" distR="0" wp14:anchorId="3EF8E09D" wp14:editId="2AB3D02A">
                  <wp:extent cx="3010619" cy="2471209"/>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4052" cy="2482235"/>
                          </a:xfrm>
                          <a:prstGeom prst="rect">
                            <a:avLst/>
                          </a:prstGeom>
                          <a:noFill/>
                        </pic:spPr>
                      </pic:pic>
                    </a:graphicData>
                  </a:graphic>
                </wp:inline>
              </w:drawing>
            </w:r>
          </w:p>
        </w:tc>
        <w:tc>
          <w:tcPr>
            <w:tcW w:w="5329" w:type="dxa"/>
          </w:tcPr>
          <w:p w14:paraId="019C41BB" w14:textId="5514E272" w:rsidR="00487FF7" w:rsidRPr="00A47A2E" w:rsidRDefault="004755C6" w:rsidP="00195297">
            <w:pPr>
              <w:jc w:val="center"/>
              <w:rPr>
                <w:rFonts w:cstheme="minorHAnsi"/>
                <w:i/>
                <w:lang w:val="en-US"/>
              </w:rPr>
            </w:pPr>
            <w:bookmarkStart w:id="13" w:name="_Toc511409140"/>
            <w:r w:rsidRPr="00242B25">
              <w:rPr>
                <w:color w:val="44546A" w:themeColor="text2"/>
                <w:lang w:val="en-US"/>
              </w:rPr>
              <w:t xml:space="preserve">Figure </w:t>
            </w:r>
            <w:r w:rsidR="00B66F6B" w:rsidRPr="00242B25">
              <w:rPr>
                <w:color w:val="44546A" w:themeColor="text2"/>
                <w:lang w:val="en-US"/>
              </w:rPr>
              <w:fldChar w:fldCharType="begin"/>
            </w:r>
            <w:r w:rsidR="00B66F6B" w:rsidRPr="00242B25">
              <w:rPr>
                <w:color w:val="44546A" w:themeColor="text2"/>
                <w:lang w:val="en-US"/>
              </w:rPr>
              <w:instrText xml:space="preserve"> SEQ Figure \* ARABIC </w:instrText>
            </w:r>
            <w:r w:rsidR="00B66F6B" w:rsidRPr="00242B25">
              <w:rPr>
                <w:color w:val="44546A" w:themeColor="text2"/>
                <w:lang w:val="en-US"/>
              </w:rPr>
              <w:fldChar w:fldCharType="separate"/>
            </w:r>
            <w:r w:rsidR="004E4D7F">
              <w:rPr>
                <w:noProof/>
                <w:color w:val="44546A" w:themeColor="text2"/>
                <w:lang w:val="en-US"/>
              </w:rPr>
              <w:t>4</w:t>
            </w:r>
            <w:r w:rsidR="00B66F6B" w:rsidRPr="00242B25">
              <w:rPr>
                <w:color w:val="44546A" w:themeColor="text2"/>
                <w:lang w:val="en-US"/>
              </w:rPr>
              <w:fldChar w:fldCharType="end"/>
            </w:r>
            <w:r w:rsidR="00387EB6" w:rsidRPr="00242B25">
              <w:rPr>
                <w:color w:val="44546A" w:themeColor="text2"/>
                <w:lang w:val="en-US"/>
              </w:rPr>
              <w:t>.</w:t>
            </w:r>
            <w:r w:rsidRPr="00242B25">
              <w:rPr>
                <w:color w:val="44546A" w:themeColor="text2"/>
                <w:lang w:val="en-US"/>
              </w:rPr>
              <w:t xml:space="preserve"> </w:t>
            </w:r>
            <w:r w:rsidR="00487FF7" w:rsidRPr="00242B25">
              <w:rPr>
                <w:rFonts w:cstheme="minorHAnsi"/>
                <w:color w:val="44546A" w:themeColor="text2"/>
                <w:lang w:val="en-US"/>
              </w:rPr>
              <w:t>Top ten bilateral migration corridors of internatio</w:t>
            </w:r>
            <w:r w:rsidR="004A5C25" w:rsidRPr="00242B25">
              <w:rPr>
                <w:rFonts w:cstheme="minorHAnsi"/>
                <w:color w:val="44546A" w:themeColor="text2"/>
                <w:lang w:val="en-US"/>
              </w:rPr>
              <w:t>nal migration 2000-2010</w:t>
            </w:r>
            <w:r w:rsidR="004A5C25" w:rsidRPr="00A47A2E">
              <w:rPr>
                <w:rFonts w:cstheme="minorHAnsi"/>
                <w:i/>
                <w:color w:val="44546A" w:themeColor="text2"/>
                <w:lang w:val="en-US"/>
              </w:rPr>
              <w:t xml:space="preserve"> </w:t>
            </w:r>
            <w:r w:rsidR="00776608" w:rsidRPr="00A47A2E">
              <w:rPr>
                <w:noProof/>
                <w:lang w:eastAsia="it-IT"/>
              </w:rPr>
              <w:drawing>
                <wp:inline distT="0" distB="0" distL="0" distR="0" wp14:anchorId="1ED2E004" wp14:editId="1AE8B4BA">
                  <wp:extent cx="3209365" cy="2590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8356" cy="2598058"/>
                          </a:xfrm>
                          <a:prstGeom prst="rect">
                            <a:avLst/>
                          </a:prstGeom>
                        </pic:spPr>
                      </pic:pic>
                    </a:graphicData>
                  </a:graphic>
                </wp:inline>
              </w:drawing>
            </w:r>
            <w:bookmarkEnd w:id="13"/>
            <w:r w:rsidR="00487FF7" w:rsidRPr="00A47A2E">
              <w:rPr>
                <w:rFonts w:cstheme="minorHAnsi"/>
                <w:i/>
                <w:color w:val="44546A" w:themeColor="text2"/>
                <w:lang w:val="en-US"/>
              </w:rPr>
              <w:t xml:space="preserve"> </w:t>
            </w:r>
          </w:p>
        </w:tc>
      </w:tr>
      <w:tr w:rsidR="00CC2BCB" w:rsidRPr="00A47A2E" w14:paraId="51EAFB8B" w14:textId="77777777" w:rsidTr="00774638">
        <w:trPr>
          <w:trHeight w:val="95"/>
        </w:trPr>
        <w:tc>
          <w:tcPr>
            <w:tcW w:w="4986" w:type="dxa"/>
          </w:tcPr>
          <w:p w14:paraId="4CC6829B" w14:textId="7D5C5E35" w:rsidR="00487FF7" w:rsidRPr="00A47A2E" w:rsidRDefault="00487FF7" w:rsidP="00487FF7">
            <w:pPr>
              <w:rPr>
                <w:rFonts w:cstheme="minorHAnsi"/>
                <w:color w:val="000000" w:themeColor="text1"/>
                <w:sz w:val="20"/>
                <w:szCs w:val="20"/>
                <w:lang w:val="en-US"/>
              </w:rPr>
            </w:pPr>
            <w:r w:rsidRPr="00396352">
              <w:rPr>
                <w:rFonts w:cstheme="minorHAnsi"/>
                <w:lang w:val="en-US"/>
              </w:rPr>
              <w:t xml:space="preserve">Source: </w:t>
            </w:r>
            <w:r w:rsidRPr="00396352">
              <w:rPr>
                <w:rFonts w:cstheme="minorHAnsi"/>
                <w:color w:val="000000" w:themeColor="text1"/>
                <w:lang w:val="en-US"/>
              </w:rPr>
              <w:t>Eurostat</w:t>
            </w:r>
          </w:p>
          <w:p w14:paraId="768D4574" w14:textId="29C46D00" w:rsidR="00487FF7" w:rsidRPr="00A47A2E" w:rsidRDefault="00487FF7" w:rsidP="00487FF7">
            <w:pPr>
              <w:jc w:val="both"/>
              <w:rPr>
                <w:rFonts w:cstheme="minorHAnsi"/>
                <w:b/>
                <w:lang w:val="en-US"/>
              </w:rPr>
            </w:pPr>
            <w:r w:rsidRPr="00A47A2E">
              <w:rPr>
                <w:rFonts w:cstheme="minorHAnsi"/>
                <w:color w:val="000000" w:themeColor="text1"/>
                <w:sz w:val="20"/>
                <w:szCs w:val="20"/>
                <w:lang w:val="en-US"/>
              </w:rPr>
              <w:t>Note: Romanian migrants in the respective countries (stock)</w:t>
            </w:r>
            <w:r w:rsidRPr="00A47A2E">
              <w:rPr>
                <w:rFonts w:cstheme="minorHAnsi"/>
                <w:b/>
                <w:lang w:val="en-US"/>
              </w:rPr>
              <w:t xml:space="preserve"> </w:t>
            </w:r>
            <w:r w:rsidR="00F84C97" w:rsidRPr="00A47A2E">
              <w:rPr>
                <w:rFonts w:cstheme="minorHAnsi"/>
                <w:sz w:val="20"/>
                <w:szCs w:val="20"/>
                <w:lang w:val="en-US"/>
              </w:rPr>
              <w:t>for 201</w:t>
            </w:r>
            <w:r w:rsidR="00CC2BCB">
              <w:rPr>
                <w:rFonts w:cstheme="minorHAnsi"/>
                <w:sz w:val="20"/>
                <w:szCs w:val="20"/>
                <w:lang w:val="en-US"/>
              </w:rPr>
              <w:t>7</w:t>
            </w:r>
            <w:r w:rsidR="005549CD">
              <w:rPr>
                <w:rFonts w:cstheme="minorHAnsi"/>
                <w:sz w:val="20"/>
                <w:szCs w:val="20"/>
                <w:lang w:val="en-US"/>
              </w:rPr>
              <w:t>.</w:t>
            </w:r>
          </w:p>
        </w:tc>
        <w:tc>
          <w:tcPr>
            <w:tcW w:w="5329" w:type="dxa"/>
          </w:tcPr>
          <w:p w14:paraId="24AE687B" w14:textId="4B86273E" w:rsidR="00487FF7" w:rsidRPr="00A47A2E" w:rsidRDefault="00366D8B" w:rsidP="00366D8B">
            <w:pPr>
              <w:spacing w:line="360" w:lineRule="auto"/>
              <w:rPr>
                <w:rFonts w:cstheme="minorHAnsi"/>
                <w:sz w:val="20"/>
                <w:szCs w:val="20"/>
                <w:lang w:val="en-US"/>
              </w:rPr>
            </w:pPr>
            <w:r w:rsidRPr="00396352">
              <w:rPr>
                <w:rFonts w:cstheme="minorHAnsi"/>
                <w:szCs w:val="20"/>
                <w:lang w:val="en-US"/>
              </w:rPr>
              <w:t>Source: United Nations (2015)</w:t>
            </w:r>
          </w:p>
        </w:tc>
      </w:tr>
    </w:tbl>
    <w:p w14:paraId="3507E811" w14:textId="77777777" w:rsidR="006F0B13" w:rsidRDefault="006F0B13" w:rsidP="00D159E9">
      <w:pPr>
        <w:spacing w:after="240" w:line="240" w:lineRule="auto"/>
        <w:jc w:val="both"/>
        <w:rPr>
          <w:rFonts w:cstheme="minorHAnsi"/>
          <w:b/>
          <w:lang w:val="en-US"/>
        </w:rPr>
      </w:pPr>
    </w:p>
    <w:p w14:paraId="078DA2B4" w14:textId="162C1AAC" w:rsidR="00CC594C" w:rsidRPr="00A47A2E" w:rsidRDefault="00D73157" w:rsidP="00D159E9">
      <w:pPr>
        <w:spacing w:after="240" w:line="240" w:lineRule="auto"/>
        <w:jc w:val="both"/>
        <w:rPr>
          <w:rFonts w:cstheme="minorHAnsi"/>
          <w:b/>
          <w:lang w:val="en-US"/>
        </w:rPr>
      </w:pPr>
      <w:r>
        <w:rPr>
          <w:rFonts w:cstheme="minorHAnsi"/>
          <w:b/>
          <w:lang w:val="en-US"/>
        </w:rPr>
        <w:t>14</w:t>
      </w:r>
      <w:r w:rsidR="00936FB9" w:rsidRPr="00A47A2E">
        <w:rPr>
          <w:rFonts w:cstheme="minorHAnsi"/>
          <w:b/>
          <w:lang w:val="en-US"/>
        </w:rPr>
        <w:t>.</w:t>
      </w:r>
      <w:r w:rsidR="00936FB9" w:rsidRPr="00A47A2E">
        <w:rPr>
          <w:rFonts w:cstheme="minorHAnsi"/>
          <w:b/>
          <w:lang w:val="en-US"/>
        </w:rPr>
        <w:tab/>
      </w:r>
      <w:r w:rsidR="003B0305">
        <w:rPr>
          <w:rFonts w:cstheme="minorHAnsi"/>
          <w:b/>
          <w:lang w:val="en-US"/>
        </w:rPr>
        <w:t>Working age emigrants exceed</w:t>
      </w:r>
      <w:r w:rsidR="00936FB9" w:rsidRPr="00A47A2E">
        <w:rPr>
          <w:rFonts w:cstheme="minorHAnsi"/>
          <w:b/>
          <w:lang w:val="en-US"/>
        </w:rPr>
        <w:t xml:space="preserve"> 2.6</w:t>
      </w:r>
      <w:r w:rsidR="00E12B1C">
        <w:rPr>
          <w:rFonts w:cstheme="minorHAnsi"/>
          <w:b/>
          <w:lang w:val="en-US"/>
        </w:rPr>
        <w:t>5</w:t>
      </w:r>
      <w:r w:rsidR="00936FB9" w:rsidRPr="00A47A2E">
        <w:rPr>
          <w:rFonts w:cstheme="minorHAnsi"/>
          <w:b/>
          <w:lang w:val="en-US"/>
        </w:rPr>
        <w:t xml:space="preserve"> million persons</w:t>
      </w:r>
      <w:r w:rsidR="005549CD">
        <w:rPr>
          <w:rFonts w:cstheme="minorHAnsi"/>
          <w:b/>
          <w:lang w:val="en-US"/>
        </w:rPr>
        <w:t>,</w:t>
      </w:r>
      <w:r w:rsidR="00936FB9" w:rsidRPr="00A47A2E">
        <w:rPr>
          <w:rFonts w:cstheme="minorHAnsi"/>
          <w:b/>
          <w:lang w:val="en-US"/>
        </w:rPr>
        <w:t xml:space="preserve"> </w:t>
      </w:r>
      <w:r w:rsidR="00F53EAA" w:rsidRPr="00A47A2E">
        <w:rPr>
          <w:rFonts w:cstheme="minorHAnsi"/>
          <w:b/>
          <w:lang w:val="en-US"/>
        </w:rPr>
        <w:t>accounting</w:t>
      </w:r>
      <w:r w:rsidR="00936FB9" w:rsidRPr="00A47A2E">
        <w:rPr>
          <w:rFonts w:cstheme="minorHAnsi"/>
          <w:b/>
          <w:lang w:val="en-US"/>
        </w:rPr>
        <w:t xml:space="preserve"> for </w:t>
      </w:r>
      <w:r w:rsidR="005549CD">
        <w:rPr>
          <w:rFonts w:cstheme="minorHAnsi"/>
          <w:b/>
          <w:lang w:val="en-US"/>
        </w:rPr>
        <w:t>about</w:t>
      </w:r>
      <w:r w:rsidR="005549CD" w:rsidRPr="00A47A2E">
        <w:rPr>
          <w:rFonts w:cstheme="minorHAnsi"/>
          <w:b/>
          <w:lang w:val="en-US"/>
        </w:rPr>
        <w:t xml:space="preserve"> </w:t>
      </w:r>
      <w:r w:rsidR="00936FB9" w:rsidRPr="00A47A2E">
        <w:rPr>
          <w:rFonts w:cstheme="minorHAnsi"/>
          <w:b/>
          <w:lang w:val="en-US"/>
        </w:rPr>
        <w:t>20</w:t>
      </w:r>
      <w:r w:rsidR="00E12B1C">
        <w:rPr>
          <w:rFonts w:cstheme="minorHAnsi"/>
          <w:b/>
          <w:lang w:val="en-US"/>
        </w:rPr>
        <w:t>.6</w:t>
      </w:r>
      <w:r w:rsidR="00936FB9" w:rsidRPr="00A47A2E">
        <w:rPr>
          <w:rFonts w:cstheme="minorHAnsi"/>
          <w:b/>
          <w:lang w:val="en-US"/>
        </w:rPr>
        <w:t xml:space="preserve"> percent of the Romanian working population</w:t>
      </w:r>
      <w:r w:rsidR="00717CD6">
        <w:rPr>
          <w:rFonts w:cstheme="minorHAnsi"/>
          <w:b/>
          <w:lang w:val="en-US"/>
        </w:rPr>
        <w:t xml:space="preserve"> as of 2017</w:t>
      </w:r>
      <w:r w:rsidR="00936FB9" w:rsidRPr="00A47A2E">
        <w:rPr>
          <w:rFonts w:cstheme="minorHAnsi"/>
          <w:b/>
          <w:lang w:val="en-US"/>
        </w:rPr>
        <w:t xml:space="preserve">. </w:t>
      </w:r>
      <w:r w:rsidR="00F53EAA" w:rsidRPr="00A47A2E">
        <w:rPr>
          <w:rFonts w:cstheme="minorHAnsi"/>
          <w:lang w:val="en-US"/>
        </w:rPr>
        <w:t xml:space="preserve">The </w:t>
      </w:r>
      <w:r w:rsidR="00FA2355" w:rsidRPr="00A47A2E">
        <w:rPr>
          <w:rFonts w:cstheme="minorHAnsi"/>
          <w:lang w:val="en-US"/>
        </w:rPr>
        <w:t>magnitude</w:t>
      </w:r>
      <w:r w:rsidR="00F53EAA" w:rsidRPr="00A47A2E">
        <w:rPr>
          <w:rFonts w:cstheme="minorHAnsi"/>
          <w:lang w:val="en-US"/>
        </w:rPr>
        <w:t xml:space="preserve"> of the migration outflow led to an increasing num</w:t>
      </w:r>
      <w:r w:rsidR="002A2A35" w:rsidRPr="00A47A2E">
        <w:rPr>
          <w:rFonts w:cstheme="minorHAnsi"/>
          <w:lang w:val="en-US"/>
        </w:rPr>
        <w:t>ber of Romanians working and li</w:t>
      </w:r>
      <w:r w:rsidR="00F53EAA" w:rsidRPr="00A47A2E">
        <w:rPr>
          <w:rFonts w:cstheme="minorHAnsi"/>
          <w:lang w:val="en-US"/>
        </w:rPr>
        <w:t>ving abroad</w:t>
      </w:r>
      <w:r w:rsidR="00F53EAA" w:rsidRPr="00A47A2E">
        <w:rPr>
          <w:rFonts w:cstheme="minorHAnsi"/>
          <w:b/>
          <w:lang w:val="en-US"/>
        </w:rPr>
        <w:t>.</w:t>
      </w:r>
      <w:r w:rsidR="00FE1A93" w:rsidRPr="00A47A2E">
        <w:rPr>
          <w:rFonts w:cstheme="minorHAnsi"/>
          <w:lang w:val="en-US"/>
        </w:rPr>
        <w:t xml:space="preserve"> </w:t>
      </w:r>
      <w:r w:rsidR="00D46192" w:rsidRPr="00A47A2E">
        <w:rPr>
          <w:rFonts w:cstheme="minorHAnsi"/>
          <w:lang w:val="en-US"/>
        </w:rPr>
        <w:t xml:space="preserve">The authors </w:t>
      </w:r>
      <w:r w:rsidR="00FE1A93" w:rsidRPr="00A47A2E">
        <w:rPr>
          <w:rFonts w:cstheme="minorHAnsi"/>
          <w:lang w:val="en-US"/>
        </w:rPr>
        <w:t xml:space="preserve">of this report </w:t>
      </w:r>
      <w:r w:rsidR="0050168F" w:rsidRPr="00A47A2E">
        <w:rPr>
          <w:rFonts w:cstheme="minorHAnsi"/>
          <w:lang w:val="en-US"/>
        </w:rPr>
        <w:t>estimate</w:t>
      </w:r>
      <w:r w:rsidR="00D46192" w:rsidRPr="00A47A2E">
        <w:rPr>
          <w:rFonts w:cstheme="minorHAnsi"/>
          <w:lang w:val="en-US"/>
        </w:rPr>
        <w:t xml:space="preserve"> </w:t>
      </w:r>
      <w:r w:rsidR="00FE1A93" w:rsidRPr="00A47A2E">
        <w:rPr>
          <w:rFonts w:cstheme="minorHAnsi"/>
          <w:lang w:val="en-US"/>
        </w:rPr>
        <w:t xml:space="preserve">the </w:t>
      </w:r>
      <w:r w:rsidR="000342EC" w:rsidRPr="00A47A2E">
        <w:rPr>
          <w:rFonts w:cstheme="minorHAnsi"/>
          <w:lang w:val="en-US"/>
        </w:rPr>
        <w:t xml:space="preserve">total </w:t>
      </w:r>
      <w:r w:rsidR="005549CD">
        <w:rPr>
          <w:rFonts w:cstheme="minorHAnsi"/>
          <w:lang w:val="en-US"/>
        </w:rPr>
        <w:t xml:space="preserve">number of </w:t>
      </w:r>
      <w:r w:rsidR="000342EC" w:rsidRPr="00A47A2E">
        <w:rPr>
          <w:rFonts w:cstheme="minorHAnsi"/>
          <w:lang w:val="en-US"/>
        </w:rPr>
        <w:t xml:space="preserve">working age emigrants to </w:t>
      </w:r>
      <w:r w:rsidR="00D57FB3">
        <w:rPr>
          <w:rFonts w:cstheme="minorHAnsi"/>
          <w:lang w:val="en-US"/>
        </w:rPr>
        <w:t xml:space="preserve">just over </w:t>
      </w:r>
      <w:r w:rsidR="000342EC" w:rsidRPr="00A47A2E">
        <w:rPr>
          <w:rFonts w:cstheme="minorHAnsi"/>
          <w:lang w:val="en-US"/>
        </w:rPr>
        <w:t>3 million</w:t>
      </w:r>
      <w:r w:rsidR="00650C75">
        <w:rPr>
          <w:rFonts w:cstheme="minorHAnsi"/>
          <w:lang w:val="en-US"/>
        </w:rPr>
        <w:t>,</w:t>
      </w:r>
      <w:r w:rsidR="000342EC" w:rsidRPr="00A47A2E">
        <w:rPr>
          <w:rFonts w:cstheme="minorHAnsi"/>
          <w:lang w:val="en-US"/>
        </w:rPr>
        <w:t xml:space="preserve"> based on</w:t>
      </w:r>
      <w:r w:rsidR="00D46192" w:rsidRPr="00A47A2E">
        <w:rPr>
          <w:rFonts w:cstheme="minorHAnsi"/>
          <w:lang w:val="en-US"/>
        </w:rPr>
        <w:t xml:space="preserve"> 201</w:t>
      </w:r>
      <w:r w:rsidR="00717CD6">
        <w:rPr>
          <w:rFonts w:cstheme="minorHAnsi"/>
          <w:lang w:val="en-US"/>
        </w:rPr>
        <w:t>7</w:t>
      </w:r>
      <w:r w:rsidR="00D46192" w:rsidRPr="00A47A2E">
        <w:rPr>
          <w:rFonts w:cstheme="minorHAnsi"/>
          <w:lang w:val="en-US"/>
        </w:rPr>
        <w:t xml:space="preserve"> </w:t>
      </w:r>
      <w:r w:rsidR="00D46192" w:rsidRPr="00A47A2E">
        <w:rPr>
          <w:lang w:val="en-US"/>
        </w:rPr>
        <w:t xml:space="preserve">data from Eurostat </w:t>
      </w:r>
      <w:r w:rsidR="005549CD">
        <w:rPr>
          <w:lang w:val="en-US"/>
        </w:rPr>
        <w:t>and</w:t>
      </w:r>
      <w:r w:rsidR="00D46192" w:rsidRPr="00A47A2E">
        <w:rPr>
          <w:lang w:val="en-US"/>
        </w:rPr>
        <w:t xml:space="preserve"> the latest national census data </w:t>
      </w:r>
      <w:r w:rsidR="00650C75">
        <w:rPr>
          <w:lang w:val="en-US"/>
        </w:rPr>
        <w:t xml:space="preserve">on the number of Romanian emigrants to </w:t>
      </w:r>
      <w:r w:rsidR="00D46192" w:rsidRPr="00A47A2E">
        <w:rPr>
          <w:lang w:val="en-US"/>
        </w:rPr>
        <w:t xml:space="preserve">the top </w:t>
      </w:r>
      <w:r w:rsidR="00650C75">
        <w:rPr>
          <w:lang w:val="en-US"/>
        </w:rPr>
        <w:t>n</w:t>
      </w:r>
      <w:r w:rsidR="00650C75" w:rsidRPr="00A47A2E">
        <w:rPr>
          <w:lang w:val="en-US"/>
        </w:rPr>
        <w:t>on</w:t>
      </w:r>
      <w:r w:rsidR="00D46192" w:rsidRPr="00A47A2E">
        <w:rPr>
          <w:lang w:val="en-US"/>
        </w:rPr>
        <w:t>-European countries</w:t>
      </w:r>
      <w:r w:rsidR="00650C75">
        <w:rPr>
          <w:rFonts w:cstheme="minorHAnsi"/>
          <w:lang w:val="en-US"/>
        </w:rPr>
        <w:t>—</w:t>
      </w:r>
      <w:r w:rsidR="00D46192" w:rsidRPr="00A47A2E">
        <w:rPr>
          <w:lang w:val="en-US"/>
        </w:rPr>
        <w:t>United States, Canada, Israel</w:t>
      </w:r>
      <w:r w:rsidR="00650C75">
        <w:rPr>
          <w:lang w:val="en-US"/>
        </w:rPr>
        <w:t>,</w:t>
      </w:r>
      <w:r w:rsidR="00D46192" w:rsidRPr="00A47A2E">
        <w:rPr>
          <w:lang w:val="en-US"/>
        </w:rPr>
        <w:t xml:space="preserve"> and Ukraine</w:t>
      </w:r>
      <w:r w:rsidR="000342EC" w:rsidRPr="00A47A2E">
        <w:rPr>
          <w:lang w:val="en-US"/>
        </w:rPr>
        <w:t>. This represents 2</w:t>
      </w:r>
      <w:r w:rsidR="000F49B6">
        <w:rPr>
          <w:lang w:val="en-US"/>
        </w:rPr>
        <w:t>3.3</w:t>
      </w:r>
      <w:r w:rsidR="000342EC" w:rsidRPr="00A47A2E">
        <w:rPr>
          <w:lang w:val="en-US"/>
        </w:rPr>
        <w:t xml:space="preserve"> percent of the Romanian working age population</w:t>
      </w:r>
      <w:r w:rsidR="005F4252">
        <w:rPr>
          <w:lang w:val="en-US"/>
        </w:rPr>
        <w:t>,</w:t>
      </w:r>
      <w:r w:rsidR="00D46192" w:rsidRPr="00A47A2E">
        <w:rPr>
          <w:lang w:val="en-US"/>
        </w:rPr>
        <w:t xml:space="preserve"> </w:t>
      </w:r>
      <w:r w:rsidR="00FA2355" w:rsidRPr="00A47A2E">
        <w:rPr>
          <w:lang w:val="en-US"/>
        </w:rPr>
        <w:t xml:space="preserve">showcasing the impact on the labor market.  </w:t>
      </w:r>
    </w:p>
    <w:p w14:paraId="4C6AC0D2" w14:textId="181713F3" w:rsidR="004A5C25" w:rsidRDefault="00D73157" w:rsidP="00262A0D">
      <w:pPr>
        <w:jc w:val="both"/>
        <w:rPr>
          <w:rFonts w:cstheme="minorHAnsi"/>
          <w:color w:val="000000"/>
          <w:lang w:val="en-US"/>
        </w:rPr>
      </w:pPr>
      <w:r>
        <w:rPr>
          <w:rFonts w:cstheme="minorHAnsi"/>
          <w:b/>
          <w:color w:val="000000"/>
          <w:lang w:val="en-US"/>
        </w:rPr>
        <w:t>15</w:t>
      </w:r>
      <w:r w:rsidR="0017615C" w:rsidRPr="00A47A2E">
        <w:rPr>
          <w:rFonts w:cstheme="minorHAnsi"/>
          <w:b/>
          <w:color w:val="000000"/>
          <w:lang w:val="en-US"/>
        </w:rPr>
        <w:t xml:space="preserve">. </w:t>
      </w:r>
      <w:r w:rsidR="00262A0D" w:rsidRPr="00A47A2E">
        <w:rPr>
          <w:rFonts w:cstheme="minorHAnsi"/>
          <w:b/>
          <w:color w:val="000000"/>
          <w:lang w:val="en-US"/>
        </w:rPr>
        <w:tab/>
      </w:r>
      <w:r w:rsidR="005530A1" w:rsidRPr="00A47A2E">
        <w:rPr>
          <w:rFonts w:cstheme="minorHAnsi"/>
          <w:b/>
          <w:color w:val="000000"/>
          <w:lang w:val="en-US"/>
        </w:rPr>
        <w:t>The economic and social impact of emigration has been mixed.</w:t>
      </w:r>
      <w:r w:rsidR="00AF25D9" w:rsidRPr="00A47A2E">
        <w:rPr>
          <w:rFonts w:cstheme="minorHAnsi"/>
          <w:b/>
          <w:color w:val="000000"/>
          <w:lang w:val="en-US"/>
        </w:rPr>
        <w:t xml:space="preserve"> </w:t>
      </w:r>
      <w:r w:rsidR="00AF25D9" w:rsidRPr="00A47A2E">
        <w:rPr>
          <w:rFonts w:cstheme="minorHAnsi"/>
          <w:color w:val="000000"/>
          <w:lang w:val="en-US"/>
        </w:rPr>
        <w:t xml:space="preserve">Among the benefits, remittances are perhaps the </w:t>
      </w:r>
      <w:r w:rsidR="00AF25D9" w:rsidRPr="00396352">
        <w:rPr>
          <w:rFonts w:cstheme="minorHAnsi"/>
          <w:color w:val="000000" w:themeColor="text1"/>
          <w:lang w:val="en-US"/>
        </w:rPr>
        <w:t>most tangible</w:t>
      </w:r>
      <w:r w:rsidR="00C5128B" w:rsidRPr="00396352">
        <w:rPr>
          <w:rFonts w:cstheme="minorHAnsi"/>
          <w:color w:val="000000" w:themeColor="text1"/>
          <w:lang w:val="en-US"/>
        </w:rPr>
        <w:t>,</w:t>
      </w:r>
      <w:r w:rsidR="00AF25D9" w:rsidRPr="00396352">
        <w:rPr>
          <w:rFonts w:cstheme="minorHAnsi"/>
          <w:color w:val="000000" w:themeColor="text1"/>
          <w:lang w:val="en-US"/>
        </w:rPr>
        <w:t xml:space="preserve"> account</w:t>
      </w:r>
      <w:r w:rsidR="002D34AD" w:rsidRPr="00396352">
        <w:rPr>
          <w:rFonts w:cstheme="minorHAnsi"/>
          <w:color w:val="000000" w:themeColor="text1"/>
          <w:lang w:val="en-US"/>
        </w:rPr>
        <w:t xml:space="preserve">ing for </w:t>
      </w:r>
      <w:r w:rsidR="00AF25D9" w:rsidRPr="00396352">
        <w:rPr>
          <w:rFonts w:cstheme="minorHAnsi"/>
          <w:color w:val="000000" w:themeColor="text1"/>
          <w:lang w:val="en-US"/>
        </w:rPr>
        <w:t xml:space="preserve">1.9 percent </w:t>
      </w:r>
      <w:r w:rsidR="002D34AD" w:rsidRPr="00396352">
        <w:rPr>
          <w:rFonts w:cstheme="minorHAnsi"/>
          <w:color w:val="000000" w:themeColor="text1"/>
          <w:lang w:val="en-US"/>
        </w:rPr>
        <w:t xml:space="preserve">of GDP </w:t>
      </w:r>
      <w:r w:rsidR="00AF25D9" w:rsidRPr="00396352">
        <w:rPr>
          <w:rFonts w:cstheme="minorHAnsi"/>
          <w:color w:val="000000" w:themeColor="text1"/>
          <w:lang w:val="en-US"/>
        </w:rPr>
        <w:t>in 2016 fro</w:t>
      </w:r>
      <w:r w:rsidR="002D34AD" w:rsidRPr="00396352">
        <w:rPr>
          <w:rFonts w:cstheme="minorHAnsi"/>
          <w:color w:val="000000" w:themeColor="text1"/>
          <w:lang w:val="en-US"/>
        </w:rPr>
        <w:t>m a peak of 4.5 percent in 2008</w:t>
      </w:r>
      <w:r w:rsidR="00AF25D9" w:rsidRPr="00396352">
        <w:rPr>
          <w:rFonts w:cstheme="minorHAnsi"/>
          <w:color w:val="000000" w:themeColor="text1"/>
          <w:lang w:val="en-US"/>
        </w:rPr>
        <w:t>. Remittances help households to escape poverty</w:t>
      </w:r>
      <w:r w:rsidR="00650C75" w:rsidRPr="00396352">
        <w:rPr>
          <w:rFonts w:cstheme="minorHAnsi"/>
          <w:color w:val="000000" w:themeColor="text1"/>
          <w:lang w:val="en-US"/>
        </w:rPr>
        <w:t>,</w:t>
      </w:r>
      <w:r w:rsidR="00AF25D9" w:rsidRPr="00396352">
        <w:rPr>
          <w:rFonts w:cstheme="minorHAnsi"/>
          <w:color w:val="000000" w:themeColor="text1"/>
          <w:lang w:val="en-US"/>
        </w:rPr>
        <w:t xml:space="preserve"> and play an important role in the process of development. However, migration also </w:t>
      </w:r>
      <w:r w:rsidR="00650C75" w:rsidRPr="00396352">
        <w:rPr>
          <w:rFonts w:cstheme="minorHAnsi"/>
          <w:color w:val="000000" w:themeColor="text1"/>
          <w:lang w:val="en-US"/>
        </w:rPr>
        <w:t xml:space="preserve">has </w:t>
      </w:r>
      <w:r w:rsidR="00AF25D9" w:rsidRPr="00396352">
        <w:rPr>
          <w:rFonts w:cstheme="minorHAnsi"/>
          <w:color w:val="000000" w:themeColor="text1"/>
          <w:lang w:val="en-US"/>
        </w:rPr>
        <w:t>intangible consequences, which can be somewhat subtler, but not less important in the long run. For instance, there is evidence that returning migrants can benefit the source countries by importing skills and norms they have acquired abroad. Returning migrants are also likely to start new business</w:t>
      </w:r>
      <w:r w:rsidR="00055528" w:rsidRPr="00396352">
        <w:rPr>
          <w:rFonts w:cstheme="minorHAnsi"/>
          <w:color w:val="000000" w:themeColor="text1"/>
          <w:lang w:val="en-US"/>
        </w:rPr>
        <w:t>es.</w:t>
      </w:r>
      <w:r w:rsidR="00C5128B" w:rsidRPr="00396352">
        <w:rPr>
          <w:rFonts w:cstheme="minorHAnsi"/>
          <w:color w:val="000000" w:themeColor="text1"/>
          <w:lang w:val="en-US"/>
        </w:rPr>
        <w:t xml:space="preserve"> </w:t>
      </w:r>
      <w:r w:rsidR="002D34AD" w:rsidRPr="00396352">
        <w:rPr>
          <w:rFonts w:cstheme="minorHAnsi"/>
          <w:color w:val="000000" w:themeColor="text1"/>
          <w:lang w:val="en-US"/>
        </w:rPr>
        <w:t xml:space="preserve">At the same time, emigration has a negative </w:t>
      </w:r>
      <w:r w:rsidR="002D34AD" w:rsidRPr="00A47A2E">
        <w:rPr>
          <w:rFonts w:cstheme="minorHAnsi"/>
          <w:color w:val="000000"/>
          <w:lang w:val="en-US"/>
        </w:rPr>
        <w:t xml:space="preserve">economic and social impact, affecting the labor market </w:t>
      </w:r>
      <w:r w:rsidR="00650C75">
        <w:rPr>
          <w:rFonts w:cstheme="minorHAnsi"/>
          <w:color w:val="000000"/>
          <w:lang w:val="en-US"/>
        </w:rPr>
        <w:t>from the</w:t>
      </w:r>
      <w:r w:rsidR="002D34AD" w:rsidRPr="00A47A2E">
        <w:rPr>
          <w:rFonts w:cstheme="minorHAnsi"/>
          <w:color w:val="000000"/>
          <w:lang w:val="en-US"/>
        </w:rPr>
        <w:t xml:space="preserve"> losses </w:t>
      </w:r>
      <w:r w:rsidR="00650C75">
        <w:rPr>
          <w:rFonts w:cstheme="minorHAnsi"/>
          <w:color w:val="000000"/>
          <w:lang w:val="en-US"/>
        </w:rPr>
        <w:t>in</w:t>
      </w:r>
      <w:r w:rsidR="00650C75" w:rsidRPr="00A47A2E">
        <w:rPr>
          <w:rFonts w:cstheme="minorHAnsi"/>
          <w:color w:val="000000"/>
          <w:lang w:val="en-US"/>
        </w:rPr>
        <w:t xml:space="preserve"> </w:t>
      </w:r>
      <w:r w:rsidR="00650C75">
        <w:rPr>
          <w:rFonts w:cstheme="minorHAnsi"/>
          <w:color w:val="000000"/>
          <w:lang w:val="en-US"/>
        </w:rPr>
        <w:t xml:space="preserve">the </w:t>
      </w:r>
      <w:r w:rsidR="002D34AD" w:rsidRPr="00A47A2E">
        <w:rPr>
          <w:rFonts w:cstheme="minorHAnsi"/>
          <w:color w:val="000000"/>
          <w:lang w:val="en-US"/>
        </w:rPr>
        <w:t>s</w:t>
      </w:r>
      <w:r w:rsidR="004E7256" w:rsidRPr="00A47A2E">
        <w:rPr>
          <w:rFonts w:cstheme="minorHAnsi"/>
          <w:color w:val="000000"/>
          <w:lang w:val="en-US"/>
        </w:rPr>
        <w:t>killed labor force</w:t>
      </w:r>
      <w:r w:rsidR="00650C75">
        <w:rPr>
          <w:rFonts w:cstheme="minorHAnsi"/>
          <w:color w:val="000000"/>
          <w:lang w:val="en-US"/>
        </w:rPr>
        <w:t>,</w:t>
      </w:r>
      <w:r w:rsidR="004E7256" w:rsidRPr="00A47A2E">
        <w:rPr>
          <w:rFonts w:cstheme="minorHAnsi"/>
          <w:color w:val="000000"/>
          <w:lang w:val="en-US"/>
        </w:rPr>
        <w:t xml:space="preserve"> and increasing</w:t>
      </w:r>
      <w:r w:rsidR="002D34AD" w:rsidRPr="00A47A2E">
        <w:rPr>
          <w:rFonts w:cstheme="minorHAnsi"/>
          <w:color w:val="000000"/>
          <w:lang w:val="en-US"/>
        </w:rPr>
        <w:t xml:space="preserve"> the risk of marginalization and social exclusion. </w:t>
      </w:r>
    </w:p>
    <w:p w14:paraId="3C2CBFEE" w14:textId="33ABB5BC" w:rsidR="00D42EDC" w:rsidRPr="00D159E9" w:rsidRDefault="0028016C" w:rsidP="00D159E9">
      <w:pPr>
        <w:pStyle w:val="Heading2"/>
        <w:numPr>
          <w:ilvl w:val="0"/>
          <w:numId w:val="0"/>
        </w:numPr>
        <w:rPr>
          <w:b/>
          <w:lang w:val="en-US"/>
        </w:rPr>
      </w:pPr>
      <w:bookmarkStart w:id="14" w:name="_Toc511308335"/>
      <w:r w:rsidRPr="00A47A2E">
        <w:rPr>
          <w:lang w:val="en-US"/>
        </w:rPr>
        <w:t xml:space="preserve"> </w:t>
      </w:r>
      <w:r w:rsidRPr="00242B25">
        <w:rPr>
          <w:b/>
          <w:lang w:val="en-US"/>
        </w:rPr>
        <w:t>Is emigration negatively affecting potential growth?</w:t>
      </w:r>
      <w:bookmarkEnd w:id="14"/>
    </w:p>
    <w:p w14:paraId="227C729D" w14:textId="7D3438F7" w:rsidR="003E460B" w:rsidRPr="006F0B13" w:rsidRDefault="006F0B13" w:rsidP="00D159E9">
      <w:pPr>
        <w:pStyle w:val="ListParagraph"/>
        <w:numPr>
          <w:ilvl w:val="2"/>
          <w:numId w:val="15"/>
        </w:numPr>
        <w:spacing w:after="240" w:line="240" w:lineRule="auto"/>
        <w:contextualSpacing w:val="0"/>
        <w:jc w:val="both"/>
        <w:rPr>
          <w:b/>
          <w:lang w:val="en-US"/>
        </w:rPr>
      </w:pPr>
      <w:r>
        <w:rPr>
          <w:rFonts w:cs="AppleSystemUIFont"/>
          <w:b/>
          <w:lang w:val="en-US"/>
        </w:rPr>
        <w:t>L</w:t>
      </w:r>
      <w:r w:rsidR="008F7682" w:rsidRPr="00A47A2E">
        <w:rPr>
          <w:rFonts w:cs="AppleSystemUIFont"/>
          <w:b/>
          <w:lang w:val="en-US"/>
        </w:rPr>
        <w:t>abor</w:t>
      </w:r>
      <w:r w:rsidR="00C07F65" w:rsidRPr="00A47A2E">
        <w:rPr>
          <w:rFonts w:cs="AppleSystemUIFont"/>
          <w:b/>
          <w:lang w:val="en-US"/>
        </w:rPr>
        <w:t xml:space="preserve"> had a negative contribution on growth, especially before 2009.</w:t>
      </w:r>
      <w:r w:rsidR="00F13F2A" w:rsidRPr="00A47A2E">
        <w:rPr>
          <w:rFonts w:cs="AppleSystemUIFont"/>
          <w:b/>
          <w:lang w:val="en-US"/>
        </w:rPr>
        <w:t xml:space="preserve"> </w:t>
      </w:r>
      <w:r w:rsidR="00262A0D" w:rsidRPr="00A47A2E">
        <w:rPr>
          <w:rFonts w:cs="AppleSystemUIFont"/>
          <w:lang w:val="en-US"/>
        </w:rPr>
        <w:t>The composition of Romania’s GDP growth has been gradually changing since 2000 (</w:t>
      </w:r>
      <w:r w:rsidR="00A35C93" w:rsidRPr="00A47A2E">
        <w:rPr>
          <w:rFonts w:cs="AppleSystemUIFont"/>
          <w:lang w:val="en-US"/>
        </w:rPr>
        <w:t>Figure 11</w:t>
      </w:r>
      <w:r w:rsidR="00262A0D" w:rsidRPr="00A47A2E">
        <w:rPr>
          <w:rFonts w:cs="AppleSystemUIFont"/>
          <w:lang w:val="en-US"/>
        </w:rPr>
        <w:t>). In 2000</w:t>
      </w:r>
      <w:r w:rsidR="00650C75">
        <w:rPr>
          <w:rFonts w:cstheme="minorHAnsi"/>
          <w:lang w:val="en-US"/>
        </w:rPr>
        <w:t>–</w:t>
      </w:r>
      <w:r w:rsidR="00262A0D" w:rsidRPr="00A47A2E">
        <w:rPr>
          <w:rFonts w:cs="AppleSystemUIFont"/>
          <w:lang w:val="en-US"/>
        </w:rPr>
        <w:t xml:space="preserve">2008 </w:t>
      </w:r>
      <w:r w:rsidR="00F13F2A" w:rsidRPr="00A47A2E">
        <w:rPr>
          <w:rFonts w:cs="AppleSystemUIFont"/>
          <w:lang w:val="en-US"/>
        </w:rPr>
        <w:t xml:space="preserve">labor had a sizeable negative contribution </w:t>
      </w:r>
      <w:r w:rsidR="00650C75">
        <w:rPr>
          <w:rFonts w:cs="AppleSystemUIFont"/>
          <w:lang w:val="en-US"/>
        </w:rPr>
        <w:t xml:space="preserve">of </w:t>
      </w:r>
      <w:r w:rsidR="00650C75">
        <w:rPr>
          <w:rFonts w:cstheme="minorHAnsi"/>
          <w:lang w:val="en-US"/>
        </w:rPr>
        <w:t>−</w:t>
      </w:r>
      <w:r w:rsidR="00F13F2A" w:rsidRPr="00A47A2E">
        <w:rPr>
          <w:rFonts w:cs="AppleSystemUIFont"/>
          <w:lang w:val="en-US"/>
        </w:rPr>
        <w:t>22 percent</w:t>
      </w:r>
      <w:r w:rsidR="00650C75">
        <w:rPr>
          <w:rFonts w:cs="AppleSystemUIFont"/>
          <w:lang w:val="en-US"/>
        </w:rPr>
        <w:t>,</w:t>
      </w:r>
      <w:r w:rsidR="00F13F2A" w:rsidRPr="00A47A2E">
        <w:rPr>
          <w:rFonts w:cs="AppleSystemUIFont"/>
          <w:lang w:val="en-US"/>
        </w:rPr>
        <w:t xml:space="preserve"> reflecting the </w:t>
      </w:r>
      <w:r w:rsidR="00F13F2A" w:rsidRPr="00A47A2E">
        <w:rPr>
          <w:lang w:val="en-US"/>
        </w:rPr>
        <w:t xml:space="preserve">negative impact </w:t>
      </w:r>
      <w:r w:rsidR="00650C75">
        <w:rPr>
          <w:lang w:val="en-US"/>
        </w:rPr>
        <w:t xml:space="preserve">of </w:t>
      </w:r>
      <w:r w:rsidR="00F13F2A" w:rsidRPr="00A47A2E">
        <w:rPr>
          <w:lang w:val="en-US"/>
        </w:rPr>
        <w:t>demographic trends, emigration</w:t>
      </w:r>
      <w:r w:rsidR="00650C75">
        <w:rPr>
          <w:lang w:val="en-US"/>
        </w:rPr>
        <w:t>,</w:t>
      </w:r>
      <w:r w:rsidR="00F13F2A" w:rsidRPr="00A47A2E">
        <w:rPr>
          <w:lang w:val="en-US"/>
        </w:rPr>
        <w:t xml:space="preserve"> and low labor force participation</w:t>
      </w:r>
      <w:r w:rsidR="00F13F2A" w:rsidRPr="00A47A2E">
        <w:rPr>
          <w:rFonts w:cs="AppleSystemUIFont"/>
          <w:lang w:val="en-US"/>
        </w:rPr>
        <w:t>. G</w:t>
      </w:r>
      <w:r w:rsidR="00262A0D" w:rsidRPr="00A47A2E">
        <w:rPr>
          <w:rFonts w:cs="AppleSystemUIFont"/>
          <w:lang w:val="en-US"/>
        </w:rPr>
        <w:t xml:space="preserve">rowth was mainly driven by </w:t>
      </w:r>
      <w:r w:rsidR="00650C75">
        <w:rPr>
          <w:rFonts w:cs="AppleSystemUIFont"/>
          <w:lang w:val="en-US"/>
        </w:rPr>
        <w:t>total factor productivity (</w:t>
      </w:r>
      <w:r w:rsidR="00262A0D" w:rsidRPr="00A47A2E">
        <w:rPr>
          <w:rFonts w:cs="AppleSystemUIFont"/>
          <w:lang w:val="en-US"/>
        </w:rPr>
        <w:t>TF</w:t>
      </w:r>
      <w:r w:rsidR="00650C75">
        <w:rPr>
          <w:rFonts w:cs="AppleSystemUIFont"/>
          <w:lang w:val="en-US"/>
        </w:rPr>
        <w:t xml:space="preserve">P, </w:t>
      </w:r>
      <w:r w:rsidR="00262A0D" w:rsidRPr="00A47A2E">
        <w:rPr>
          <w:rFonts w:cs="AppleSystemUIFont"/>
          <w:lang w:val="en-US"/>
        </w:rPr>
        <w:t xml:space="preserve">80 percent), </w:t>
      </w:r>
      <w:r w:rsidR="00F13F2A" w:rsidRPr="00A47A2E">
        <w:rPr>
          <w:rFonts w:cs="AppleSystemUIFont"/>
          <w:lang w:val="en-US"/>
        </w:rPr>
        <w:t xml:space="preserve">indicating </w:t>
      </w:r>
      <w:r w:rsidR="00262A0D" w:rsidRPr="00A47A2E">
        <w:rPr>
          <w:rFonts w:cs="AppleSystemUIFont"/>
          <w:lang w:val="en-US"/>
        </w:rPr>
        <w:t>the efficiency gains from the gradual correction of resource misallocation during the transition to a market economy. Positive contributions were also made by physical (38 percent) and hu</w:t>
      </w:r>
      <w:r w:rsidR="00F13F2A" w:rsidRPr="00A47A2E">
        <w:rPr>
          <w:rFonts w:cs="AppleSystemUIFont"/>
          <w:lang w:val="en-US"/>
        </w:rPr>
        <w:t>man capital (3 percent).</w:t>
      </w:r>
      <w:r w:rsidR="00262A0D" w:rsidRPr="00A47A2E">
        <w:rPr>
          <w:rFonts w:cs="AppleSystemUIFont"/>
          <w:lang w:val="en-US"/>
        </w:rPr>
        <w:t xml:space="preserve"> Since 2009, the sources of growth have shifted, with a reduction of the TFP contribution to 50 percent</w:t>
      </w:r>
      <w:r w:rsidR="00650C75">
        <w:rPr>
          <w:rFonts w:cs="AppleSystemUIFont"/>
          <w:lang w:val="en-US"/>
        </w:rPr>
        <w:t>,</w:t>
      </w:r>
      <w:r w:rsidR="00262A0D" w:rsidRPr="00A47A2E">
        <w:rPr>
          <w:rFonts w:cs="AppleSystemUIFont"/>
          <w:lang w:val="en-US"/>
        </w:rPr>
        <w:t xml:space="preserve"> and an </w:t>
      </w:r>
      <w:r w:rsidR="00262A0D" w:rsidRPr="00A47A2E">
        <w:rPr>
          <w:rFonts w:cs="AppleSystemUIFont"/>
          <w:lang w:val="en-US"/>
        </w:rPr>
        <w:lastRenderedPageBreak/>
        <w:t xml:space="preserve">increase in the contribution of physical capital to 56 percent. </w:t>
      </w:r>
      <w:r w:rsidR="00262A0D" w:rsidRPr="00A47A2E">
        <w:rPr>
          <w:lang w:val="en-US"/>
        </w:rPr>
        <w:t xml:space="preserve">The increased importance of physical capital accumulation for growth is probably </w:t>
      </w:r>
      <w:r w:rsidR="00262A0D" w:rsidRPr="00396352">
        <w:rPr>
          <w:color w:val="000000" w:themeColor="text1"/>
          <w:lang w:val="en-US"/>
        </w:rPr>
        <w:t>a reflection of the public and private investment stimulated by EU accession. T</w:t>
      </w:r>
      <w:r w:rsidR="00262A0D" w:rsidRPr="00396352">
        <w:rPr>
          <w:rFonts w:cs="AppleSystemUIFont"/>
          <w:color w:val="000000" w:themeColor="text1"/>
          <w:lang w:val="en-US"/>
        </w:rPr>
        <w:t>he diminished, albeit still sizeable TFP contribution</w:t>
      </w:r>
      <w:r w:rsidR="00122A5D" w:rsidRPr="00396352">
        <w:rPr>
          <w:rFonts w:cs="AppleSystemUIFont"/>
          <w:color w:val="000000" w:themeColor="text1"/>
          <w:lang w:val="en-US"/>
        </w:rPr>
        <w:t>,</w:t>
      </w:r>
      <w:r w:rsidR="00262A0D" w:rsidRPr="00396352">
        <w:rPr>
          <w:rFonts w:cs="AppleSystemUIFont"/>
          <w:color w:val="000000" w:themeColor="text1"/>
          <w:lang w:val="en-US"/>
        </w:rPr>
        <w:t xml:space="preserve"> indicates that the efficiency gains from structural transformation, which ha</w:t>
      </w:r>
      <w:r w:rsidR="00486EFA" w:rsidRPr="00396352">
        <w:rPr>
          <w:rFonts w:cs="AppleSystemUIFont"/>
          <w:color w:val="000000" w:themeColor="text1"/>
          <w:lang w:val="en-US"/>
        </w:rPr>
        <w:t xml:space="preserve">d </w:t>
      </w:r>
      <w:r w:rsidR="00262A0D" w:rsidRPr="00396352">
        <w:rPr>
          <w:rFonts w:cs="AppleSystemUIFont"/>
          <w:color w:val="000000" w:themeColor="text1"/>
          <w:lang w:val="en-US"/>
        </w:rPr>
        <w:t xml:space="preserve">been propelling growth </w:t>
      </w:r>
      <w:r w:rsidR="00262A0D" w:rsidRPr="00A47A2E">
        <w:rPr>
          <w:rFonts w:cs="AppleSystemUIFont"/>
          <w:lang w:val="en-US"/>
        </w:rPr>
        <w:t>since the start of transition, are now gradually fading.</w:t>
      </w:r>
      <w:r w:rsidR="00F13F2A" w:rsidRPr="00A47A2E">
        <w:rPr>
          <w:rFonts w:cs="AppleSystemUIFont"/>
          <w:lang w:val="en-US"/>
        </w:rPr>
        <w:t xml:space="preserve"> In this context, the drivers are shifting toward capital</w:t>
      </w:r>
      <w:r w:rsidR="00650C75">
        <w:rPr>
          <w:rFonts w:cs="AppleSystemUIFont"/>
          <w:lang w:val="en-US"/>
        </w:rPr>
        <w:t>,</w:t>
      </w:r>
      <w:r w:rsidR="00F13F2A" w:rsidRPr="00A47A2E">
        <w:rPr>
          <w:rFonts w:cs="AppleSystemUIFont"/>
          <w:lang w:val="en-US"/>
        </w:rPr>
        <w:t xml:space="preserve"> </w:t>
      </w:r>
      <w:r w:rsidR="00C41D5F" w:rsidRPr="00A47A2E">
        <w:rPr>
          <w:rFonts w:cs="AppleSystemUIFont"/>
          <w:lang w:val="en-US"/>
        </w:rPr>
        <w:t xml:space="preserve">with labor still contributing negatively to growth. </w:t>
      </w:r>
    </w:p>
    <w:p w14:paraId="2482ED0B" w14:textId="459B8D92" w:rsidR="006F0B13" w:rsidRPr="006F0B13" w:rsidRDefault="006F0B13" w:rsidP="006F0B13">
      <w:pPr>
        <w:pStyle w:val="ListParagraph"/>
        <w:spacing w:after="0" w:line="240" w:lineRule="auto"/>
        <w:ind w:left="0"/>
        <w:jc w:val="center"/>
        <w:rPr>
          <w:rFonts w:cstheme="minorHAnsi"/>
          <w:color w:val="1F4E79" w:themeColor="accent1" w:themeShade="80"/>
          <w:lang w:val="en-US"/>
        </w:rPr>
      </w:pPr>
      <w:bookmarkStart w:id="15" w:name="_Toc493239691"/>
      <w:bookmarkStart w:id="16" w:name="_Toc511409141"/>
      <w:r w:rsidRPr="006F0B13">
        <w:rPr>
          <w:rFonts w:cstheme="minorHAnsi"/>
          <w:color w:val="1F4E79" w:themeColor="accent1" w:themeShade="80"/>
          <w:lang w:val="en-US"/>
        </w:rPr>
        <w:t xml:space="preserve">Figure </w:t>
      </w:r>
      <w:r w:rsidRPr="006F0B13">
        <w:rPr>
          <w:rFonts w:cstheme="minorHAnsi"/>
          <w:color w:val="1F4E79" w:themeColor="accent1" w:themeShade="80"/>
          <w:lang w:val="en-US"/>
        </w:rPr>
        <w:fldChar w:fldCharType="begin"/>
      </w:r>
      <w:r w:rsidRPr="006F0B13">
        <w:rPr>
          <w:rFonts w:cstheme="minorHAnsi"/>
          <w:color w:val="1F4E79" w:themeColor="accent1" w:themeShade="80"/>
          <w:lang w:val="en-US"/>
        </w:rPr>
        <w:instrText xml:space="preserve"> SEQ Figure \* ARABIC </w:instrText>
      </w:r>
      <w:r w:rsidRPr="006F0B13">
        <w:rPr>
          <w:rFonts w:cstheme="minorHAnsi"/>
          <w:color w:val="1F4E79" w:themeColor="accent1" w:themeShade="80"/>
          <w:lang w:val="en-US"/>
        </w:rPr>
        <w:fldChar w:fldCharType="separate"/>
      </w:r>
      <w:r w:rsidRPr="006F0B13">
        <w:rPr>
          <w:rFonts w:cstheme="minorHAnsi"/>
          <w:color w:val="1F4E79" w:themeColor="accent1" w:themeShade="80"/>
          <w:lang w:val="en-US"/>
        </w:rPr>
        <w:t>5</w:t>
      </w:r>
      <w:r w:rsidRPr="006F0B13">
        <w:rPr>
          <w:rFonts w:cstheme="minorHAnsi"/>
          <w:color w:val="1F4E79" w:themeColor="accent1" w:themeShade="80"/>
          <w:lang w:val="en-US"/>
        </w:rPr>
        <w:fldChar w:fldCharType="end"/>
      </w:r>
      <w:r w:rsidRPr="006F0B13">
        <w:rPr>
          <w:rFonts w:cstheme="minorHAnsi"/>
          <w:color w:val="1F4E79" w:themeColor="accent1" w:themeShade="80"/>
          <w:lang w:val="en-US"/>
        </w:rPr>
        <w:t>. The sources of growth in Romania have shifted</w:t>
      </w:r>
      <w:bookmarkEnd w:id="15"/>
      <w:bookmarkEnd w:id="16"/>
    </w:p>
    <w:p w14:paraId="057020C4" w14:textId="5C907379" w:rsidR="006F0B13" w:rsidRDefault="006F0B13" w:rsidP="006F0B13">
      <w:pPr>
        <w:pStyle w:val="Heading2"/>
        <w:numPr>
          <w:ilvl w:val="0"/>
          <w:numId w:val="0"/>
        </w:numPr>
        <w:spacing w:after="240"/>
        <w:ind w:left="720"/>
        <w:jc w:val="center"/>
        <w:rPr>
          <w:b/>
          <w:lang w:val="en-US"/>
        </w:rPr>
      </w:pPr>
      <w:r w:rsidRPr="00A47A2E">
        <w:rPr>
          <w:noProof/>
          <w:sz w:val="16"/>
          <w:szCs w:val="16"/>
          <w:lang w:eastAsia="it-IT"/>
        </w:rPr>
        <w:drawing>
          <wp:inline distT="0" distB="0" distL="0" distR="0" wp14:anchorId="484D16AB" wp14:editId="4E3D7F0E">
            <wp:extent cx="2322681" cy="2289243"/>
            <wp:effectExtent l="0" t="0" r="1905"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AAE078" w14:textId="648035DB" w:rsidR="006F0B13" w:rsidRPr="006F0B13" w:rsidRDefault="006F0B13" w:rsidP="006F0B13">
      <w:pPr>
        <w:jc w:val="center"/>
        <w:rPr>
          <w:lang w:val="en-US"/>
        </w:rPr>
      </w:pPr>
      <w:r w:rsidRPr="006F0B13">
        <w:rPr>
          <w:lang w:val="en-US"/>
        </w:rPr>
        <w:t>Source: Eurostat, World Bank calculations, based on a human capital adjusted Solow model</w:t>
      </w:r>
    </w:p>
    <w:p w14:paraId="5A4277EE" w14:textId="50D5C684" w:rsidR="0045376B" w:rsidRPr="00242B25" w:rsidRDefault="00AB2A51" w:rsidP="00D159E9">
      <w:pPr>
        <w:pStyle w:val="ListParagraph"/>
        <w:numPr>
          <w:ilvl w:val="2"/>
          <w:numId w:val="15"/>
        </w:numPr>
        <w:spacing w:after="240" w:line="240" w:lineRule="auto"/>
        <w:contextualSpacing w:val="0"/>
        <w:jc w:val="both"/>
        <w:rPr>
          <w:rFonts w:cstheme="minorHAnsi"/>
          <w:color w:val="000000" w:themeColor="text1"/>
          <w:lang w:val="en-US"/>
        </w:rPr>
      </w:pPr>
      <w:bookmarkStart w:id="17" w:name="_Hlk511302800"/>
      <w:r>
        <w:rPr>
          <w:rFonts w:cstheme="minorHAnsi"/>
          <w:b/>
          <w:color w:val="000000" w:themeColor="text1"/>
          <w:lang w:val="en-US"/>
        </w:rPr>
        <w:t>L</w:t>
      </w:r>
      <w:r w:rsidR="00AA2092">
        <w:rPr>
          <w:rFonts w:cstheme="minorHAnsi"/>
          <w:b/>
          <w:color w:val="000000" w:themeColor="text1"/>
          <w:lang w:val="en-US"/>
        </w:rPr>
        <w:t>abor supply and labor productivity</w:t>
      </w:r>
      <w:r>
        <w:rPr>
          <w:rFonts w:cstheme="minorHAnsi"/>
          <w:b/>
          <w:color w:val="000000" w:themeColor="text1"/>
          <w:lang w:val="en-US"/>
        </w:rPr>
        <w:t xml:space="preserve"> were affected by emigration</w:t>
      </w:r>
      <w:r w:rsidR="00AA2092">
        <w:rPr>
          <w:rFonts w:cstheme="minorHAnsi"/>
          <w:b/>
          <w:color w:val="000000" w:themeColor="text1"/>
          <w:lang w:val="en-US"/>
        </w:rPr>
        <w:t>.</w:t>
      </w:r>
      <w:r w:rsidR="005A3017">
        <w:rPr>
          <w:rFonts w:cstheme="minorHAnsi"/>
          <w:b/>
          <w:color w:val="000000" w:themeColor="text1"/>
          <w:lang w:val="en-US"/>
        </w:rPr>
        <w:t xml:space="preserve"> </w:t>
      </w:r>
      <w:r w:rsidR="002115D4" w:rsidRPr="00774638">
        <w:rPr>
          <w:rFonts w:cstheme="minorHAnsi"/>
          <w:color w:val="000000" w:themeColor="text1"/>
          <w:lang w:val="en-US"/>
        </w:rPr>
        <w:t>The</w:t>
      </w:r>
      <w:r w:rsidR="002115D4">
        <w:rPr>
          <w:rFonts w:cstheme="minorHAnsi"/>
          <w:color w:val="000000" w:themeColor="text1"/>
          <w:lang w:val="en-US"/>
        </w:rPr>
        <w:t xml:space="preserve"> outflow </w:t>
      </w:r>
      <w:r w:rsidR="00E12059">
        <w:rPr>
          <w:rFonts w:cstheme="minorHAnsi"/>
          <w:color w:val="000000" w:themeColor="text1"/>
          <w:lang w:val="en-US"/>
        </w:rPr>
        <w:t xml:space="preserve">migration </w:t>
      </w:r>
      <w:r w:rsidR="002115D4">
        <w:rPr>
          <w:rFonts w:cstheme="minorHAnsi"/>
          <w:color w:val="000000" w:themeColor="text1"/>
          <w:lang w:val="en-US"/>
        </w:rPr>
        <w:t>of skilled labor resulted in labor shortages</w:t>
      </w:r>
      <w:r w:rsidR="0045376B">
        <w:rPr>
          <w:rFonts w:cstheme="minorHAnsi"/>
          <w:color w:val="000000" w:themeColor="text1"/>
          <w:lang w:val="en-US"/>
        </w:rPr>
        <w:t>,</w:t>
      </w:r>
      <w:r w:rsidR="002115D4">
        <w:rPr>
          <w:rFonts w:cstheme="minorHAnsi"/>
          <w:color w:val="000000" w:themeColor="text1"/>
          <w:lang w:val="en-US"/>
        </w:rPr>
        <w:t xml:space="preserve"> skill gaps</w:t>
      </w:r>
      <w:r w:rsidR="0045376B">
        <w:rPr>
          <w:rFonts w:cstheme="minorHAnsi"/>
          <w:color w:val="000000" w:themeColor="text1"/>
          <w:lang w:val="en-US"/>
        </w:rPr>
        <w:t>,</w:t>
      </w:r>
      <w:r w:rsidR="002115D4">
        <w:rPr>
          <w:rFonts w:cstheme="minorHAnsi"/>
          <w:color w:val="000000" w:themeColor="text1"/>
          <w:lang w:val="en-US"/>
        </w:rPr>
        <w:t xml:space="preserve"> and distorted wage demand (Mereuta 2012, European Commission 2014</w:t>
      </w:r>
      <w:r w:rsidR="00F72A4B">
        <w:rPr>
          <w:rFonts w:cstheme="minorHAnsi"/>
          <w:color w:val="000000" w:themeColor="text1"/>
          <w:lang w:val="en-US"/>
        </w:rPr>
        <w:t>, IMF 2016</w:t>
      </w:r>
      <w:r w:rsidR="002115D4">
        <w:rPr>
          <w:rFonts w:cstheme="minorHAnsi"/>
          <w:color w:val="000000" w:themeColor="text1"/>
          <w:lang w:val="en-US"/>
        </w:rPr>
        <w:t xml:space="preserve">). </w:t>
      </w:r>
      <w:r w:rsidR="00F72A4B" w:rsidRPr="00F72A4B">
        <w:rPr>
          <w:rFonts w:cstheme="minorHAnsi"/>
          <w:color w:val="000000" w:themeColor="text1"/>
          <w:lang w:val="en-US"/>
        </w:rPr>
        <w:t xml:space="preserve">Real labor productivity </w:t>
      </w:r>
      <w:r w:rsidR="00447819">
        <w:rPr>
          <w:rFonts w:cstheme="minorHAnsi"/>
          <w:color w:val="000000" w:themeColor="text1"/>
          <w:lang w:val="en-US"/>
        </w:rPr>
        <w:t>was also negatively</w:t>
      </w:r>
      <w:r w:rsidR="00F72A4B" w:rsidRPr="00F72A4B">
        <w:rPr>
          <w:rFonts w:cstheme="minorHAnsi"/>
          <w:color w:val="000000" w:themeColor="text1"/>
          <w:lang w:val="en-US"/>
        </w:rPr>
        <w:t xml:space="preserve"> affected</w:t>
      </w:r>
      <w:r w:rsidR="00447819">
        <w:rPr>
          <w:rFonts w:cstheme="minorHAnsi"/>
          <w:color w:val="000000" w:themeColor="text1"/>
          <w:lang w:val="en-US"/>
        </w:rPr>
        <w:t>, mainly by skilled emigration. An IMF (2016) analysis indicate</w:t>
      </w:r>
      <w:r w:rsidR="00815882">
        <w:rPr>
          <w:rFonts w:cstheme="minorHAnsi"/>
          <w:color w:val="000000" w:themeColor="text1"/>
          <w:lang w:val="en-US"/>
        </w:rPr>
        <w:t>d</w:t>
      </w:r>
      <w:r w:rsidR="00447819">
        <w:rPr>
          <w:rFonts w:cstheme="minorHAnsi"/>
          <w:color w:val="000000" w:themeColor="text1"/>
          <w:lang w:val="en-US"/>
        </w:rPr>
        <w:t xml:space="preserve"> that </w:t>
      </w:r>
      <w:r w:rsidR="00F72A4B" w:rsidRPr="00884B97">
        <w:rPr>
          <w:rFonts w:cstheme="minorHAnsi"/>
          <w:color w:val="000000" w:themeColor="text1"/>
          <w:lang w:val="en-US"/>
        </w:rPr>
        <w:t xml:space="preserve">real labor productivity growth in </w:t>
      </w:r>
      <w:r w:rsidR="00447819">
        <w:rPr>
          <w:rFonts w:cstheme="minorHAnsi"/>
          <w:color w:val="000000" w:themeColor="text1"/>
          <w:lang w:val="en-US"/>
        </w:rPr>
        <w:t>Romania</w:t>
      </w:r>
      <w:r w:rsidR="00447819" w:rsidRPr="00884B97">
        <w:rPr>
          <w:rFonts w:cstheme="minorHAnsi"/>
          <w:color w:val="000000" w:themeColor="text1"/>
          <w:lang w:val="en-US"/>
        </w:rPr>
        <w:t xml:space="preserve"> would have been </w:t>
      </w:r>
      <w:r w:rsidR="00447819">
        <w:rPr>
          <w:rFonts w:cstheme="minorHAnsi"/>
          <w:color w:val="000000" w:themeColor="text1"/>
          <w:lang w:val="en-US"/>
        </w:rPr>
        <w:t>around</w:t>
      </w:r>
      <w:r w:rsidR="00447819" w:rsidRPr="00884B97">
        <w:rPr>
          <w:rFonts w:cstheme="minorHAnsi"/>
          <w:color w:val="000000" w:themeColor="text1"/>
          <w:lang w:val="en-US"/>
        </w:rPr>
        <w:t xml:space="preserve"> </w:t>
      </w:r>
      <w:r w:rsidR="00447819">
        <w:rPr>
          <w:rFonts w:cstheme="minorHAnsi"/>
          <w:color w:val="000000" w:themeColor="text1"/>
          <w:lang w:val="en-US"/>
        </w:rPr>
        <w:t>7.5</w:t>
      </w:r>
      <w:r w:rsidR="00F72A4B" w:rsidRPr="00884B97">
        <w:rPr>
          <w:rFonts w:cstheme="minorHAnsi"/>
          <w:color w:val="000000" w:themeColor="text1"/>
          <w:lang w:val="en-US"/>
        </w:rPr>
        <w:t xml:space="preserve"> percentage points higher in the absence of emigration</w:t>
      </w:r>
      <w:r w:rsidR="006C7F96">
        <w:rPr>
          <w:rFonts w:cstheme="minorHAnsi"/>
          <w:color w:val="000000" w:themeColor="text1"/>
          <w:lang w:val="en-US"/>
        </w:rPr>
        <w:t>, for the analyzed period</w:t>
      </w:r>
      <w:r w:rsidR="008425CB">
        <w:rPr>
          <w:rFonts w:cstheme="minorHAnsi"/>
          <w:color w:val="000000" w:themeColor="text1"/>
          <w:lang w:val="en-US"/>
        </w:rPr>
        <w:t xml:space="preserve"> (see Figure 7)</w:t>
      </w:r>
      <w:r w:rsidR="00447819">
        <w:rPr>
          <w:rFonts w:cstheme="minorHAnsi"/>
          <w:color w:val="000000" w:themeColor="text1"/>
          <w:lang w:val="en-US"/>
        </w:rPr>
        <w:t xml:space="preserve">. </w:t>
      </w:r>
      <w:r w:rsidR="002115D4" w:rsidRPr="00884B97">
        <w:rPr>
          <w:rFonts w:cstheme="minorHAnsi"/>
          <w:color w:val="000000" w:themeColor="text1"/>
          <w:lang w:val="en-US"/>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4704"/>
      </w:tblGrid>
      <w:tr w:rsidR="00E12059" w:rsidRPr="00242B25" w14:paraId="31D17D26" w14:textId="77777777" w:rsidTr="00774638">
        <w:tc>
          <w:tcPr>
            <w:tcW w:w="5106" w:type="dxa"/>
          </w:tcPr>
          <w:p w14:paraId="27CA3847" w14:textId="6AEAE2FE" w:rsidR="0084537F" w:rsidRDefault="00AC5BA0" w:rsidP="0045376B">
            <w:pPr>
              <w:pStyle w:val="ListParagraph"/>
              <w:ind w:left="0"/>
              <w:rPr>
                <w:color w:val="1F4E79" w:themeColor="accent1" w:themeShade="80"/>
                <w:lang w:val="en-US"/>
              </w:rPr>
            </w:pPr>
            <w:bookmarkStart w:id="18" w:name="_Toc511409142"/>
            <w:r w:rsidRPr="00242B25">
              <w:rPr>
                <w:color w:val="1F4E79" w:themeColor="accent1" w:themeShade="80"/>
                <w:lang w:val="en-US"/>
              </w:rPr>
              <w:t xml:space="preserve">Figure </w:t>
            </w:r>
            <w:r w:rsidRPr="00242B25">
              <w:rPr>
                <w:color w:val="1F4E79" w:themeColor="accent1" w:themeShade="80"/>
              </w:rPr>
              <w:fldChar w:fldCharType="begin"/>
            </w:r>
            <w:r w:rsidRPr="00242B25">
              <w:rPr>
                <w:color w:val="1F4E79" w:themeColor="accent1" w:themeShade="80"/>
                <w:lang w:val="en-US"/>
              </w:rPr>
              <w:instrText xml:space="preserve"> SEQ Figure \* ARABIC </w:instrText>
            </w:r>
            <w:r w:rsidRPr="00242B25">
              <w:rPr>
                <w:color w:val="1F4E79" w:themeColor="accent1" w:themeShade="80"/>
              </w:rPr>
              <w:fldChar w:fldCharType="separate"/>
            </w:r>
            <w:r w:rsidR="004E4D7F">
              <w:rPr>
                <w:noProof/>
                <w:color w:val="1F4E79" w:themeColor="accent1" w:themeShade="80"/>
                <w:lang w:val="en-US"/>
              </w:rPr>
              <w:t>6</w:t>
            </w:r>
            <w:r w:rsidRPr="00242B25">
              <w:rPr>
                <w:color w:val="1F4E79" w:themeColor="accent1" w:themeShade="80"/>
              </w:rPr>
              <w:fldChar w:fldCharType="end"/>
            </w:r>
            <w:r w:rsidRPr="00242B25">
              <w:rPr>
                <w:color w:val="1F4E79" w:themeColor="accent1" w:themeShade="80"/>
                <w:lang w:val="en-US"/>
              </w:rPr>
              <w:t xml:space="preserve">. </w:t>
            </w:r>
            <w:r w:rsidR="00612D38" w:rsidRPr="00242B25">
              <w:rPr>
                <w:rFonts w:cstheme="minorHAnsi"/>
                <w:color w:val="1F4E79" w:themeColor="accent1" w:themeShade="80"/>
                <w:lang w:val="en-US"/>
              </w:rPr>
              <w:t>Contributions of outward migration to working-age population growth</w:t>
            </w:r>
            <w:r w:rsidR="00025CDC" w:rsidRPr="00242B25">
              <w:rPr>
                <w:rFonts w:cstheme="minorHAnsi"/>
                <w:color w:val="1F4E79" w:themeColor="accent1" w:themeShade="80"/>
                <w:lang w:val="en-US"/>
              </w:rPr>
              <w:t xml:space="preserve"> </w:t>
            </w:r>
            <w:r w:rsidR="004A73B1" w:rsidRPr="00242B25">
              <w:rPr>
                <w:color w:val="1F4E79" w:themeColor="accent1" w:themeShade="80"/>
                <w:lang w:val="en-US"/>
              </w:rPr>
              <w:t>(</w:t>
            </w:r>
            <w:r w:rsidR="00612D38" w:rsidRPr="00242B25">
              <w:rPr>
                <w:color w:val="1F4E79" w:themeColor="accent1" w:themeShade="80"/>
                <w:lang w:val="en-US"/>
              </w:rPr>
              <w:t>average compound annual growth rate, 1990</w:t>
            </w:r>
            <w:r w:rsidR="0045376B">
              <w:rPr>
                <w:rFonts w:cstheme="minorHAnsi"/>
                <w:color w:val="1F4E79" w:themeColor="accent1" w:themeShade="80"/>
                <w:lang w:val="en-US"/>
              </w:rPr>
              <w:t>–</w:t>
            </w:r>
            <w:r w:rsidR="00612D38" w:rsidRPr="00242B25">
              <w:rPr>
                <w:color w:val="1F4E79" w:themeColor="accent1" w:themeShade="80"/>
                <w:lang w:val="en-US"/>
              </w:rPr>
              <w:t>2012)</w:t>
            </w:r>
            <w:bookmarkEnd w:id="18"/>
          </w:p>
          <w:p w14:paraId="4DC6D00E" w14:textId="781754E4" w:rsidR="0045376B" w:rsidRPr="00242B25" w:rsidRDefault="0045376B" w:rsidP="0045376B">
            <w:pPr>
              <w:pStyle w:val="ListParagraph"/>
              <w:ind w:left="0"/>
              <w:rPr>
                <w:rFonts w:cstheme="minorHAnsi"/>
                <w:color w:val="1F4E79" w:themeColor="accent1" w:themeShade="80"/>
                <w:lang w:val="en-US"/>
              </w:rPr>
            </w:pPr>
          </w:p>
        </w:tc>
        <w:tc>
          <w:tcPr>
            <w:tcW w:w="4704" w:type="dxa"/>
          </w:tcPr>
          <w:p w14:paraId="5F288DB7" w14:textId="63A91FBC" w:rsidR="00612D38" w:rsidRPr="00242B25" w:rsidRDefault="00AC5BA0" w:rsidP="0045376B">
            <w:pPr>
              <w:pStyle w:val="ListParagraph"/>
              <w:ind w:left="0"/>
              <w:jc w:val="both"/>
              <w:rPr>
                <w:rFonts w:cstheme="minorHAnsi"/>
                <w:color w:val="1F4E79" w:themeColor="accent1" w:themeShade="80"/>
                <w:lang w:val="en-US"/>
              </w:rPr>
            </w:pPr>
            <w:bookmarkStart w:id="19" w:name="_Toc511409143"/>
            <w:r w:rsidRPr="00242B25">
              <w:rPr>
                <w:color w:val="1F4E79" w:themeColor="accent1" w:themeShade="80"/>
                <w:lang w:val="en-US"/>
              </w:rPr>
              <w:t xml:space="preserve">Figure </w:t>
            </w:r>
            <w:r w:rsidRPr="00242B25">
              <w:rPr>
                <w:color w:val="1F4E79" w:themeColor="accent1" w:themeShade="80"/>
              </w:rPr>
              <w:fldChar w:fldCharType="begin"/>
            </w:r>
            <w:r w:rsidRPr="00242B25">
              <w:rPr>
                <w:color w:val="1F4E79" w:themeColor="accent1" w:themeShade="80"/>
                <w:lang w:val="en-US"/>
              </w:rPr>
              <w:instrText xml:space="preserve"> SEQ Figure \* ARABIC </w:instrText>
            </w:r>
            <w:r w:rsidRPr="00242B25">
              <w:rPr>
                <w:color w:val="1F4E79" w:themeColor="accent1" w:themeShade="80"/>
              </w:rPr>
              <w:fldChar w:fldCharType="separate"/>
            </w:r>
            <w:r w:rsidR="004E4D7F">
              <w:rPr>
                <w:noProof/>
                <w:color w:val="1F4E79" w:themeColor="accent1" w:themeShade="80"/>
                <w:lang w:val="en-US"/>
              </w:rPr>
              <w:t>7</w:t>
            </w:r>
            <w:r w:rsidRPr="00242B25">
              <w:rPr>
                <w:color w:val="1F4E79" w:themeColor="accent1" w:themeShade="80"/>
              </w:rPr>
              <w:fldChar w:fldCharType="end"/>
            </w:r>
            <w:r w:rsidRPr="00242B25">
              <w:rPr>
                <w:color w:val="1F4E79" w:themeColor="accent1" w:themeShade="80"/>
                <w:lang w:val="en-US"/>
              </w:rPr>
              <w:t xml:space="preserve">. </w:t>
            </w:r>
            <w:r w:rsidR="00612D38" w:rsidRPr="00242B25">
              <w:rPr>
                <w:rFonts w:cstheme="minorHAnsi"/>
                <w:color w:val="1F4E79" w:themeColor="accent1" w:themeShade="80"/>
                <w:lang w:val="en-US"/>
              </w:rPr>
              <w:t>Emigrat</w:t>
            </w:r>
            <w:r w:rsidR="000529E3" w:rsidRPr="00242B25">
              <w:rPr>
                <w:rFonts w:cstheme="minorHAnsi"/>
                <w:color w:val="1F4E79" w:themeColor="accent1" w:themeShade="80"/>
                <w:lang w:val="en-US"/>
              </w:rPr>
              <w:t>ion and real labor p</w:t>
            </w:r>
            <w:r w:rsidR="00025CDC" w:rsidRPr="00242B25">
              <w:rPr>
                <w:rFonts w:cstheme="minorHAnsi"/>
                <w:color w:val="1F4E79" w:themeColor="accent1" w:themeShade="80"/>
                <w:lang w:val="en-US"/>
              </w:rPr>
              <w:t xml:space="preserve">roductivity growth </w:t>
            </w:r>
            <w:r w:rsidR="00612D38" w:rsidRPr="00242B25">
              <w:rPr>
                <w:color w:val="1F4E79" w:themeColor="accent1" w:themeShade="80"/>
                <w:lang w:val="en-US"/>
              </w:rPr>
              <w:t>(percentage points; additional cumulative real labor productivity growth, 1995</w:t>
            </w:r>
            <w:r w:rsidR="0045376B" w:rsidRPr="00242B25">
              <w:rPr>
                <w:rFonts w:cstheme="minorHAnsi"/>
                <w:color w:val="1F4E79" w:themeColor="accent1" w:themeShade="80"/>
                <w:lang w:val="en-US"/>
              </w:rPr>
              <w:t>–</w:t>
            </w:r>
            <w:r w:rsidR="00612D38" w:rsidRPr="00242B25">
              <w:rPr>
                <w:color w:val="1F4E79" w:themeColor="accent1" w:themeShade="80"/>
                <w:lang w:val="en-US"/>
              </w:rPr>
              <w:t>2012)</w:t>
            </w:r>
            <w:bookmarkEnd w:id="19"/>
          </w:p>
        </w:tc>
      </w:tr>
      <w:tr w:rsidR="00E12059" w14:paraId="63ADB252" w14:textId="77777777" w:rsidTr="00774638">
        <w:trPr>
          <w:trHeight w:val="3179"/>
        </w:trPr>
        <w:tc>
          <w:tcPr>
            <w:tcW w:w="5106" w:type="dxa"/>
          </w:tcPr>
          <w:p w14:paraId="4CBAE236" w14:textId="6422E7DB" w:rsidR="0084537F" w:rsidRPr="00774638" w:rsidRDefault="0084537F" w:rsidP="00774638">
            <w:pPr>
              <w:pStyle w:val="ListParagraph"/>
              <w:keepNext/>
              <w:ind w:left="0"/>
              <w:jc w:val="both"/>
            </w:pPr>
            <w:r>
              <w:rPr>
                <w:noProof/>
                <w:lang w:eastAsia="it-IT"/>
              </w:rPr>
              <w:drawing>
                <wp:inline distT="0" distB="0" distL="0" distR="0" wp14:anchorId="544577CC" wp14:editId="0811BE1B">
                  <wp:extent cx="3105150" cy="19843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05150" cy="1984375"/>
                          </a:xfrm>
                          <a:prstGeom prst="rect">
                            <a:avLst/>
                          </a:prstGeom>
                        </pic:spPr>
                      </pic:pic>
                    </a:graphicData>
                  </a:graphic>
                </wp:inline>
              </w:drawing>
            </w:r>
          </w:p>
        </w:tc>
        <w:tc>
          <w:tcPr>
            <w:tcW w:w="4704" w:type="dxa"/>
          </w:tcPr>
          <w:p w14:paraId="38850F6E" w14:textId="0E37C328" w:rsidR="00612D38" w:rsidRPr="00774638" w:rsidRDefault="0084537F" w:rsidP="00774638">
            <w:pPr>
              <w:pStyle w:val="ListParagraph"/>
              <w:keepNext/>
              <w:ind w:left="0"/>
              <w:jc w:val="both"/>
            </w:pPr>
            <w:r>
              <w:rPr>
                <w:noProof/>
                <w:lang w:eastAsia="it-IT"/>
              </w:rPr>
              <w:drawing>
                <wp:inline distT="0" distB="0" distL="0" distR="0" wp14:anchorId="3FCA7CF2" wp14:editId="56282435">
                  <wp:extent cx="2849880" cy="194945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9880" cy="1949450"/>
                          </a:xfrm>
                          <a:prstGeom prst="rect">
                            <a:avLst/>
                          </a:prstGeom>
                        </pic:spPr>
                      </pic:pic>
                    </a:graphicData>
                  </a:graphic>
                </wp:inline>
              </w:drawing>
            </w:r>
          </w:p>
        </w:tc>
      </w:tr>
      <w:tr w:rsidR="00E12059" w:rsidRPr="00396352" w14:paraId="18DBEF64" w14:textId="77777777" w:rsidTr="00774638">
        <w:tc>
          <w:tcPr>
            <w:tcW w:w="5106" w:type="dxa"/>
          </w:tcPr>
          <w:p w14:paraId="68461A79" w14:textId="38C01EB9" w:rsidR="00612D38" w:rsidRPr="00396352" w:rsidRDefault="00612D38" w:rsidP="006F0B13">
            <w:pPr>
              <w:pStyle w:val="ListParagraph"/>
              <w:ind w:left="0"/>
              <w:jc w:val="center"/>
              <w:rPr>
                <w:rFonts w:cstheme="minorHAnsi"/>
                <w:color w:val="000000" w:themeColor="text1"/>
                <w:lang w:val="en-US"/>
              </w:rPr>
            </w:pPr>
          </w:p>
        </w:tc>
        <w:tc>
          <w:tcPr>
            <w:tcW w:w="4704" w:type="dxa"/>
          </w:tcPr>
          <w:p w14:paraId="64728818" w14:textId="1C8CC137" w:rsidR="00612D38" w:rsidRPr="00396352" w:rsidRDefault="00612D38" w:rsidP="006F0B13">
            <w:pPr>
              <w:pStyle w:val="ListParagraph"/>
              <w:ind w:left="0"/>
              <w:jc w:val="center"/>
              <w:rPr>
                <w:rFonts w:cstheme="minorHAnsi"/>
                <w:color w:val="000000" w:themeColor="text1"/>
                <w:lang w:val="en-US"/>
              </w:rPr>
            </w:pPr>
          </w:p>
        </w:tc>
      </w:tr>
    </w:tbl>
    <w:bookmarkEnd w:id="17"/>
    <w:p w14:paraId="08E55F3C" w14:textId="34888737" w:rsidR="00AA2092" w:rsidRPr="00774638" w:rsidRDefault="006F0B13" w:rsidP="006F0B13">
      <w:pPr>
        <w:jc w:val="center"/>
        <w:rPr>
          <w:rFonts w:cstheme="minorHAnsi"/>
          <w:b/>
          <w:color w:val="000000" w:themeColor="text1"/>
          <w:lang w:val="en-US"/>
        </w:rPr>
      </w:pPr>
      <w:r w:rsidRPr="00396352">
        <w:rPr>
          <w:rFonts w:cstheme="minorHAnsi"/>
          <w:color w:val="000000" w:themeColor="text1"/>
          <w:lang w:val="en-US"/>
        </w:rPr>
        <w:t>Source: IMF (2016)</w:t>
      </w:r>
    </w:p>
    <w:p w14:paraId="5C93A6EE" w14:textId="69B85ED8" w:rsidR="00B86436" w:rsidRPr="00A47A2E" w:rsidRDefault="005D1BE4" w:rsidP="00D159E9">
      <w:pPr>
        <w:pStyle w:val="ListParagraph"/>
        <w:numPr>
          <w:ilvl w:val="2"/>
          <w:numId w:val="15"/>
        </w:numPr>
        <w:spacing w:after="240" w:line="240" w:lineRule="auto"/>
        <w:contextualSpacing w:val="0"/>
        <w:jc w:val="both"/>
        <w:rPr>
          <w:rFonts w:cstheme="minorHAnsi"/>
          <w:b/>
          <w:color w:val="000000" w:themeColor="text1"/>
          <w:lang w:val="en-US"/>
        </w:rPr>
      </w:pPr>
      <w:r w:rsidRPr="00A47A2E">
        <w:rPr>
          <w:rFonts w:cstheme="minorHAnsi"/>
          <w:b/>
          <w:color w:val="000000" w:themeColor="text1"/>
          <w:lang w:val="en-US"/>
        </w:rPr>
        <w:lastRenderedPageBreak/>
        <w:t>Romania</w:t>
      </w:r>
      <w:r w:rsidR="00E51554" w:rsidRPr="00A47A2E">
        <w:rPr>
          <w:rFonts w:cstheme="minorHAnsi"/>
          <w:b/>
          <w:color w:val="000000" w:themeColor="text1"/>
          <w:lang w:val="en-US"/>
        </w:rPr>
        <w:t xml:space="preserve"> registered</w:t>
      </w:r>
      <w:r w:rsidR="00C41D5F" w:rsidRPr="00A47A2E">
        <w:rPr>
          <w:rFonts w:cstheme="minorHAnsi"/>
          <w:b/>
          <w:color w:val="000000" w:themeColor="text1"/>
          <w:lang w:val="en-US"/>
        </w:rPr>
        <w:t xml:space="preserve"> one of the largest increase</w:t>
      </w:r>
      <w:r w:rsidR="0045376B">
        <w:rPr>
          <w:rFonts w:cstheme="minorHAnsi"/>
          <w:b/>
          <w:color w:val="000000" w:themeColor="text1"/>
          <w:lang w:val="en-US"/>
        </w:rPr>
        <w:t>s</w:t>
      </w:r>
      <w:r w:rsidR="00C41D5F" w:rsidRPr="00A47A2E">
        <w:rPr>
          <w:rFonts w:cstheme="minorHAnsi"/>
          <w:b/>
          <w:color w:val="000000" w:themeColor="text1"/>
          <w:lang w:val="en-US"/>
        </w:rPr>
        <w:t xml:space="preserve"> of high-skilled </w:t>
      </w:r>
      <w:r w:rsidR="001A4170" w:rsidRPr="00A47A2E">
        <w:rPr>
          <w:rFonts w:cstheme="minorHAnsi"/>
          <w:b/>
          <w:color w:val="000000" w:themeColor="text1"/>
          <w:lang w:val="en-US"/>
        </w:rPr>
        <w:t>emigration</w:t>
      </w:r>
      <w:r w:rsidR="00C41D5F" w:rsidRPr="00A47A2E">
        <w:rPr>
          <w:rFonts w:cstheme="minorHAnsi"/>
          <w:b/>
          <w:color w:val="000000" w:themeColor="text1"/>
          <w:lang w:val="en-US"/>
        </w:rPr>
        <w:t xml:space="preserve"> into the G20 countries in the 2000s. </w:t>
      </w:r>
      <w:r w:rsidR="00B86436" w:rsidRPr="00A47A2E">
        <w:rPr>
          <w:rFonts w:eastAsia="Times New Roman" w:cstheme="minorHAnsi"/>
          <w:color w:val="000000" w:themeColor="text1"/>
          <w:lang w:val="en-US"/>
        </w:rPr>
        <w:t xml:space="preserve">Romania is the tenth main country of origin </w:t>
      </w:r>
      <w:r w:rsidR="00D60E26">
        <w:rPr>
          <w:rFonts w:eastAsia="Times New Roman" w:cstheme="minorHAnsi"/>
          <w:color w:val="000000" w:themeColor="text1"/>
          <w:lang w:val="en-US"/>
        </w:rPr>
        <w:t>in terms of migration</w:t>
      </w:r>
      <w:r w:rsidR="00C41D5F" w:rsidRPr="00A47A2E">
        <w:rPr>
          <w:rFonts w:eastAsia="Times New Roman" w:cstheme="minorHAnsi"/>
          <w:color w:val="000000" w:themeColor="text1"/>
          <w:lang w:val="en-US"/>
        </w:rPr>
        <w:t xml:space="preserve"> flow</w:t>
      </w:r>
      <w:r w:rsidR="00D60E26">
        <w:rPr>
          <w:rFonts w:eastAsia="Times New Roman" w:cstheme="minorHAnsi"/>
          <w:color w:val="000000" w:themeColor="text1"/>
          <w:lang w:val="en-US"/>
        </w:rPr>
        <w:t>s</w:t>
      </w:r>
      <w:r w:rsidR="00C41D5F" w:rsidRPr="00A47A2E">
        <w:rPr>
          <w:rFonts w:eastAsia="Times New Roman" w:cstheme="minorHAnsi"/>
          <w:color w:val="000000" w:themeColor="text1"/>
          <w:lang w:val="en-US"/>
        </w:rPr>
        <w:t xml:space="preserve"> in the G20</w:t>
      </w:r>
      <w:r w:rsidR="0045376B">
        <w:rPr>
          <w:rFonts w:eastAsia="Times New Roman" w:cstheme="minorHAnsi"/>
          <w:color w:val="000000" w:themeColor="text1"/>
          <w:lang w:val="en-US"/>
        </w:rPr>
        <w:t>,</w:t>
      </w:r>
      <w:r w:rsidR="00C41D5F" w:rsidRPr="00A47A2E">
        <w:rPr>
          <w:rFonts w:eastAsia="Times New Roman" w:cstheme="minorHAnsi"/>
          <w:color w:val="000000" w:themeColor="text1"/>
          <w:lang w:val="en-US"/>
        </w:rPr>
        <w:t xml:space="preserve"> according to the OECD</w:t>
      </w:r>
      <w:r w:rsidR="00574111">
        <w:rPr>
          <w:rFonts w:eastAsia="Times New Roman" w:cstheme="minorHAnsi"/>
          <w:color w:val="000000" w:themeColor="text1"/>
          <w:lang w:val="en-US"/>
        </w:rPr>
        <w:t>.</w:t>
      </w:r>
      <w:r w:rsidR="00C41D5F" w:rsidRPr="00A47A2E">
        <w:rPr>
          <w:rStyle w:val="FootnoteReference"/>
          <w:rFonts w:eastAsia="Times New Roman" w:cstheme="minorHAnsi"/>
          <w:color w:val="000000" w:themeColor="text1"/>
          <w:lang w:val="en-US"/>
        </w:rPr>
        <w:footnoteReference w:id="10"/>
      </w:r>
      <w:r w:rsidR="00B86436" w:rsidRPr="00A47A2E">
        <w:rPr>
          <w:rFonts w:eastAsia="Times New Roman" w:cstheme="minorHAnsi"/>
          <w:color w:val="000000" w:themeColor="text1"/>
          <w:lang w:val="en-US"/>
        </w:rPr>
        <w:t xml:space="preserve"> </w:t>
      </w:r>
      <w:r w:rsidR="00C41D5F" w:rsidRPr="00A47A2E">
        <w:rPr>
          <w:rFonts w:eastAsia="Times New Roman" w:cstheme="minorHAnsi"/>
          <w:color w:val="000000" w:themeColor="text1"/>
          <w:lang w:val="en-US"/>
        </w:rPr>
        <w:t xml:space="preserve">In terms of </w:t>
      </w:r>
      <w:r w:rsidR="00B86436" w:rsidRPr="00A47A2E">
        <w:rPr>
          <w:rFonts w:eastAsia="Times New Roman" w:cstheme="minorHAnsi"/>
          <w:color w:val="000000" w:themeColor="text1"/>
          <w:lang w:val="en-US"/>
        </w:rPr>
        <w:t>high-skilled immigration into the G20 countries</w:t>
      </w:r>
      <w:r w:rsidR="0045376B">
        <w:rPr>
          <w:rFonts w:eastAsia="Times New Roman" w:cstheme="minorHAnsi"/>
          <w:color w:val="000000" w:themeColor="text1"/>
          <w:lang w:val="en-US"/>
        </w:rPr>
        <w:t>,</w:t>
      </w:r>
      <w:r w:rsidR="00B86436" w:rsidRPr="00A47A2E">
        <w:rPr>
          <w:rFonts w:eastAsia="Times New Roman" w:cstheme="minorHAnsi"/>
          <w:color w:val="000000" w:themeColor="text1"/>
          <w:lang w:val="en-US"/>
        </w:rPr>
        <w:t xml:space="preserve"> </w:t>
      </w:r>
      <w:r w:rsidR="00C41D5F" w:rsidRPr="00A47A2E">
        <w:rPr>
          <w:rFonts w:eastAsia="Times New Roman" w:cstheme="minorHAnsi"/>
          <w:color w:val="000000" w:themeColor="text1"/>
          <w:lang w:val="en-US"/>
        </w:rPr>
        <w:t>Romania recorded the largest increase in</w:t>
      </w:r>
      <w:r w:rsidR="00B86436" w:rsidRPr="00A47A2E">
        <w:rPr>
          <w:rFonts w:eastAsia="Times New Roman" w:cstheme="minorHAnsi"/>
          <w:color w:val="000000" w:themeColor="text1"/>
          <w:lang w:val="en-US"/>
        </w:rPr>
        <w:t xml:space="preserve"> the first dec</w:t>
      </w:r>
      <w:r w:rsidR="00E27A42">
        <w:rPr>
          <w:rFonts w:eastAsia="Times New Roman" w:cstheme="minorHAnsi"/>
          <w:color w:val="000000" w:themeColor="text1"/>
          <w:lang w:val="en-US"/>
        </w:rPr>
        <w:t>ade of this century (</w:t>
      </w:r>
      <w:r w:rsidR="00B86436" w:rsidRPr="00A47A2E">
        <w:rPr>
          <w:rFonts w:eastAsia="Times New Roman" w:cstheme="minorHAnsi"/>
          <w:color w:val="000000" w:themeColor="text1"/>
          <w:lang w:val="en-US"/>
        </w:rPr>
        <w:t>about 492</w:t>
      </w:r>
      <w:r w:rsidR="0045376B">
        <w:rPr>
          <w:rFonts w:eastAsia="Times New Roman" w:cstheme="minorHAnsi"/>
          <w:color w:val="000000" w:themeColor="text1"/>
          <w:lang w:val="en-US"/>
        </w:rPr>
        <w:t>,</w:t>
      </w:r>
      <w:r w:rsidR="00B86436" w:rsidRPr="00A47A2E">
        <w:rPr>
          <w:rFonts w:eastAsia="Times New Roman" w:cstheme="minorHAnsi"/>
          <w:color w:val="000000" w:themeColor="text1"/>
          <w:lang w:val="en-US"/>
        </w:rPr>
        <w:t>000 persons in 2010</w:t>
      </w:r>
      <w:r w:rsidR="0045376B">
        <w:rPr>
          <w:rFonts w:eastAsia="Times New Roman" w:cstheme="minorHAnsi"/>
          <w:color w:val="000000" w:themeColor="text1"/>
          <w:lang w:val="en-US"/>
        </w:rPr>
        <w:t>–</w:t>
      </w:r>
      <w:r w:rsidR="00B86436" w:rsidRPr="00A47A2E">
        <w:rPr>
          <w:rFonts w:eastAsia="Times New Roman" w:cstheme="minorHAnsi"/>
          <w:color w:val="000000" w:themeColor="text1"/>
          <w:lang w:val="en-US"/>
        </w:rPr>
        <w:t xml:space="preserve">11). The number of highly educated female migrants </w:t>
      </w:r>
      <w:r w:rsidR="00C15555">
        <w:rPr>
          <w:rFonts w:eastAsia="Times New Roman" w:cstheme="minorHAnsi"/>
          <w:color w:val="000000" w:themeColor="text1"/>
          <w:lang w:val="en-US"/>
        </w:rPr>
        <w:t xml:space="preserve">more than </w:t>
      </w:r>
      <w:r w:rsidR="00B86436" w:rsidRPr="00A47A2E">
        <w:rPr>
          <w:rFonts w:eastAsia="Times New Roman" w:cstheme="minorHAnsi"/>
          <w:color w:val="000000" w:themeColor="text1"/>
          <w:lang w:val="en-US"/>
        </w:rPr>
        <w:t>doubled between 2000</w:t>
      </w:r>
      <w:r w:rsidR="0045376B">
        <w:rPr>
          <w:rFonts w:eastAsia="Times New Roman" w:cstheme="minorHAnsi"/>
          <w:color w:val="000000" w:themeColor="text1"/>
          <w:lang w:val="en-US"/>
        </w:rPr>
        <w:t>–</w:t>
      </w:r>
      <w:r w:rsidR="00B86436" w:rsidRPr="00A47A2E">
        <w:rPr>
          <w:rFonts w:eastAsia="Times New Roman" w:cstheme="minorHAnsi"/>
          <w:color w:val="000000" w:themeColor="text1"/>
          <w:lang w:val="en-US"/>
        </w:rPr>
        <w:t>01 and 2010</w:t>
      </w:r>
      <w:r w:rsidR="0045376B">
        <w:rPr>
          <w:rFonts w:eastAsia="Times New Roman" w:cstheme="minorHAnsi"/>
          <w:color w:val="000000" w:themeColor="text1"/>
          <w:lang w:val="en-US"/>
        </w:rPr>
        <w:t>–</w:t>
      </w:r>
      <w:r w:rsidR="00B86436" w:rsidRPr="00A47A2E">
        <w:rPr>
          <w:rFonts w:eastAsia="Times New Roman" w:cstheme="minorHAnsi"/>
          <w:color w:val="000000" w:themeColor="text1"/>
          <w:lang w:val="en-US"/>
        </w:rPr>
        <w:t>11</w:t>
      </w:r>
      <w:r w:rsidR="0045376B">
        <w:rPr>
          <w:rFonts w:eastAsia="Times New Roman" w:cstheme="minorHAnsi"/>
          <w:color w:val="000000" w:themeColor="text1"/>
          <w:lang w:val="en-US"/>
        </w:rPr>
        <w:t>,</w:t>
      </w:r>
      <w:r w:rsidR="00B86436" w:rsidRPr="00A47A2E">
        <w:rPr>
          <w:rFonts w:eastAsia="Times New Roman" w:cstheme="minorHAnsi"/>
          <w:color w:val="000000" w:themeColor="text1"/>
          <w:lang w:val="en-US"/>
        </w:rPr>
        <w:t xml:space="preserve"> whereas the increase has been lower for men. </w:t>
      </w:r>
    </w:p>
    <w:tbl>
      <w:tblPr>
        <w:tblStyle w:val="TableGrid"/>
        <w:tblW w:w="0" w:type="auto"/>
        <w:tblLook w:val="04A0" w:firstRow="1" w:lastRow="0" w:firstColumn="1" w:lastColumn="0" w:noHBand="0" w:noVBand="1"/>
      </w:tblPr>
      <w:tblGrid>
        <w:gridCol w:w="9725"/>
      </w:tblGrid>
      <w:tr w:rsidR="00D42EDC" w:rsidRPr="00A47A2E" w14:paraId="40221C1B" w14:textId="77777777" w:rsidTr="00D159E9">
        <w:tc>
          <w:tcPr>
            <w:tcW w:w="9725" w:type="dxa"/>
          </w:tcPr>
          <w:p w14:paraId="3B8F1CDA" w14:textId="55BB7626" w:rsidR="00D42EDC" w:rsidRPr="00A47A2E" w:rsidRDefault="00D42EDC" w:rsidP="00D42EDC">
            <w:pPr>
              <w:pStyle w:val="Caption"/>
              <w:jc w:val="center"/>
              <w:rPr>
                <w:b/>
                <w:i w:val="0"/>
                <w:sz w:val="22"/>
                <w:szCs w:val="22"/>
                <w:lang w:val="en-US"/>
              </w:rPr>
            </w:pPr>
            <w:bookmarkStart w:id="20" w:name="_Ref491097764"/>
            <w:bookmarkStart w:id="21" w:name="_Toc493239710"/>
            <w:bookmarkStart w:id="22" w:name="_Toc501133475"/>
            <w:bookmarkStart w:id="23" w:name="_Hlk500934527"/>
            <w:r w:rsidRPr="00A47A2E">
              <w:rPr>
                <w:b/>
                <w:i w:val="0"/>
                <w:sz w:val="22"/>
                <w:szCs w:val="22"/>
                <w:lang w:val="en-US"/>
              </w:rPr>
              <w:t xml:space="preserve">Box </w:t>
            </w:r>
            <w:r w:rsidRPr="00A47A2E">
              <w:rPr>
                <w:b/>
                <w:i w:val="0"/>
                <w:sz w:val="22"/>
                <w:szCs w:val="22"/>
                <w:lang w:val="en-US"/>
              </w:rPr>
              <w:fldChar w:fldCharType="begin"/>
            </w:r>
            <w:r w:rsidRPr="00A47A2E">
              <w:rPr>
                <w:b/>
                <w:i w:val="0"/>
                <w:sz w:val="22"/>
                <w:szCs w:val="22"/>
                <w:lang w:val="en-US"/>
              </w:rPr>
              <w:instrText xml:space="preserve"> SEQ Box \* ARABIC </w:instrText>
            </w:r>
            <w:r w:rsidRPr="00A47A2E">
              <w:rPr>
                <w:b/>
                <w:i w:val="0"/>
                <w:sz w:val="22"/>
                <w:szCs w:val="22"/>
                <w:lang w:val="en-US"/>
              </w:rPr>
              <w:fldChar w:fldCharType="separate"/>
            </w:r>
            <w:r w:rsidR="004E4D7F">
              <w:rPr>
                <w:b/>
                <w:i w:val="0"/>
                <w:noProof/>
                <w:sz w:val="22"/>
                <w:szCs w:val="22"/>
                <w:lang w:val="en-US"/>
              </w:rPr>
              <w:t>1</w:t>
            </w:r>
            <w:r w:rsidRPr="00A47A2E">
              <w:rPr>
                <w:b/>
                <w:i w:val="0"/>
                <w:sz w:val="22"/>
                <w:szCs w:val="22"/>
                <w:lang w:val="en-US"/>
              </w:rPr>
              <w:fldChar w:fldCharType="end"/>
            </w:r>
            <w:bookmarkEnd w:id="20"/>
            <w:r w:rsidRPr="00A47A2E">
              <w:rPr>
                <w:b/>
                <w:i w:val="0"/>
                <w:sz w:val="22"/>
                <w:szCs w:val="22"/>
                <w:lang w:val="en-US"/>
              </w:rPr>
              <w:t xml:space="preserve">. </w:t>
            </w:r>
            <w:bookmarkEnd w:id="21"/>
            <w:r w:rsidRPr="00A47A2E">
              <w:rPr>
                <w:b/>
                <w:i w:val="0"/>
                <w:sz w:val="22"/>
                <w:szCs w:val="22"/>
                <w:lang w:val="en-US"/>
              </w:rPr>
              <w:t xml:space="preserve">High-skilled migration. The case of </w:t>
            </w:r>
            <w:r w:rsidR="0093594F" w:rsidRPr="00A47A2E">
              <w:rPr>
                <w:b/>
                <w:i w:val="0"/>
                <w:sz w:val="22"/>
                <w:szCs w:val="22"/>
                <w:lang w:val="en-US"/>
              </w:rPr>
              <w:t>Romanian physicians</w:t>
            </w:r>
            <w:bookmarkEnd w:id="22"/>
          </w:p>
          <w:p w14:paraId="799D2FA6" w14:textId="3A85823E" w:rsidR="002653CE" w:rsidRPr="00A47A2E" w:rsidRDefault="005A4FCF" w:rsidP="00774638">
            <w:pPr>
              <w:jc w:val="both"/>
              <w:rPr>
                <w:rFonts w:cstheme="minorHAnsi"/>
                <w:color w:val="000000"/>
                <w:sz w:val="20"/>
                <w:szCs w:val="20"/>
                <w:lang w:val="en-US"/>
              </w:rPr>
            </w:pPr>
            <w:r w:rsidRPr="00A47A2E">
              <w:rPr>
                <w:rFonts w:cstheme="minorHAnsi"/>
                <w:b/>
                <w:color w:val="000000"/>
                <w:lang w:val="en-US"/>
              </w:rPr>
              <w:t xml:space="preserve">The number of physicians working abroad exceeded 14 </w:t>
            </w:r>
            <w:r w:rsidR="009829FF" w:rsidRPr="00A47A2E">
              <w:rPr>
                <w:rFonts w:cstheme="minorHAnsi"/>
                <w:b/>
                <w:color w:val="000000"/>
                <w:lang w:val="en-US"/>
              </w:rPr>
              <w:t>thousand</w:t>
            </w:r>
            <w:r w:rsidRPr="00A47A2E">
              <w:rPr>
                <w:rFonts w:cstheme="minorHAnsi"/>
                <w:b/>
                <w:color w:val="000000"/>
                <w:lang w:val="en-US"/>
              </w:rPr>
              <w:t xml:space="preserve"> as of 2013</w:t>
            </w:r>
            <w:r w:rsidR="0045376B">
              <w:rPr>
                <w:rFonts w:cstheme="minorHAnsi"/>
                <w:b/>
                <w:color w:val="000000"/>
                <w:lang w:val="en-US"/>
              </w:rPr>
              <w:t>,</w:t>
            </w:r>
            <w:r w:rsidRPr="00A47A2E">
              <w:rPr>
                <w:rFonts w:cstheme="minorHAnsi"/>
                <w:b/>
                <w:color w:val="000000"/>
                <w:lang w:val="en-US"/>
              </w:rPr>
              <w:t xml:space="preserve"> </w:t>
            </w:r>
            <w:r w:rsidR="009829FF" w:rsidRPr="00A47A2E">
              <w:rPr>
                <w:rFonts w:cstheme="minorHAnsi"/>
                <w:b/>
                <w:color w:val="000000"/>
                <w:lang w:val="en-US"/>
              </w:rPr>
              <w:t>representing</w:t>
            </w:r>
            <w:r w:rsidRPr="00A47A2E">
              <w:rPr>
                <w:rFonts w:cstheme="minorHAnsi"/>
                <w:b/>
                <w:color w:val="000000"/>
                <w:lang w:val="en-US"/>
              </w:rPr>
              <w:t xml:space="preserve"> more than 26 percent of the total number o</w:t>
            </w:r>
            <w:r w:rsidR="00161B24" w:rsidRPr="00A47A2E">
              <w:rPr>
                <w:rFonts w:cstheme="minorHAnsi"/>
                <w:b/>
                <w:color w:val="000000"/>
                <w:lang w:val="en-US"/>
              </w:rPr>
              <w:t>f Romani</w:t>
            </w:r>
            <w:r w:rsidRPr="00A47A2E">
              <w:rPr>
                <w:rFonts w:cstheme="minorHAnsi"/>
                <w:b/>
                <w:color w:val="000000"/>
                <w:lang w:val="en-US"/>
              </w:rPr>
              <w:t>a</w:t>
            </w:r>
            <w:r w:rsidR="00161B24" w:rsidRPr="00A47A2E">
              <w:rPr>
                <w:rFonts w:cstheme="minorHAnsi"/>
                <w:b/>
                <w:color w:val="000000"/>
                <w:lang w:val="en-US"/>
              </w:rPr>
              <w:t>n</w:t>
            </w:r>
            <w:r w:rsidRPr="00A47A2E">
              <w:rPr>
                <w:rFonts w:cstheme="minorHAnsi"/>
                <w:b/>
                <w:color w:val="000000"/>
                <w:lang w:val="en-US"/>
              </w:rPr>
              <w:t xml:space="preserve"> physicians</w:t>
            </w:r>
            <w:r w:rsidR="005C5747" w:rsidRPr="00A47A2E">
              <w:rPr>
                <w:rFonts w:cstheme="minorHAnsi"/>
                <w:b/>
                <w:color w:val="000000"/>
                <w:lang w:val="en-US"/>
              </w:rPr>
              <w:t xml:space="preserve">. </w:t>
            </w:r>
            <w:r w:rsidR="005C5747" w:rsidRPr="00A47A2E">
              <w:rPr>
                <w:rFonts w:cstheme="minorHAnsi"/>
                <w:color w:val="000000"/>
                <w:lang w:val="en-US"/>
              </w:rPr>
              <w:t>B</w:t>
            </w:r>
            <w:r w:rsidRPr="00A47A2E">
              <w:rPr>
                <w:rFonts w:cstheme="minorHAnsi"/>
                <w:color w:val="000000"/>
                <w:lang w:val="en-US"/>
              </w:rPr>
              <w:t>etween 199</w:t>
            </w:r>
            <w:r w:rsidR="005C5747" w:rsidRPr="00A47A2E">
              <w:rPr>
                <w:rFonts w:cstheme="minorHAnsi"/>
                <w:color w:val="000000"/>
                <w:lang w:val="en-US"/>
              </w:rPr>
              <w:t xml:space="preserve">1 and 2013 the outflow of physicians increased nine times, the highest increased been registered after the 2000s. </w:t>
            </w:r>
            <w:r w:rsidR="002653CE" w:rsidRPr="00A47A2E">
              <w:rPr>
                <w:rFonts w:cstheme="minorHAnsi"/>
                <w:color w:val="000000"/>
                <w:lang w:val="en-US"/>
              </w:rPr>
              <w:t xml:space="preserve">The figures </w:t>
            </w:r>
            <w:r w:rsidR="00295789" w:rsidRPr="00A47A2E">
              <w:rPr>
                <w:rFonts w:cstheme="minorHAnsi"/>
                <w:color w:val="000000"/>
                <w:lang w:val="en-US"/>
              </w:rPr>
              <w:t>reflect</w:t>
            </w:r>
            <w:r w:rsidR="00632E21" w:rsidRPr="00A47A2E">
              <w:rPr>
                <w:rFonts w:cstheme="minorHAnsi"/>
                <w:color w:val="000000"/>
                <w:lang w:val="en-US"/>
              </w:rPr>
              <w:t xml:space="preserve"> an incre</w:t>
            </w:r>
            <w:r w:rsidR="002653CE" w:rsidRPr="00A47A2E">
              <w:rPr>
                <w:rFonts w:cstheme="minorHAnsi"/>
                <w:color w:val="000000"/>
                <w:lang w:val="en-US"/>
              </w:rPr>
              <w:t>a</w:t>
            </w:r>
            <w:r w:rsidR="00632E21" w:rsidRPr="00A47A2E">
              <w:rPr>
                <w:rFonts w:cstheme="minorHAnsi"/>
                <w:color w:val="000000"/>
                <w:lang w:val="en-US"/>
              </w:rPr>
              <w:t>sing deficit of medical specialist which its more evident if we take in</w:t>
            </w:r>
            <w:r w:rsidR="00A35C93" w:rsidRPr="00A47A2E">
              <w:rPr>
                <w:rFonts w:cstheme="minorHAnsi"/>
                <w:color w:val="000000"/>
                <w:lang w:val="en-US"/>
              </w:rPr>
              <w:t>to account that</w:t>
            </w:r>
            <w:r w:rsidR="002653CE" w:rsidRPr="00A47A2E">
              <w:rPr>
                <w:rFonts w:cstheme="minorHAnsi"/>
                <w:color w:val="000000"/>
                <w:lang w:val="en-US"/>
              </w:rPr>
              <w:t xml:space="preserve"> between 2000 and 2013 the number of </w:t>
            </w:r>
            <w:r w:rsidR="009829FF" w:rsidRPr="00A47A2E">
              <w:rPr>
                <w:rFonts w:cstheme="minorHAnsi"/>
                <w:color w:val="000000"/>
                <w:lang w:val="en-US"/>
              </w:rPr>
              <w:t>physicians</w:t>
            </w:r>
            <w:r w:rsidR="002653CE" w:rsidRPr="00A47A2E">
              <w:rPr>
                <w:rFonts w:cstheme="minorHAnsi"/>
                <w:color w:val="000000"/>
                <w:lang w:val="en-US"/>
              </w:rPr>
              <w:t xml:space="preserve"> working in Romania increased by 18 percent while those working abroad increased by more than 650 </w:t>
            </w:r>
            <w:r w:rsidR="009829FF" w:rsidRPr="00A47A2E">
              <w:rPr>
                <w:rFonts w:cstheme="minorHAnsi"/>
                <w:color w:val="000000"/>
                <w:lang w:val="en-US"/>
              </w:rPr>
              <w:t>percent</w:t>
            </w:r>
            <w:r w:rsidR="002653CE" w:rsidRPr="00A47A2E">
              <w:rPr>
                <w:rFonts w:cstheme="minorHAnsi"/>
                <w:color w:val="000000"/>
                <w:lang w:val="en-US"/>
              </w:rPr>
              <w:t xml:space="preserve">.  </w:t>
            </w:r>
            <w:r w:rsidR="00632E21" w:rsidRPr="00A47A2E">
              <w:rPr>
                <w:rFonts w:cstheme="minorHAnsi"/>
                <w:color w:val="000000"/>
                <w:lang w:val="en-US"/>
              </w:rPr>
              <w:t xml:space="preserve"> </w:t>
            </w:r>
            <w:r w:rsidR="005C5747" w:rsidRPr="00A47A2E">
              <w:rPr>
                <w:rFonts w:cstheme="minorHAnsi"/>
                <w:color w:val="000000"/>
                <w:lang w:val="en-US"/>
              </w:rPr>
              <w:t xml:space="preserve"> </w:t>
            </w:r>
            <w:r w:rsidRPr="00A47A2E">
              <w:rPr>
                <w:rFonts w:cstheme="minorHAnsi"/>
                <w:b/>
                <w:color w:val="00000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986"/>
            </w:tblGrid>
            <w:tr w:rsidR="005C5747" w:rsidRPr="00242B25" w14:paraId="7C59DF3B" w14:textId="77777777" w:rsidTr="009A6D79">
              <w:tc>
                <w:tcPr>
                  <w:tcW w:w="4416" w:type="dxa"/>
                </w:tcPr>
                <w:p w14:paraId="1E39F7EE" w14:textId="0A1191DE" w:rsidR="005C5747" w:rsidRPr="00242B25" w:rsidRDefault="00104D51" w:rsidP="0045376B">
                  <w:pPr>
                    <w:jc w:val="both"/>
                    <w:rPr>
                      <w:rFonts w:cstheme="minorHAnsi"/>
                      <w:color w:val="000000"/>
                      <w:sz w:val="20"/>
                      <w:szCs w:val="20"/>
                      <w:lang w:val="en-US"/>
                    </w:rPr>
                  </w:pPr>
                  <w:bookmarkStart w:id="24" w:name="_Toc511409144"/>
                  <w:r w:rsidRPr="00242B25">
                    <w:rPr>
                      <w:color w:val="44546A" w:themeColor="text2"/>
                      <w:lang w:val="en-US"/>
                    </w:rPr>
                    <w:t xml:space="preserve">Figure </w:t>
                  </w:r>
                  <w:r w:rsidR="0045376B">
                    <w:rPr>
                      <w:color w:val="44546A" w:themeColor="text2"/>
                      <w:lang w:val="en-US"/>
                    </w:rPr>
                    <w:t>B1.1</w:t>
                  </w:r>
                  <w:r w:rsidRPr="00242B25">
                    <w:rPr>
                      <w:color w:val="44546A" w:themeColor="text2"/>
                      <w:lang w:val="en-US"/>
                    </w:rPr>
                    <w:t xml:space="preserve">. Number of </w:t>
                  </w:r>
                  <w:r w:rsidR="009A6D79" w:rsidRPr="00242B25">
                    <w:rPr>
                      <w:color w:val="44546A" w:themeColor="text2"/>
                      <w:lang w:val="en-US"/>
                    </w:rPr>
                    <w:t>Romani</w:t>
                  </w:r>
                  <w:r w:rsidR="00A35C93" w:rsidRPr="00242B25">
                    <w:rPr>
                      <w:color w:val="44546A" w:themeColor="text2"/>
                      <w:lang w:val="en-US"/>
                    </w:rPr>
                    <w:t>an physicians w</w:t>
                  </w:r>
                  <w:r w:rsidRPr="00242B25">
                    <w:rPr>
                      <w:color w:val="44546A" w:themeColor="text2"/>
                      <w:lang w:val="en-US"/>
                    </w:rPr>
                    <w:t>o</w:t>
                  </w:r>
                  <w:r w:rsidR="00A35C93" w:rsidRPr="00242B25">
                    <w:rPr>
                      <w:color w:val="44546A" w:themeColor="text2"/>
                      <w:lang w:val="en-US"/>
                    </w:rPr>
                    <w:t>r</w:t>
                  </w:r>
                  <w:r w:rsidRPr="00242B25">
                    <w:rPr>
                      <w:color w:val="44546A" w:themeColor="text2"/>
                      <w:lang w:val="en-US"/>
                    </w:rPr>
                    <w:t>king in Romania and abroad</w:t>
                  </w:r>
                  <w:bookmarkEnd w:id="24"/>
                  <w:r w:rsidRPr="00242B25">
                    <w:rPr>
                      <w:color w:val="44546A" w:themeColor="text2"/>
                      <w:lang w:val="en-US"/>
                    </w:rPr>
                    <w:t xml:space="preserve"> </w:t>
                  </w:r>
                </w:p>
              </w:tc>
              <w:tc>
                <w:tcPr>
                  <w:tcW w:w="4986" w:type="dxa"/>
                </w:tcPr>
                <w:p w14:paraId="30E92C6B" w14:textId="5F159E61" w:rsidR="005C5747" w:rsidRPr="00242B25" w:rsidRDefault="00104D51" w:rsidP="0045376B">
                  <w:pPr>
                    <w:jc w:val="both"/>
                    <w:rPr>
                      <w:rFonts w:cstheme="minorHAnsi"/>
                      <w:color w:val="000000"/>
                      <w:sz w:val="20"/>
                      <w:szCs w:val="20"/>
                      <w:lang w:val="en-US"/>
                    </w:rPr>
                  </w:pPr>
                  <w:bookmarkStart w:id="25" w:name="_Toc511409145"/>
                  <w:r w:rsidRPr="00242B25">
                    <w:rPr>
                      <w:color w:val="44546A" w:themeColor="text2"/>
                      <w:lang w:val="en-US"/>
                    </w:rPr>
                    <w:t xml:space="preserve">Figure </w:t>
                  </w:r>
                  <w:r w:rsidR="0045376B">
                    <w:rPr>
                      <w:color w:val="44546A" w:themeColor="text2"/>
                      <w:lang w:val="en-US"/>
                    </w:rPr>
                    <w:t>B1.2</w:t>
                  </w:r>
                  <w:r w:rsidRPr="00242B25">
                    <w:rPr>
                      <w:color w:val="44546A" w:themeColor="text2"/>
                      <w:lang w:val="en-US"/>
                    </w:rPr>
                    <w:t xml:space="preserve">. Increased </w:t>
                  </w:r>
                  <w:r w:rsidR="001D1523" w:rsidRPr="00242B25">
                    <w:rPr>
                      <w:color w:val="44546A" w:themeColor="text2"/>
                      <w:lang w:val="en-US"/>
                    </w:rPr>
                    <w:t>percentage</w:t>
                  </w:r>
                  <w:r w:rsidRPr="00242B25">
                    <w:rPr>
                      <w:color w:val="44546A" w:themeColor="text2"/>
                      <w:lang w:val="en-US"/>
                    </w:rPr>
                    <w:t xml:space="preserve"> of Romanian physicians working abroad</w:t>
                  </w:r>
                  <w:bookmarkEnd w:id="25"/>
                </w:p>
              </w:tc>
            </w:tr>
            <w:tr w:rsidR="005C5747" w:rsidRPr="00A47A2E" w14:paraId="2907D672" w14:textId="77777777" w:rsidTr="009A6D79">
              <w:trPr>
                <w:trHeight w:val="4204"/>
              </w:trPr>
              <w:tc>
                <w:tcPr>
                  <w:tcW w:w="4416" w:type="dxa"/>
                </w:tcPr>
                <w:p w14:paraId="1ED5DCE3" w14:textId="77777777" w:rsidR="005C5747" w:rsidRPr="00A47A2E" w:rsidRDefault="005C5747" w:rsidP="009A6D79">
                  <w:pPr>
                    <w:keepNext/>
                    <w:jc w:val="both"/>
                    <w:rPr>
                      <w:sz w:val="20"/>
                      <w:szCs w:val="20"/>
                      <w:lang w:val="en-US"/>
                    </w:rPr>
                  </w:pPr>
                  <w:r w:rsidRPr="00A47A2E">
                    <w:rPr>
                      <w:noProof/>
                      <w:sz w:val="20"/>
                      <w:szCs w:val="20"/>
                      <w:lang w:eastAsia="it-IT"/>
                    </w:rPr>
                    <w:drawing>
                      <wp:inline distT="0" distB="0" distL="0" distR="0" wp14:anchorId="50E8A467" wp14:editId="07F7DE4F">
                        <wp:extent cx="2667000" cy="2533650"/>
                        <wp:effectExtent l="0" t="0" r="0" b="0"/>
                        <wp:docPr id="1" name="Chart 1">
                          <a:extLst xmlns:a="http://schemas.openxmlformats.org/drawingml/2006/main">
                            <a:ext uri="{FF2B5EF4-FFF2-40B4-BE49-F238E27FC236}">
                              <a16:creationId xmlns:a16="http://schemas.microsoft.com/office/drawing/2014/main" id="{D40FD5FF-37AF-4EA7-A54D-D176DCAB4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986" w:type="dxa"/>
                </w:tcPr>
                <w:p w14:paraId="0D87AD16" w14:textId="77777777" w:rsidR="005C5747" w:rsidRPr="00A47A2E" w:rsidRDefault="005C5747" w:rsidP="009A6D79">
                  <w:pPr>
                    <w:keepNext/>
                    <w:jc w:val="both"/>
                    <w:rPr>
                      <w:lang w:val="en-US"/>
                    </w:rPr>
                  </w:pPr>
                  <w:r w:rsidRPr="00A47A2E">
                    <w:rPr>
                      <w:noProof/>
                      <w:lang w:eastAsia="it-IT"/>
                    </w:rPr>
                    <w:drawing>
                      <wp:inline distT="0" distB="0" distL="0" distR="0" wp14:anchorId="4B183CD6" wp14:editId="7BE2CA29">
                        <wp:extent cx="3028950" cy="2562225"/>
                        <wp:effectExtent l="0" t="0" r="0" b="9525"/>
                        <wp:docPr id="2" name="Chart 2">
                          <a:extLst xmlns:a="http://schemas.openxmlformats.org/drawingml/2006/main">
                            <a:ext uri="{FF2B5EF4-FFF2-40B4-BE49-F238E27FC236}">
                              <a16:creationId xmlns:a16="http://schemas.microsoft.com/office/drawing/2014/main" id="{8F7E27D6-497E-487D-AECC-7F717949A4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2653CE" w:rsidRPr="00242B25" w14:paraId="0FE8F00C" w14:textId="77777777" w:rsidTr="009A6D79">
              <w:trPr>
                <w:trHeight w:val="80"/>
              </w:trPr>
              <w:tc>
                <w:tcPr>
                  <w:tcW w:w="9402" w:type="dxa"/>
                  <w:gridSpan w:val="2"/>
                </w:tcPr>
                <w:p w14:paraId="2CBAA8C2" w14:textId="77777777" w:rsidR="002653CE" w:rsidRPr="00396352" w:rsidRDefault="002653CE" w:rsidP="006F0B13">
                  <w:pPr>
                    <w:jc w:val="center"/>
                    <w:rPr>
                      <w:rFonts w:cstheme="minorHAnsi"/>
                      <w:color w:val="000000"/>
                      <w:lang w:val="en-US"/>
                    </w:rPr>
                  </w:pPr>
                  <w:r w:rsidRPr="00396352">
                    <w:rPr>
                      <w:rFonts w:cstheme="minorHAnsi"/>
                      <w:color w:val="000000"/>
                      <w:lang w:val="en-US"/>
                    </w:rPr>
                    <w:t>Source:</w:t>
                  </w:r>
                  <w:r w:rsidR="009A6D79" w:rsidRPr="00396352">
                    <w:rPr>
                      <w:rFonts w:cstheme="minorHAnsi"/>
                      <w:color w:val="000000"/>
                      <w:lang w:val="en-US"/>
                    </w:rPr>
                    <w:t xml:space="preserve"> National Institute of Statistics, </w:t>
                  </w:r>
                  <w:r w:rsidR="005C0205" w:rsidRPr="00396352">
                    <w:rPr>
                      <w:rFonts w:cstheme="minorHAnsi"/>
                      <w:lang w:val="en-US"/>
                    </w:rPr>
                    <w:t xml:space="preserve">OECD, Eurostat, WHO, </w:t>
                  </w:r>
                  <w:r w:rsidR="005C0205" w:rsidRPr="00396352">
                    <w:rPr>
                      <w:rFonts w:cstheme="minorHAnsi"/>
                      <w:color w:val="000000"/>
                      <w:lang w:val="en-US"/>
                    </w:rPr>
                    <w:t>Bharava et al (2010)</w:t>
                  </w:r>
                </w:p>
              </w:tc>
            </w:tr>
          </w:tbl>
          <w:p w14:paraId="764DC077" w14:textId="77777777" w:rsidR="009A6D79" w:rsidRPr="00A47A2E" w:rsidRDefault="009A6D79" w:rsidP="00CE308A">
            <w:pPr>
              <w:jc w:val="both"/>
              <w:rPr>
                <w:rFonts w:cstheme="minorHAnsi"/>
                <w:b/>
                <w:color w:val="000000"/>
                <w:sz w:val="20"/>
                <w:szCs w:val="20"/>
                <w:lang w:val="en-US"/>
              </w:rPr>
            </w:pPr>
          </w:p>
          <w:p w14:paraId="727D786B" w14:textId="7CEE939A" w:rsidR="00FB6BC6" w:rsidRDefault="005442AB" w:rsidP="00CE308A">
            <w:pPr>
              <w:jc w:val="both"/>
              <w:rPr>
                <w:rFonts w:cstheme="minorHAnsi"/>
                <w:color w:val="000000"/>
                <w:lang w:val="en-US"/>
              </w:rPr>
            </w:pPr>
            <w:r w:rsidRPr="00A47A2E">
              <w:rPr>
                <w:rFonts w:cstheme="minorHAnsi"/>
                <w:b/>
                <w:color w:val="000000"/>
                <w:lang w:val="en-US"/>
              </w:rPr>
              <w:t xml:space="preserve">Migration outflows gradually shifted to EU </w:t>
            </w:r>
            <w:r w:rsidR="009829FF" w:rsidRPr="00A47A2E">
              <w:rPr>
                <w:rFonts w:cstheme="minorHAnsi"/>
                <w:b/>
                <w:color w:val="000000"/>
                <w:lang w:val="en-US"/>
              </w:rPr>
              <w:t>countries</w:t>
            </w:r>
            <w:r w:rsidRPr="00A47A2E">
              <w:rPr>
                <w:rFonts w:cstheme="minorHAnsi"/>
                <w:b/>
                <w:color w:val="000000"/>
                <w:lang w:val="en-US"/>
              </w:rPr>
              <w:t xml:space="preserve"> after Romania’s accession to EU. </w:t>
            </w:r>
            <w:r w:rsidR="00F45D5E" w:rsidRPr="00A47A2E">
              <w:rPr>
                <w:rFonts w:cstheme="minorHAnsi"/>
                <w:color w:val="000000"/>
                <w:lang w:val="en-US"/>
              </w:rPr>
              <w:t xml:space="preserve">Only </w:t>
            </w:r>
            <w:r w:rsidR="0045376B">
              <w:rPr>
                <w:rFonts w:cstheme="minorHAnsi"/>
                <w:color w:val="000000"/>
                <w:lang w:val="en-US"/>
              </w:rPr>
              <w:t>about</w:t>
            </w:r>
            <w:r w:rsidR="0045376B" w:rsidRPr="00A47A2E">
              <w:rPr>
                <w:rFonts w:cstheme="minorHAnsi"/>
                <w:color w:val="000000"/>
                <w:lang w:val="en-US"/>
              </w:rPr>
              <w:t xml:space="preserve"> </w:t>
            </w:r>
            <w:r w:rsidR="00F45D5E" w:rsidRPr="00A47A2E">
              <w:rPr>
                <w:rFonts w:cstheme="minorHAnsi"/>
                <w:color w:val="000000"/>
                <w:lang w:val="en-US"/>
              </w:rPr>
              <w:t xml:space="preserve">30 percent of the Romanian physicians working abroad were based in EU </w:t>
            </w:r>
            <w:r w:rsidR="0045376B" w:rsidRPr="00A47A2E">
              <w:rPr>
                <w:rFonts w:cstheme="minorHAnsi"/>
                <w:color w:val="000000"/>
                <w:lang w:val="en-US"/>
              </w:rPr>
              <w:t>countr</w:t>
            </w:r>
            <w:r w:rsidR="0045376B">
              <w:rPr>
                <w:rFonts w:cstheme="minorHAnsi"/>
                <w:color w:val="000000"/>
                <w:lang w:val="en-US"/>
              </w:rPr>
              <w:t>ies</w:t>
            </w:r>
            <w:r w:rsidR="0045376B" w:rsidRPr="00A47A2E">
              <w:rPr>
                <w:rFonts w:cstheme="minorHAnsi"/>
                <w:color w:val="000000"/>
                <w:lang w:val="en-US"/>
              </w:rPr>
              <w:t xml:space="preserve"> </w:t>
            </w:r>
            <w:r w:rsidR="00F45D5E" w:rsidRPr="00A47A2E">
              <w:rPr>
                <w:rFonts w:cstheme="minorHAnsi"/>
                <w:color w:val="000000"/>
                <w:lang w:val="en-US"/>
              </w:rPr>
              <w:t xml:space="preserve">in 2000. </w:t>
            </w:r>
            <w:r w:rsidR="009829FF" w:rsidRPr="00A47A2E">
              <w:rPr>
                <w:rFonts w:cstheme="minorHAnsi"/>
                <w:color w:val="000000"/>
                <w:lang w:val="en-US"/>
              </w:rPr>
              <w:t>This increased</w:t>
            </w:r>
            <w:r w:rsidR="00F45D5E" w:rsidRPr="00A47A2E">
              <w:rPr>
                <w:rFonts w:cstheme="minorHAnsi"/>
                <w:color w:val="000000"/>
                <w:lang w:val="en-US"/>
              </w:rPr>
              <w:t xml:space="preserve"> greatly after Romania’s EU accession</w:t>
            </w:r>
            <w:r w:rsidR="0045376B">
              <w:rPr>
                <w:rFonts w:cstheme="minorHAnsi"/>
                <w:color w:val="000000"/>
                <w:lang w:val="en-US"/>
              </w:rPr>
              <w:t>,</w:t>
            </w:r>
            <w:r w:rsidR="00F45D5E" w:rsidRPr="00A47A2E">
              <w:rPr>
                <w:rFonts w:cstheme="minorHAnsi"/>
                <w:color w:val="000000"/>
                <w:lang w:val="en-US"/>
              </w:rPr>
              <w:t xml:space="preserve"> to </w:t>
            </w:r>
            <w:r w:rsidR="0045376B" w:rsidRPr="00A47A2E">
              <w:rPr>
                <w:rFonts w:cstheme="minorHAnsi"/>
                <w:color w:val="000000"/>
                <w:lang w:val="en-US"/>
              </w:rPr>
              <w:t>a</w:t>
            </w:r>
            <w:r w:rsidR="0045376B">
              <w:rPr>
                <w:rFonts w:cstheme="minorHAnsi"/>
                <w:color w:val="000000"/>
                <w:lang w:val="en-US"/>
              </w:rPr>
              <w:t>bout</w:t>
            </w:r>
            <w:r w:rsidR="0045376B" w:rsidRPr="00A47A2E">
              <w:rPr>
                <w:rFonts w:cstheme="minorHAnsi"/>
                <w:color w:val="000000"/>
                <w:lang w:val="en-US"/>
              </w:rPr>
              <w:t xml:space="preserve"> </w:t>
            </w:r>
            <w:r w:rsidR="00F45D5E" w:rsidRPr="00A47A2E">
              <w:rPr>
                <w:rFonts w:cstheme="minorHAnsi"/>
                <w:color w:val="000000"/>
                <w:lang w:val="en-US"/>
              </w:rPr>
              <w:t xml:space="preserve">53 percent in 2007 and 72 percent in 2013. The absolute values also indicate the magnitude of the outflows, </w:t>
            </w:r>
            <w:r w:rsidR="007C4DEC">
              <w:rPr>
                <w:rFonts w:cstheme="minorHAnsi"/>
                <w:color w:val="000000"/>
                <w:lang w:val="en-US"/>
              </w:rPr>
              <w:t xml:space="preserve">with </w:t>
            </w:r>
            <w:r w:rsidR="00F45D5E" w:rsidRPr="00A47A2E">
              <w:rPr>
                <w:rFonts w:cstheme="minorHAnsi"/>
                <w:color w:val="000000"/>
                <w:lang w:val="en-US"/>
              </w:rPr>
              <w:t>the number of physicians working abroad in EU countries almost tripling in a span of 7 years, from 2007 to 2013.</w:t>
            </w:r>
          </w:p>
          <w:p w14:paraId="67A17706" w14:textId="2F9F450F" w:rsidR="00D159E9" w:rsidRDefault="00D159E9" w:rsidP="00CE308A">
            <w:pPr>
              <w:jc w:val="both"/>
              <w:rPr>
                <w:rFonts w:cstheme="minorHAnsi"/>
                <w:color w:val="000000"/>
                <w:lang w:val="en-US"/>
              </w:rPr>
            </w:pPr>
          </w:p>
          <w:p w14:paraId="0C290C3F" w14:textId="310462A0" w:rsidR="00D159E9" w:rsidRDefault="00D159E9" w:rsidP="00CE308A">
            <w:pPr>
              <w:jc w:val="both"/>
              <w:rPr>
                <w:rFonts w:cstheme="minorHAnsi"/>
                <w:color w:val="000000"/>
                <w:lang w:val="en-US"/>
              </w:rPr>
            </w:pPr>
          </w:p>
          <w:p w14:paraId="10485E62" w14:textId="025882E8" w:rsidR="006F0B13" w:rsidRDefault="006F0B13" w:rsidP="00CE308A">
            <w:pPr>
              <w:jc w:val="both"/>
              <w:rPr>
                <w:rFonts w:cstheme="minorHAnsi"/>
                <w:color w:val="000000"/>
                <w:lang w:val="en-US"/>
              </w:rPr>
            </w:pPr>
          </w:p>
          <w:p w14:paraId="18A2B7E7" w14:textId="543D4DF9" w:rsidR="006F0B13" w:rsidRDefault="006F0B13" w:rsidP="00CE308A">
            <w:pPr>
              <w:jc w:val="both"/>
              <w:rPr>
                <w:rFonts w:cstheme="minorHAnsi"/>
                <w:color w:val="000000"/>
                <w:lang w:val="en-US"/>
              </w:rPr>
            </w:pPr>
          </w:p>
          <w:p w14:paraId="4EE522FF" w14:textId="1B122021" w:rsidR="006F0B13" w:rsidRDefault="006F0B13" w:rsidP="00CE308A">
            <w:pPr>
              <w:jc w:val="both"/>
              <w:rPr>
                <w:rFonts w:cstheme="minorHAnsi"/>
                <w:color w:val="000000"/>
                <w:lang w:val="en-US"/>
              </w:rPr>
            </w:pPr>
          </w:p>
          <w:p w14:paraId="2167550D" w14:textId="36B2873A" w:rsidR="006F0B13" w:rsidRDefault="006F0B13" w:rsidP="00CE308A">
            <w:pPr>
              <w:jc w:val="both"/>
              <w:rPr>
                <w:rFonts w:cstheme="minorHAnsi"/>
                <w:color w:val="000000"/>
                <w:lang w:val="en-US"/>
              </w:rPr>
            </w:pPr>
          </w:p>
          <w:p w14:paraId="79FA8F2A" w14:textId="77777777" w:rsidR="006F0B13" w:rsidRDefault="006F0B13" w:rsidP="00CE308A">
            <w:pPr>
              <w:jc w:val="both"/>
              <w:rPr>
                <w:rFonts w:cstheme="minorHAnsi"/>
                <w:color w:val="000000"/>
                <w:lang w:val="en-US"/>
              </w:rPr>
            </w:pPr>
          </w:p>
          <w:p w14:paraId="64F4A926" w14:textId="60B87FA5" w:rsidR="006F0B13" w:rsidRDefault="006F0B13" w:rsidP="00CE308A">
            <w:pPr>
              <w:jc w:val="both"/>
              <w:rPr>
                <w:rFonts w:cstheme="minorHAnsi"/>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859"/>
            </w:tblGrid>
            <w:tr w:rsidR="00156FD7" w:rsidRPr="00242B25" w14:paraId="2CBABA54" w14:textId="77777777" w:rsidTr="006F0B13">
              <w:tc>
                <w:tcPr>
                  <w:tcW w:w="4650" w:type="dxa"/>
                </w:tcPr>
                <w:p w14:paraId="135E6DA1" w14:textId="148E2E3E" w:rsidR="00156FD7" w:rsidRPr="00242B25" w:rsidRDefault="00156FD7" w:rsidP="00FB6BC6">
                  <w:pPr>
                    <w:rPr>
                      <w:rFonts w:cstheme="minorHAnsi"/>
                      <w:color w:val="000000"/>
                      <w:lang w:val="en-US"/>
                    </w:rPr>
                  </w:pPr>
                  <w:bookmarkStart w:id="26" w:name="_Toc511409146"/>
                  <w:r w:rsidRPr="00242B25">
                    <w:rPr>
                      <w:color w:val="44546A" w:themeColor="text2"/>
                      <w:lang w:val="en-US"/>
                    </w:rPr>
                    <w:lastRenderedPageBreak/>
                    <w:t xml:space="preserve">Figure </w:t>
                  </w:r>
                  <w:r w:rsidR="00FB6BC6" w:rsidRPr="00242B25">
                    <w:rPr>
                      <w:color w:val="44546A" w:themeColor="text2"/>
                      <w:lang w:val="en-US"/>
                    </w:rPr>
                    <w:fldChar w:fldCharType="begin"/>
                  </w:r>
                  <w:r w:rsidR="00FB6BC6" w:rsidRPr="00242B25">
                    <w:rPr>
                      <w:color w:val="44546A" w:themeColor="text2"/>
                      <w:lang w:val="en-US"/>
                    </w:rPr>
                    <w:instrText xml:space="preserve"> SEQ Figure \* ARABIC </w:instrText>
                  </w:r>
                  <w:r w:rsidR="00FB6BC6" w:rsidRPr="00242B25">
                    <w:rPr>
                      <w:color w:val="44546A" w:themeColor="text2"/>
                      <w:lang w:val="en-US"/>
                    </w:rPr>
                    <w:fldChar w:fldCharType="separate"/>
                  </w:r>
                  <w:r w:rsidR="004E4D7F">
                    <w:rPr>
                      <w:noProof/>
                      <w:color w:val="44546A" w:themeColor="text2"/>
                      <w:lang w:val="en-US"/>
                    </w:rPr>
                    <w:t>8</w:t>
                  </w:r>
                  <w:r w:rsidR="00FB6BC6" w:rsidRPr="00242B25">
                    <w:rPr>
                      <w:color w:val="44546A" w:themeColor="text2"/>
                      <w:lang w:val="en-US"/>
                    </w:rPr>
                    <w:fldChar w:fldCharType="end"/>
                  </w:r>
                  <w:r w:rsidR="00AD3878" w:rsidRPr="00242B25">
                    <w:rPr>
                      <w:color w:val="44546A" w:themeColor="text2"/>
                      <w:lang w:val="en-US"/>
                    </w:rPr>
                    <w:t>.</w:t>
                  </w:r>
                  <w:r w:rsidRPr="00242B25">
                    <w:rPr>
                      <w:color w:val="44546A" w:themeColor="text2"/>
                      <w:lang w:val="en-US"/>
                    </w:rPr>
                    <w:t xml:space="preserve"> </w:t>
                  </w:r>
                  <w:r w:rsidR="00F45D5E" w:rsidRPr="00242B25">
                    <w:rPr>
                      <w:rFonts w:cstheme="minorHAnsi"/>
                      <w:color w:val="44546A" w:themeColor="text2"/>
                      <w:lang w:val="en-US"/>
                    </w:rPr>
                    <w:t>Number</w:t>
                  </w:r>
                  <w:r w:rsidRPr="00242B25">
                    <w:rPr>
                      <w:rFonts w:cstheme="minorHAnsi"/>
                      <w:color w:val="44546A" w:themeColor="text2"/>
                      <w:lang w:val="en-US"/>
                    </w:rPr>
                    <w:t xml:space="preserve"> of Romanian physicians working in EU countries vs Non-EU countries</w:t>
                  </w:r>
                  <w:bookmarkEnd w:id="26"/>
                </w:p>
              </w:tc>
              <w:tc>
                <w:tcPr>
                  <w:tcW w:w="4859" w:type="dxa"/>
                </w:tcPr>
                <w:p w14:paraId="28A067CC" w14:textId="2128CDF4" w:rsidR="00156FD7" w:rsidRPr="00242B25" w:rsidRDefault="00FB6BC6" w:rsidP="00FB6BC6">
                  <w:pPr>
                    <w:jc w:val="center"/>
                    <w:rPr>
                      <w:color w:val="44546A" w:themeColor="text2"/>
                      <w:lang w:val="en-US"/>
                    </w:rPr>
                  </w:pPr>
                  <w:bookmarkStart w:id="27" w:name="_Toc511409147"/>
                  <w:r>
                    <w:rPr>
                      <w:lang w:val="en-US"/>
                    </w:rPr>
                    <w:t xml:space="preserve">      </w:t>
                  </w:r>
                  <w:r w:rsidR="00311FD2" w:rsidRPr="00242B25">
                    <w:rPr>
                      <w:rFonts w:cstheme="minorHAnsi"/>
                      <w:color w:val="44546A" w:themeColor="text2"/>
                      <w:lang w:val="en-US"/>
                    </w:rPr>
                    <w:t xml:space="preserve">Figure </w:t>
                  </w:r>
                  <w:r w:rsidRPr="00242B25">
                    <w:rPr>
                      <w:rFonts w:cstheme="minorHAnsi"/>
                      <w:color w:val="44546A" w:themeColor="text2"/>
                      <w:lang w:val="en-US"/>
                    </w:rPr>
                    <w:t>B1.4</w:t>
                  </w:r>
                  <w:r w:rsidR="00AD3878" w:rsidRPr="00242B25">
                    <w:rPr>
                      <w:rFonts w:cstheme="minorHAnsi"/>
                      <w:color w:val="44546A" w:themeColor="text2"/>
                      <w:lang w:val="en-US"/>
                    </w:rPr>
                    <w:t>.</w:t>
                  </w:r>
                  <w:r w:rsidR="00311FD2" w:rsidRPr="00242B25">
                    <w:rPr>
                      <w:rFonts w:cstheme="minorHAnsi"/>
                      <w:color w:val="44546A" w:themeColor="text2"/>
                      <w:lang w:val="en-US"/>
                    </w:rPr>
                    <w:t xml:space="preserve"> </w:t>
                  </w:r>
                  <w:r w:rsidR="00156FD7" w:rsidRPr="00242B25">
                    <w:rPr>
                      <w:rFonts w:cstheme="minorHAnsi"/>
                      <w:color w:val="44546A" w:themeColor="text2"/>
                      <w:lang w:val="en-US"/>
                    </w:rPr>
                    <w:t>Percentage of Romanian physicians working in EU countries vs Non-EU countries</w:t>
                  </w:r>
                  <w:bookmarkEnd w:id="27"/>
                </w:p>
              </w:tc>
            </w:tr>
            <w:tr w:rsidR="00156FD7" w:rsidRPr="00A47A2E" w14:paraId="502A98E4" w14:textId="77777777" w:rsidTr="006F0B13">
              <w:trPr>
                <w:trHeight w:val="3494"/>
              </w:trPr>
              <w:tc>
                <w:tcPr>
                  <w:tcW w:w="4650" w:type="dxa"/>
                </w:tcPr>
                <w:p w14:paraId="128AEB5B" w14:textId="77777777" w:rsidR="00156FD7" w:rsidRPr="00A47A2E" w:rsidRDefault="00156FD7" w:rsidP="009A6D79">
                  <w:pPr>
                    <w:keepNext/>
                    <w:jc w:val="center"/>
                    <w:rPr>
                      <w:lang w:val="en-US"/>
                    </w:rPr>
                  </w:pPr>
                  <w:r w:rsidRPr="00A47A2E">
                    <w:rPr>
                      <w:noProof/>
                      <w:lang w:eastAsia="it-IT"/>
                    </w:rPr>
                    <w:drawing>
                      <wp:inline distT="0" distB="0" distL="0" distR="0" wp14:anchorId="467280BA" wp14:editId="6A7D5E9E">
                        <wp:extent cx="2828925" cy="2226366"/>
                        <wp:effectExtent l="0" t="0" r="9525" b="2540"/>
                        <wp:docPr id="5" name="Chart 5">
                          <a:extLst xmlns:a="http://schemas.openxmlformats.org/drawingml/2006/main">
                            <a:ext uri="{FF2B5EF4-FFF2-40B4-BE49-F238E27FC236}">
                              <a16:creationId xmlns:a16="http://schemas.microsoft.com/office/drawing/2014/main" id="{AA238BE3-A99C-4C9E-BCBD-8C26C3A097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859" w:type="dxa"/>
                </w:tcPr>
                <w:p w14:paraId="7673B66E" w14:textId="77777777" w:rsidR="00156FD7" w:rsidRPr="00A47A2E" w:rsidRDefault="00156FD7" w:rsidP="00311FD2">
                  <w:pPr>
                    <w:keepNext/>
                    <w:jc w:val="center"/>
                    <w:rPr>
                      <w:lang w:val="en-US"/>
                    </w:rPr>
                  </w:pPr>
                  <w:r w:rsidRPr="00A47A2E">
                    <w:rPr>
                      <w:noProof/>
                      <w:lang w:eastAsia="it-IT"/>
                    </w:rPr>
                    <w:drawing>
                      <wp:inline distT="0" distB="0" distL="0" distR="0" wp14:anchorId="5EC9AB89" wp14:editId="597035DD">
                        <wp:extent cx="2971800" cy="2226310"/>
                        <wp:effectExtent l="0" t="0" r="0" b="2540"/>
                        <wp:docPr id="3" name="Chart 3">
                          <a:extLst xmlns:a="http://schemas.openxmlformats.org/drawingml/2006/main">
                            <a:ext uri="{FF2B5EF4-FFF2-40B4-BE49-F238E27FC236}">
                              <a16:creationId xmlns:a16="http://schemas.microsoft.com/office/drawing/2014/main" id="{E79B58F0-A2BB-4499-B4FD-9D6FCF1E0E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56FD7" w:rsidRPr="00396352" w14:paraId="3FC75173" w14:textId="77777777" w:rsidTr="006F0B13">
              <w:tc>
                <w:tcPr>
                  <w:tcW w:w="9509" w:type="dxa"/>
                  <w:gridSpan w:val="2"/>
                </w:tcPr>
                <w:p w14:paraId="0D383148" w14:textId="2B76B67C" w:rsidR="00156FD7" w:rsidRPr="00396352" w:rsidRDefault="00156FD7" w:rsidP="00CE308A">
                  <w:pPr>
                    <w:jc w:val="both"/>
                    <w:rPr>
                      <w:rFonts w:cstheme="minorHAnsi"/>
                      <w:color w:val="000000"/>
                      <w:lang w:val="en-US"/>
                    </w:rPr>
                  </w:pPr>
                  <w:r w:rsidRPr="00396352">
                    <w:rPr>
                      <w:rFonts w:cstheme="minorHAnsi"/>
                      <w:color w:val="000000"/>
                      <w:lang w:val="en-US"/>
                    </w:rPr>
                    <w:t xml:space="preserve">Source: </w:t>
                  </w:r>
                  <w:r w:rsidRPr="00396352">
                    <w:rPr>
                      <w:rFonts w:cstheme="minorHAnsi"/>
                      <w:lang w:val="en-US"/>
                    </w:rPr>
                    <w:t>OECD, Eurostat, WHO</w:t>
                  </w:r>
                  <w:r w:rsidR="007C4DEC" w:rsidRPr="00396352">
                    <w:rPr>
                      <w:rFonts w:cstheme="minorHAnsi"/>
                      <w:lang w:val="en-US"/>
                    </w:rPr>
                    <w:t>.</w:t>
                  </w:r>
                  <w:r w:rsidRPr="00396352">
                    <w:rPr>
                      <w:rFonts w:cstheme="minorHAnsi"/>
                      <w:lang w:val="en-US"/>
                    </w:rPr>
                    <w:t xml:space="preserve"> </w:t>
                  </w:r>
                </w:p>
              </w:tc>
            </w:tr>
          </w:tbl>
          <w:p w14:paraId="5C8C8EC1" w14:textId="77777777" w:rsidR="001D1523" w:rsidRPr="00396352" w:rsidRDefault="001D1523" w:rsidP="00CE308A">
            <w:pPr>
              <w:jc w:val="both"/>
              <w:rPr>
                <w:rFonts w:cstheme="minorHAnsi"/>
                <w:b/>
                <w:color w:val="000000"/>
                <w:lang w:val="en-US"/>
              </w:rPr>
            </w:pPr>
          </w:p>
          <w:p w14:paraId="174D641F" w14:textId="45BFC903" w:rsidR="00161B24" w:rsidRPr="00A47A2E" w:rsidRDefault="007C4DEC" w:rsidP="00CE308A">
            <w:pPr>
              <w:jc w:val="both"/>
              <w:rPr>
                <w:rFonts w:cstheme="minorHAnsi"/>
                <w:color w:val="000000"/>
                <w:lang w:val="en-US"/>
              </w:rPr>
            </w:pPr>
            <w:r>
              <w:rPr>
                <w:rFonts w:cstheme="minorHAnsi"/>
                <w:b/>
                <w:color w:val="000000"/>
                <w:lang w:val="en-US"/>
              </w:rPr>
              <w:t>More than</w:t>
            </w:r>
            <w:r w:rsidRPr="00A47A2E">
              <w:rPr>
                <w:rFonts w:cstheme="minorHAnsi"/>
                <w:b/>
                <w:color w:val="000000"/>
                <w:lang w:val="en-US"/>
              </w:rPr>
              <w:t xml:space="preserve"> </w:t>
            </w:r>
            <w:r w:rsidR="002157CE" w:rsidRPr="00A47A2E">
              <w:rPr>
                <w:rFonts w:cstheme="minorHAnsi"/>
                <w:b/>
                <w:color w:val="000000"/>
                <w:lang w:val="en-US"/>
              </w:rPr>
              <w:t>50 percent of Romanian physicians working abroad are younger than 40</w:t>
            </w:r>
            <w:r>
              <w:rPr>
                <w:rFonts w:cstheme="minorHAnsi"/>
                <w:b/>
                <w:color w:val="000000"/>
                <w:lang w:val="en-US"/>
              </w:rPr>
              <w:t xml:space="preserve"> years old,</w:t>
            </w:r>
            <w:r w:rsidR="002157CE" w:rsidRPr="00A47A2E">
              <w:rPr>
                <w:rFonts w:cstheme="minorHAnsi"/>
                <w:b/>
                <w:color w:val="000000"/>
                <w:lang w:val="en-US"/>
              </w:rPr>
              <w:t xml:space="preserve"> and a majority of applications submitted to the</w:t>
            </w:r>
            <w:r w:rsidR="00161B24" w:rsidRPr="00A47A2E">
              <w:rPr>
                <w:rFonts w:cstheme="minorHAnsi"/>
                <w:b/>
                <w:color w:val="000000"/>
                <w:lang w:val="en-US"/>
              </w:rPr>
              <w:t xml:space="preserve"> Romanian Medical Association</w:t>
            </w:r>
            <w:r w:rsidR="002157CE" w:rsidRPr="00A47A2E">
              <w:rPr>
                <w:rFonts w:cstheme="minorHAnsi"/>
                <w:b/>
                <w:color w:val="000000"/>
                <w:lang w:val="en-US"/>
              </w:rPr>
              <w:t xml:space="preserve"> are from</w:t>
            </w:r>
            <w:r w:rsidR="00161B24" w:rsidRPr="00A47A2E">
              <w:rPr>
                <w:rFonts w:cstheme="minorHAnsi"/>
                <w:b/>
                <w:color w:val="000000"/>
                <w:lang w:val="en-US"/>
              </w:rPr>
              <w:t xml:space="preserve"> resident physicians. </w:t>
            </w:r>
            <w:r>
              <w:rPr>
                <w:rFonts w:cstheme="minorHAnsi"/>
                <w:color w:val="000000"/>
                <w:lang w:val="en-US"/>
              </w:rPr>
              <w:t>Because of</w:t>
            </w:r>
            <w:r w:rsidRPr="00A47A2E">
              <w:rPr>
                <w:rFonts w:cstheme="minorHAnsi"/>
                <w:color w:val="000000"/>
                <w:lang w:val="en-US"/>
              </w:rPr>
              <w:t xml:space="preserve"> </w:t>
            </w:r>
            <w:r w:rsidR="001D1523" w:rsidRPr="00A47A2E">
              <w:rPr>
                <w:rFonts w:cstheme="minorHAnsi"/>
                <w:color w:val="000000"/>
                <w:lang w:val="en-US"/>
              </w:rPr>
              <w:t xml:space="preserve">low wages, </w:t>
            </w:r>
            <w:r w:rsidR="00682E51" w:rsidRPr="00A47A2E">
              <w:rPr>
                <w:rFonts w:cstheme="minorHAnsi"/>
                <w:color w:val="000000"/>
                <w:lang w:val="en-US"/>
              </w:rPr>
              <w:t>especially</w:t>
            </w:r>
            <w:r w:rsidR="001D1523" w:rsidRPr="00A47A2E">
              <w:rPr>
                <w:rFonts w:cstheme="minorHAnsi"/>
                <w:color w:val="000000"/>
                <w:lang w:val="en-US"/>
              </w:rPr>
              <w:t xml:space="preserve"> for resident physicians, </w:t>
            </w:r>
            <w:r w:rsidR="00682E51" w:rsidRPr="00A47A2E">
              <w:rPr>
                <w:rFonts w:cstheme="minorHAnsi"/>
                <w:color w:val="000000"/>
                <w:lang w:val="en-US"/>
              </w:rPr>
              <w:t>working conditions</w:t>
            </w:r>
            <w:r w:rsidR="001B0E9E">
              <w:rPr>
                <w:rFonts w:cstheme="minorHAnsi"/>
                <w:color w:val="000000"/>
                <w:lang w:val="en-US"/>
              </w:rPr>
              <w:t>,</w:t>
            </w:r>
            <w:r w:rsidR="00682E51" w:rsidRPr="00A47A2E">
              <w:rPr>
                <w:rFonts w:cstheme="minorHAnsi"/>
                <w:color w:val="000000"/>
                <w:lang w:val="en-US"/>
              </w:rPr>
              <w:t xml:space="preserve"> and </w:t>
            </w:r>
            <w:r w:rsidR="001B0E9E">
              <w:rPr>
                <w:rFonts w:cstheme="minorHAnsi"/>
                <w:color w:val="000000"/>
                <w:lang w:val="en-US"/>
              </w:rPr>
              <w:t xml:space="preserve">the </w:t>
            </w:r>
            <w:r w:rsidR="00682E51" w:rsidRPr="00A47A2E">
              <w:rPr>
                <w:rFonts w:cstheme="minorHAnsi"/>
                <w:color w:val="000000"/>
                <w:lang w:val="en-US"/>
              </w:rPr>
              <w:t>availability of equipment and supplies in the medical system</w:t>
            </w:r>
            <w:r w:rsidR="001B0E9E">
              <w:rPr>
                <w:rFonts w:cstheme="minorHAnsi"/>
                <w:color w:val="000000"/>
                <w:lang w:val="en-US"/>
              </w:rPr>
              <w:t>—</w:t>
            </w:r>
            <w:r w:rsidR="00682E51" w:rsidRPr="00A47A2E">
              <w:rPr>
                <w:rFonts w:cstheme="minorHAnsi"/>
                <w:color w:val="000000"/>
                <w:lang w:val="en-US"/>
              </w:rPr>
              <w:t>to name some of the main restrictions</w:t>
            </w:r>
            <w:r w:rsidR="001B0E9E">
              <w:rPr>
                <w:rFonts w:cstheme="minorHAnsi"/>
                <w:color w:val="000000"/>
                <w:lang w:val="en-US"/>
              </w:rPr>
              <w:t>—</w:t>
            </w:r>
            <w:r w:rsidR="00682E51" w:rsidRPr="00A47A2E">
              <w:rPr>
                <w:rFonts w:cstheme="minorHAnsi"/>
                <w:color w:val="000000"/>
                <w:lang w:val="en-US"/>
              </w:rPr>
              <w:t xml:space="preserve">Romanian physicians are reorienting to work abroad. At the same time, a growing number of young physicians are choosing to finish their residency abroad. </w:t>
            </w:r>
            <w:r w:rsidR="009829FF" w:rsidRPr="00A47A2E">
              <w:rPr>
                <w:rFonts w:cstheme="minorHAnsi"/>
                <w:color w:val="000000"/>
                <w:lang w:val="en-US"/>
              </w:rPr>
              <w:t>This</w:t>
            </w:r>
            <w:r w:rsidR="009A64D9" w:rsidRPr="00A47A2E">
              <w:rPr>
                <w:rFonts w:cstheme="minorHAnsi"/>
                <w:color w:val="000000"/>
                <w:lang w:val="en-US"/>
              </w:rPr>
              <w:t xml:space="preserve"> </w:t>
            </w:r>
            <w:r w:rsidR="001B0E9E">
              <w:rPr>
                <w:rFonts w:cstheme="minorHAnsi"/>
                <w:color w:val="000000"/>
                <w:lang w:val="en-US"/>
              </w:rPr>
              <w:t>is</w:t>
            </w:r>
            <w:r w:rsidR="001B0E9E" w:rsidRPr="00A47A2E">
              <w:rPr>
                <w:rFonts w:cstheme="minorHAnsi"/>
                <w:color w:val="000000"/>
                <w:lang w:val="en-US"/>
              </w:rPr>
              <w:t xml:space="preserve"> reflect</w:t>
            </w:r>
            <w:r w:rsidR="001B0E9E">
              <w:rPr>
                <w:rFonts w:cstheme="minorHAnsi"/>
                <w:color w:val="000000"/>
                <w:lang w:val="en-US"/>
              </w:rPr>
              <w:t>ed in</w:t>
            </w:r>
            <w:r w:rsidR="001B0E9E" w:rsidRPr="00A47A2E">
              <w:rPr>
                <w:rFonts w:cstheme="minorHAnsi"/>
                <w:color w:val="000000"/>
                <w:lang w:val="en-US"/>
              </w:rPr>
              <w:t xml:space="preserve"> </w:t>
            </w:r>
            <w:r w:rsidR="009829FF" w:rsidRPr="00A47A2E">
              <w:rPr>
                <w:rFonts w:cstheme="minorHAnsi"/>
                <w:color w:val="000000"/>
                <w:lang w:val="en-US"/>
              </w:rPr>
              <w:t xml:space="preserve">the increased shortage of physicians in Romanian hospitals.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595"/>
            </w:tblGrid>
            <w:tr w:rsidR="00161B24" w:rsidRPr="00242B25" w14:paraId="5C20CD77" w14:textId="77777777" w:rsidTr="00250638">
              <w:tc>
                <w:tcPr>
                  <w:tcW w:w="5076" w:type="dxa"/>
                </w:tcPr>
                <w:p w14:paraId="0F06C338" w14:textId="698F5E24" w:rsidR="00161B24" w:rsidRPr="00242B25" w:rsidRDefault="00161B24" w:rsidP="00FB6BC6">
                  <w:pPr>
                    <w:jc w:val="both"/>
                    <w:rPr>
                      <w:rFonts w:cstheme="minorHAnsi"/>
                      <w:color w:val="000000"/>
                      <w:lang w:val="en-US"/>
                    </w:rPr>
                  </w:pPr>
                  <w:bookmarkStart w:id="28" w:name="_Toc511409148"/>
                  <w:r w:rsidRPr="00242B25">
                    <w:rPr>
                      <w:color w:val="44546A" w:themeColor="text2"/>
                      <w:lang w:val="en-US"/>
                    </w:rPr>
                    <w:t xml:space="preserve">Figure </w:t>
                  </w:r>
                  <w:r w:rsidR="00FB6BC6">
                    <w:rPr>
                      <w:color w:val="44546A" w:themeColor="text2"/>
                      <w:lang w:val="en-US"/>
                    </w:rPr>
                    <w:t>B1.5</w:t>
                  </w:r>
                  <w:r w:rsidR="00AD3878" w:rsidRPr="00242B25">
                    <w:rPr>
                      <w:color w:val="44546A" w:themeColor="text2"/>
                      <w:lang w:val="en-US"/>
                    </w:rPr>
                    <w:t>.</w:t>
                  </w:r>
                  <w:r w:rsidRPr="00242B25">
                    <w:rPr>
                      <w:color w:val="44546A" w:themeColor="text2"/>
                      <w:lang w:val="en-US"/>
                    </w:rPr>
                    <w:t xml:space="preserve"> </w:t>
                  </w:r>
                  <w:r w:rsidRPr="00242B25">
                    <w:rPr>
                      <w:rFonts w:cstheme="minorHAnsi"/>
                      <w:color w:val="44546A" w:themeColor="text2"/>
                      <w:lang w:val="en-US"/>
                    </w:rPr>
                    <w:t>Age structure of Romanian physicians working abroad</w:t>
                  </w:r>
                  <w:bookmarkEnd w:id="28"/>
                </w:p>
              </w:tc>
              <w:tc>
                <w:tcPr>
                  <w:tcW w:w="4423" w:type="dxa"/>
                </w:tcPr>
                <w:p w14:paraId="117BF98A" w14:textId="3C1B740E" w:rsidR="00161B24" w:rsidRPr="00242B25" w:rsidRDefault="00161B24" w:rsidP="00FB6BC6">
                  <w:pPr>
                    <w:jc w:val="both"/>
                    <w:rPr>
                      <w:rFonts w:cstheme="minorHAnsi"/>
                      <w:color w:val="000000"/>
                      <w:lang w:val="en-US"/>
                    </w:rPr>
                  </w:pPr>
                  <w:bookmarkStart w:id="29" w:name="_Toc511409149"/>
                  <w:r w:rsidRPr="00242B25">
                    <w:rPr>
                      <w:color w:val="44546A" w:themeColor="text2"/>
                      <w:lang w:val="en-US"/>
                    </w:rPr>
                    <w:t xml:space="preserve">Figure </w:t>
                  </w:r>
                  <w:r w:rsidR="00FB6BC6">
                    <w:rPr>
                      <w:color w:val="44546A" w:themeColor="text2"/>
                      <w:lang w:val="en-US"/>
                    </w:rPr>
                    <w:t>B1.6</w:t>
                  </w:r>
                  <w:r w:rsidR="00AD3878" w:rsidRPr="00242B25">
                    <w:rPr>
                      <w:color w:val="44546A" w:themeColor="text2"/>
                      <w:lang w:val="en-US"/>
                    </w:rPr>
                    <w:t>.</w:t>
                  </w:r>
                  <w:r w:rsidRPr="00242B25">
                    <w:rPr>
                      <w:color w:val="44546A" w:themeColor="text2"/>
                      <w:lang w:val="en-US"/>
                    </w:rPr>
                    <w:t xml:space="preserve"> </w:t>
                  </w:r>
                  <w:r w:rsidR="001D1523" w:rsidRPr="00242B25">
                    <w:rPr>
                      <w:rFonts w:cstheme="minorHAnsi"/>
                      <w:color w:val="44546A" w:themeColor="text2"/>
                      <w:lang w:val="en-US"/>
                    </w:rPr>
                    <w:t>Application</w:t>
                  </w:r>
                  <w:r w:rsidR="000C0DBC" w:rsidRPr="00242B25">
                    <w:rPr>
                      <w:rFonts w:cstheme="minorHAnsi"/>
                      <w:color w:val="44546A" w:themeColor="text2"/>
                      <w:lang w:val="en-US"/>
                    </w:rPr>
                    <w:t>s</w:t>
                  </w:r>
                  <w:r w:rsidR="001D1523" w:rsidRPr="00242B25">
                    <w:rPr>
                      <w:rFonts w:cstheme="minorHAnsi"/>
                      <w:color w:val="44546A" w:themeColor="text2"/>
                      <w:lang w:val="en-US"/>
                    </w:rPr>
                    <w:t xml:space="preserve"> submitted to Cluj</w:t>
                  </w:r>
                  <w:r w:rsidRPr="00242B25">
                    <w:rPr>
                      <w:rFonts w:cstheme="minorHAnsi"/>
                      <w:color w:val="44546A" w:themeColor="text2"/>
                      <w:lang w:val="en-US"/>
                    </w:rPr>
                    <w:t xml:space="preserve"> Medical Association</w:t>
                  </w:r>
                  <w:r w:rsidR="001D1523" w:rsidRPr="00242B25">
                    <w:rPr>
                      <w:rFonts w:cstheme="minorHAnsi"/>
                      <w:color w:val="44546A" w:themeColor="text2"/>
                      <w:lang w:val="en-US"/>
                    </w:rPr>
                    <w:t xml:space="preserve"> by physicians wanting to work abro</w:t>
                  </w:r>
                  <w:r w:rsidR="000C0DBC" w:rsidRPr="00242B25">
                    <w:rPr>
                      <w:rFonts w:cstheme="minorHAnsi"/>
                      <w:color w:val="44546A" w:themeColor="text2"/>
                      <w:lang w:val="en-US"/>
                    </w:rPr>
                    <w:t>a</w:t>
                  </w:r>
                  <w:r w:rsidR="001D1523" w:rsidRPr="00242B25">
                    <w:rPr>
                      <w:rFonts w:cstheme="minorHAnsi"/>
                      <w:color w:val="44546A" w:themeColor="text2"/>
                      <w:lang w:val="en-US"/>
                    </w:rPr>
                    <w:t>d</w:t>
                  </w:r>
                  <w:bookmarkEnd w:id="29"/>
                </w:p>
              </w:tc>
            </w:tr>
            <w:tr w:rsidR="00161B24" w:rsidRPr="00A47A2E" w14:paraId="6AB113FB" w14:textId="77777777" w:rsidTr="00250638">
              <w:tc>
                <w:tcPr>
                  <w:tcW w:w="5076" w:type="dxa"/>
                </w:tcPr>
                <w:p w14:paraId="7177401E" w14:textId="77777777" w:rsidR="00161B24" w:rsidRPr="00A47A2E" w:rsidRDefault="00161B24" w:rsidP="00161B24">
                  <w:pPr>
                    <w:keepNext/>
                    <w:jc w:val="both"/>
                    <w:rPr>
                      <w:lang w:val="en-US"/>
                    </w:rPr>
                  </w:pPr>
                  <w:r w:rsidRPr="00A47A2E">
                    <w:rPr>
                      <w:noProof/>
                      <w:lang w:eastAsia="it-IT"/>
                    </w:rPr>
                    <w:drawing>
                      <wp:inline distT="0" distB="0" distL="0" distR="0" wp14:anchorId="5300C726" wp14:editId="239B2233">
                        <wp:extent cx="3086100" cy="2257425"/>
                        <wp:effectExtent l="0" t="0" r="0" b="9525"/>
                        <wp:docPr id="6" name="Chart 6">
                          <a:extLst xmlns:a="http://schemas.openxmlformats.org/drawingml/2006/main">
                            <a:ext uri="{FF2B5EF4-FFF2-40B4-BE49-F238E27FC236}">
                              <a16:creationId xmlns:a16="http://schemas.microsoft.com/office/drawing/2014/main" id="{9FDB449E-7ED5-43FF-92F3-D62C2DC8D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423" w:type="dxa"/>
                </w:tcPr>
                <w:p w14:paraId="06E3C2B3" w14:textId="77777777" w:rsidR="00161B24" w:rsidRPr="00A47A2E" w:rsidRDefault="00161B24" w:rsidP="00250638">
                  <w:pPr>
                    <w:keepNext/>
                    <w:rPr>
                      <w:lang w:val="en-US"/>
                    </w:rPr>
                  </w:pPr>
                  <w:r w:rsidRPr="00A47A2E">
                    <w:rPr>
                      <w:noProof/>
                      <w:lang w:eastAsia="it-IT"/>
                    </w:rPr>
                    <w:drawing>
                      <wp:inline distT="0" distB="0" distL="0" distR="0" wp14:anchorId="69AC425E" wp14:editId="07B5ACB4">
                        <wp:extent cx="2867025" cy="2257425"/>
                        <wp:effectExtent l="0" t="0" r="9525" b="9525"/>
                        <wp:docPr id="8" name="Chart 8">
                          <a:extLst xmlns:a="http://schemas.openxmlformats.org/drawingml/2006/main">
                            <a:ext uri="{FF2B5EF4-FFF2-40B4-BE49-F238E27FC236}">
                              <a16:creationId xmlns:a16="http://schemas.microsoft.com/office/drawing/2014/main" id="{00DF3D2E-2837-4E10-AFBE-CE0B1BC2B4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161B24" w:rsidRPr="00A47A2E" w14:paraId="03DB7AD8" w14:textId="77777777" w:rsidTr="00250638">
              <w:tc>
                <w:tcPr>
                  <w:tcW w:w="5076" w:type="dxa"/>
                </w:tcPr>
                <w:p w14:paraId="265884EA" w14:textId="2BFAD9E9" w:rsidR="00161B24" w:rsidRPr="00396352" w:rsidRDefault="00161B24" w:rsidP="00CE308A">
                  <w:pPr>
                    <w:jc w:val="both"/>
                    <w:rPr>
                      <w:rFonts w:cstheme="minorHAnsi"/>
                      <w:color w:val="000000"/>
                      <w:lang w:val="en-US"/>
                    </w:rPr>
                  </w:pPr>
                  <w:r w:rsidRPr="00396352">
                    <w:rPr>
                      <w:rFonts w:cstheme="minorHAnsi"/>
                      <w:color w:val="000000"/>
                      <w:lang w:val="en-US"/>
                    </w:rPr>
                    <w:t>Source: National Institute of Statistics</w:t>
                  </w:r>
                </w:p>
              </w:tc>
              <w:tc>
                <w:tcPr>
                  <w:tcW w:w="4423" w:type="dxa"/>
                </w:tcPr>
                <w:p w14:paraId="2CEFBABC" w14:textId="17596670" w:rsidR="00161B24" w:rsidRPr="00396352" w:rsidRDefault="00161B24" w:rsidP="00CE308A">
                  <w:pPr>
                    <w:jc w:val="both"/>
                    <w:rPr>
                      <w:rFonts w:cstheme="minorHAnsi"/>
                      <w:color w:val="000000"/>
                      <w:lang w:val="en-US"/>
                    </w:rPr>
                  </w:pPr>
                  <w:r w:rsidRPr="00396352">
                    <w:rPr>
                      <w:rFonts w:cstheme="minorHAnsi"/>
                      <w:color w:val="000000"/>
                      <w:lang w:val="en-US"/>
                    </w:rPr>
                    <w:t>Source: Cluj Medical Association</w:t>
                  </w:r>
                </w:p>
              </w:tc>
            </w:tr>
          </w:tbl>
          <w:p w14:paraId="16045AF5" w14:textId="77777777" w:rsidR="00D42EDC" w:rsidRPr="00A47A2E" w:rsidRDefault="00D42EDC" w:rsidP="00250638">
            <w:pPr>
              <w:jc w:val="both"/>
              <w:rPr>
                <w:rFonts w:cstheme="minorHAnsi"/>
                <w:b/>
                <w:color w:val="000000"/>
                <w:sz w:val="20"/>
                <w:szCs w:val="20"/>
                <w:lang w:val="en-US"/>
              </w:rPr>
            </w:pPr>
          </w:p>
        </w:tc>
      </w:tr>
      <w:bookmarkEnd w:id="23"/>
    </w:tbl>
    <w:p w14:paraId="779D0D00" w14:textId="77777777" w:rsidR="008754E7" w:rsidRPr="00A47A2E" w:rsidRDefault="008754E7" w:rsidP="008754E7">
      <w:pPr>
        <w:pStyle w:val="ListParagraph"/>
        <w:ind w:left="0"/>
        <w:jc w:val="both"/>
        <w:rPr>
          <w:rFonts w:cstheme="minorHAnsi"/>
          <w:b/>
          <w:lang w:val="en-US"/>
        </w:rPr>
      </w:pPr>
    </w:p>
    <w:p w14:paraId="5F08A6FE" w14:textId="2EDDCE12" w:rsidR="00AD3878" w:rsidRPr="00774638" w:rsidRDefault="00AD3878" w:rsidP="00D159E9">
      <w:pPr>
        <w:pStyle w:val="ListParagraph"/>
        <w:numPr>
          <w:ilvl w:val="2"/>
          <w:numId w:val="15"/>
        </w:numPr>
        <w:spacing w:after="240" w:line="240" w:lineRule="auto"/>
        <w:contextualSpacing w:val="0"/>
        <w:jc w:val="both"/>
        <w:rPr>
          <w:rFonts w:cstheme="minorHAnsi"/>
          <w:b/>
          <w:lang w:val="en-US"/>
        </w:rPr>
      </w:pPr>
      <w:r w:rsidRPr="00A47A2E">
        <w:rPr>
          <w:b/>
          <w:lang w:val="en-US"/>
        </w:rPr>
        <w:t xml:space="preserve">Supply shortage is highest for </w:t>
      </w:r>
      <w:r w:rsidR="003710FF">
        <w:rPr>
          <w:b/>
          <w:lang w:val="en-US"/>
        </w:rPr>
        <w:t>high-</w:t>
      </w:r>
      <w:r w:rsidR="001A303F" w:rsidRPr="00A47A2E">
        <w:rPr>
          <w:b/>
          <w:lang w:val="en-US"/>
        </w:rPr>
        <w:t>skilled workers</w:t>
      </w:r>
      <w:r w:rsidR="007F1C8C" w:rsidRPr="00A47A2E">
        <w:rPr>
          <w:b/>
          <w:lang w:val="en-US"/>
        </w:rPr>
        <w:t xml:space="preserve"> and skilled manual workers</w:t>
      </w:r>
      <w:r w:rsidR="001A303F" w:rsidRPr="00A47A2E">
        <w:rPr>
          <w:b/>
          <w:lang w:val="en-US"/>
        </w:rPr>
        <w:t xml:space="preserve">. </w:t>
      </w:r>
      <w:r w:rsidR="00E317EB" w:rsidRPr="00A47A2E">
        <w:rPr>
          <w:lang w:val="en-US"/>
        </w:rPr>
        <w:t>A high share of bottlenecks</w:t>
      </w:r>
      <w:r w:rsidR="00CE1D25" w:rsidRPr="00A47A2E">
        <w:rPr>
          <w:lang w:val="en-US"/>
        </w:rPr>
        <w:t xml:space="preserve"> in Romania</w:t>
      </w:r>
      <w:r w:rsidR="00E317EB" w:rsidRPr="00A47A2E">
        <w:rPr>
          <w:lang w:val="en-US"/>
        </w:rPr>
        <w:t xml:space="preserve"> (European Commission 2014) have been registered for</w:t>
      </w:r>
      <w:r w:rsidR="008D6AD9" w:rsidRPr="00A47A2E">
        <w:rPr>
          <w:lang w:val="en-US"/>
        </w:rPr>
        <w:t xml:space="preserve"> a number of occupational groups</w:t>
      </w:r>
      <w:r w:rsidR="00E317EB" w:rsidRPr="00A47A2E">
        <w:rPr>
          <w:lang w:val="en-US"/>
        </w:rPr>
        <w:t xml:space="preserve">: </w:t>
      </w:r>
      <w:r w:rsidR="001830DA" w:rsidRPr="00A47A2E">
        <w:rPr>
          <w:lang w:val="en-US"/>
        </w:rPr>
        <w:t xml:space="preserve">Software and </w:t>
      </w:r>
      <w:r w:rsidR="001830DA" w:rsidRPr="00D159E9">
        <w:rPr>
          <w:rFonts w:cstheme="minorHAnsi"/>
          <w:color w:val="000000" w:themeColor="text1"/>
          <w:lang w:val="en-US"/>
        </w:rPr>
        <w:t>applications</w:t>
      </w:r>
      <w:r w:rsidR="001830DA" w:rsidRPr="00A47A2E">
        <w:rPr>
          <w:lang w:val="en-US"/>
        </w:rPr>
        <w:t xml:space="preserve"> developers and analysts, </w:t>
      </w:r>
      <w:r w:rsidR="001B0E9E">
        <w:rPr>
          <w:lang w:val="en-US"/>
        </w:rPr>
        <w:t>g</w:t>
      </w:r>
      <w:r w:rsidR="001B0E9E" w:rsidRPr="00A47A2E">
        <w:rPr>
          <w:lang w:val="en-US"/>
        </w:rPr>
        <w:t xml:space="preserve">eneralist </w:t>
      </w:r>
      <w:r w:rsidR="001830DA" w:rsidRPr="00A47A2E">
        <w:rPr>
          <w:lang w:val="en-US"/>
        </w:rPr>
        <w:t xml:space="preserve">and specialist medical practitioners, </w:t>
      </w:r>
      <w:r w:rsidR="001B0E9E">
        <w:rPr>
          <w:lang w:val="en-US"/>
        </w:rPr>
        <w:t>e</w:t>
      </w:r>
      <w:r w:rsidR="001B0E9E" w:rsidRPr="00A47A2E">
        <w:rPr>
          <w:lang w:val="en-US"/>
        </w:rPr>
        <w:t xml:space="preserve">lectrical </w:t>
      </w:r>
      <w:r w:rsidR="000D0FC6" w:rsidRPr="00A47A2E">
        <w:rPr>
          <w:lang w:val="en-US"/>
        </w:rPr>
        <w:t xml:space="preserve">engineers, </w:t>
      </w:r>
      <w:r w:rsidR="001B0E9E">
        <w:rPr>
          <w:lang w:val="en-US"/>
        </w:rPr>
        <w:t>p</w:t>
      </w:r>
      <w:r w:rsidR="001B0E9E" w:rsidRPr="00A47A2E">
        <w:rPr>
          <w:lang w:val="en-US"/>
        </w:rPr>
        <w:t xml:space="preserve">hysical </w:t>
      </w:r>
      <w:r w:rsidR="00E317EB" w:rsidRPr="00A47A2E">
        <w:rPr>
          <w:lang w:val="en-US"/>
        </w:rPr>
        <w:t>and e</w:t>
      </w:r>
      <w:r w:rsidR="000D0FC6" w:rsidRPr="00A47A2E">
        <w:rPr>
          <w:lang w:val="en-US"/>
        </w:rPr>
        <w:t>ngineering science technicians,</w:t>
      </w:r>
      <w:r w:rsidR="001830DA" w:rsidRPr="00A47A2E">
        <w:rPr>
          <w:lang w:val="en-US"/>
        </w:rPr>
        <w:t xml:space="preserve"> </w:t>
      </w:r>
      <w:r w:rsidR="001B0E9E">
        <w:rPr>
          <w:rFonts w:cstheme="minorHAnsi"/>
          <w:lang w:val="en-US"/>
        </w:rPr>
        <w:t>m</w:t>
      </w:r>
      <w:r w:rsidR="001B0E9E" w:rsidRPr="00A47A2E">
        <w:rPr>
          <w:rFonts w:cstheme="minorHAnsi"/>
          <w:lang w:val="en-US"/>
        </w:rPr>
        <w:t xml:space="preserve">achinery </w:t>
      </w:r>
      <w:r w:rsidR="001830DA" w:rsidRPr="00A47A2E">
        <w:rPr>
          <w:rFonts w:cstheme="minorHAnsi"/>
          <w:lang w:val="en-US"/>
        </w:rPr>
        <w:t xml:space="preserve">mechanics and </w:t>
      </w:r>
      <w:r w:rsidR="00E5699D" w:rsidRPr="00A47A2E">
        <w:rPr>
          <w:rFonts w:cstheme="minorHAnsi"/>
          <w:lang w:val="en-US"/>
        </w:rPr>
        <w:t>repairers,</w:t>
      </w:r>
      <w:r w:rsidR="00E5699D" w:rsidRPr="00A47A2E">
        <w:rPr>
          <w:rFonts w:cstheme="minorHAnsi"/>
          <w:b/>
          <w:lang w:val="en-US"/>
        </w:rPr>
        <w:t xml:space="preserve"> </w:t>
      </w:r>
      <w:r w:rsidR="001B0E9E">
        <w:rPr>
          <w:lang w:val="en-US"/>
        </w:rPr>
        <w:t>c</w:t>
      </w:r>
      <w:r w:rsidR="001B0E9E" w:rsidRPr="00A47A2E">
        <w:rPr>
          <w:lang w:val="en-US"/>
        </w:rPr>
        <w:t>ooks</w:t>
      </w:r>
      <w:r w:rsidR="00E317EB" w:rsidRPr="00A47A2E">
        <w:rPr>
          <w:lang w:val="en-US"/>
        </w:rPr>
        <w:t xml:space="preserve">, </w:t>
      </w:r>
      <w:r w:rsidR="001B0E9E">
        <w:rPr>
          <w:lang w:val="en-US"/>
        </w:rPr>
        <w:t>c</w:t>
      </w:r>
      <w:r w:rsidR="001B0E9E" w:rsidRPr="00A47A2E">
        <w:rPr>
          <w:lang w:val="en-US"/>
        </w:rPr>
        <w:t>ar</w:t>
      </w:r>
      <w:r w:rsidR="00E317EB" w:rsidRPr="00A47A2E">
        <w:rPr>
          <w:lang w:val="en-US"/>
        </w:rPr>
        <w:t>, van</w:t>
      </w:r>
      <w:r w:rsidR="001B0E9E">
        <w:rPr>
          <w:lang w:val="en-US"/>
        </w:rPr>
        <w:t>,</w:t>
      </w:r>
      <w:r w:rsidR="00E317EB" w:rsidRPr="00A47A2E">
        <w:rPr>
          <w:lang w:val="en-US"/>
        </w:rPr>
        <w:t xml:space="preserve"> and motorcycle drivers, </w:t>
      </w:r>
      <w:r w:rsidR="001B0E9E">
        <w:rPr>
          <w:lang w:val="en-US"/>
        </w:rPr>
        <w:t>and g</w:t>
      </w:r>
      <w:r w:rsidR="001B0E9E" w:rsidRPr="00A47A2E">
        <w:rPr>
          <w:lang w:val="en-US"/>
        </w:rPr>
        <w:t xml:space="preserve">arment </w:t>
      </w:r>
      <w:r w:rsidR="00E317EB" w:rsidRPr="00A47A2E">
        <w:rPr>
          <w:lang w:val="en-US"/>
        </w:rPr>
        <w:t xml:space="preserve">and related </w:t>
      </w:r>
      <w:r w:rsidR="00966045" w:rsidRPr="00A47A2E">
        <w:rPr>
          <w:lang w:val="en-US"/>
        </w:rPr>
        <w:t>t</w:t>
      </w:r>
      <w:r w:rsidR="00E317EB" w:rsidRPr="00A47A2E">
        <w:rPr>
          <w:lang w:val="en-US"/>
        </w:rPr>
        <w:t xml:space="preserve">rades workers. The </w:t>
      </w:r>
      <w:r w:rsidR="001830DA" w:rsidRPr="00A47A2E">
        <w:rPr>
          <w:lang w:val="en-US"/>
        </w:rPr>
        <w:t xml:space="preserve">background </w:t>
      </w:r>
      <w:r w:rsidR="00E317EB" w:rsidRPr="00A47A2E">
        <w:rPr>
          <w:lang w:val="en-US"/>
        </w:rPr>
        <w:t>caus</w:t>
      </w:r>
      <w:r w:rsidR="001830DA" w:rsidRPr="00A47A2E">
        <w:rPr>
          <w:lang w:val="en-US"/>
        </w:rPr>
        <w:t xml:space="preserve">es </w:t>
      </w:r>
      <w:r w:rsidR="001B0E9E">
        <w:rPr>
          <w:lang w:val="en-US"/>
        </w:rPr>
        <w:t>of</w:t>
      </w:r>
      <w:r w:rsidR="001B0E9E" w:rsidRPr="00A47A2E">
        <w:rPr>
          <w:lang w:val="en-US"/>
        </w:rPr>
        <w:t xml:space="preserve"> </w:t>
      </w:r>
      <w:r w:rsidR="001830DA" w:rsidRPr="00A47A2E">
        <w:rPr>
          <w:lang w:val="en-US"/>
        </w:rPr>
        <w:t xml:space="preserve">the labor </w:t>
      </w:r>
      <w:r w:rsidR="001830DA" w:rsidRPr="00A47A2E">
        <w:rPr>
          <w:lang w:val="en-US"/>
        </w:rPr>
        <w:lastRenderedPageBreak/>
        <w:t xml:space="preserve">shortage </w:t>
      </w:r>
      <w:r w:rsidR="001B0E9E" w:rsidRPr="00A47A2E">
        <w:rPr>
          <w:lang w:val="en-US"/>
        </w:rPr>
        <w:t>var</w:t>
      </w:r>
      <w:r w:rsidR="001B0E9E">
        <w:rPr>
          <w:lang w:val="en-US"/>
        </w:rPr>
        <w:t>y</w:t>
      </w:r>
      <w:r w:rsidR="001B0E9E" w:rsidRPr="00A47A2E">
        <w:rPr>
          <w:lang w:val="en-US"/>
        </w:rPr>
        <w:t xml:space="preserve"> </w:t>
      </w:r>
      <w:r w:rsidR="001830DA" w:rsidRPr="00A47A2E">
        <w:rPr>
          <w:lang w:val="en-US"/>
        </w:rPr>
        <w:t>in importance</w:t>
      </w:r>
      <w:r w:rsidR="001B0E9E">
        <w:rPr>
          <w:lang w:val="en-US"/>
        </w:rPr>
        <w:t>,</w:t>
      </w:r>
      <w:r w:rsidR="001830DA" w:rsidRPr="00A47A2E">
        <w:rPr>
          <w:lang w:val="en-US"/>
        </w:rPr>
        <w:t xml:space="preserve"> depending on the</w:t>
      </w:r>
      <w:r w:rsidR="008D6AD9" w:rsidRPr="00A47A2E">
        <w:rPr>
          <w:lang w:val="en-US"/>
        </w:rPr>
        <w:t xml:space="preserve"> sector</w:t>
      </w:r>
      <w:r w:rsidR="009F42B3" w:rsidRPr="00A47A2E">
        <w:rPr>
          <w:lang w:val="en-US"/>
        </w:rPr>
        <w:t>. I</w:t>
      </w:r>
      <w:r w:rsidR="001830DA" w:rsidRPr="00A47A2E">
        <w:rPr>
          <w:lang w:val="en-US"/>
        </w:rPr>
        <w:t xml:space="preserve">n some </w:t>
      </w:r>
      <w:r w:rsidR="00E5699D" w:rsidRPr="00A47A2E">
        <w:rPr>
          <w:lang w:val="en-US"/>
        </w:rPr>
        <w:t>cases,</w:t>
      </w:r>
      <w:r w:rsidR="001830DA" w:rsidRPr="00A47A2E">
        <w:rPr>
          <w:lang w:val="en-US"/>
        </w:rPr>
        <w:t xml:space="preserve"> the main problem lies with </w:t>
      </w:r>
      <w:r w:rsidR="00E5699D" w:rsidRPr="00A47A2E">
        <w:rPr>
          <w:lang w:val="en-US"/>
        </w:rPr>
        <w:t>specialized</w:t>
      </w:r>
      <w:r w:rsidR="008D6AD9" w:rsidRPr="00A47A2E">
        <w:rPr>
          <w:lang w:val="en-US"/>
        </w:rPr>
        <w:t xml:space="preserve"> profiles that </w:t>
      </w:r>
      <w:r w:rsidR="001830DA" w:rsidRPr="00A47A2E">
        <w:rPr>
          <w:lang w:val="en-US"/>
        </w:rPr>
        <w:t>require specific vocational training or technical school education.</w:t>
      </w:r>
      <w:r w:rsidR="009F42B3" w:rsidRPr="00A47A2E">
        <w:rPr>
          <w:lang w:val="en-US"/>
        </w:rPr>
        <w:t xml:space="preserve"> In other </w:t>
      </w:r>
      <w:r w:rsidR="00E5699D" w:rsidRPr="00A47A2E">
        <w:rPr>
          <w:lang w:val="en-US"/>
        </w:rPr>
        <w:t>cases,</w:t>
      </w:r>
      <w:r w:rsidR="008D6AD9" w:rsidRPr="00A47A2E">
        <w:rPr>
          <w:lang w:val="en-US"/>
        </w:rPr>
        <w:t xml:space="preserve"> the non-</w:t>
      </w:r>
      <w:r w:rsidR="00E5699D" w:rsidRPr="00A47A2E">
        <w:rPr>
          <w:lang w:val="en-US"/>
        </w:rPr>
        <w:t>attractive</w:t>
      </w:r>
      <w:r w:rsidR="008D6AD9" w:rsidRPr="00A47A2E">
        <w:rPr>
          <w:lang w:val="en-US"/>
        </w:rPr>
        <w:t xml:space="preserve"> level of salaries is the main </w:t>
      </w:r>
      <w:r w:rsidR="00E5699D" w:rsidRPr="00A47A2E">
        <w:rPr>
          <w:lang w:val="en-US"/>
        </w:rPr>
        <w:t>reason</w:t>
      </w:r>
      <w:r w:rsidR="008D6AD9" w:rsidRPr="00A47A2E">
        <w:rPr>
          <w:lang w:val="en-US"/>
        </w:rPr>
        <w:t>. In many sectors,</w:t>
      </w:r>
      <w:r w:rsidR="008D6AD9" w:rsidRPr="00A47A2E">
        <w:rPr>
          <w:sz w:val="20"/>
          <w:szCs w:val="20"/>
          <w:lang w:val="en-US"/>
        </w:rPr>
        <w:t xml:space="preserve"> </w:t>
      </w:r>
      <w:r w:rsidR="00E5699D" w:rsidRPr="00A47A2E">
        <w:rPr>
          <w:lang w:val="en-US"/>
        </w:rPr>
        <w:t>labor</w:t>
      </w:r>
      <w:r w:rsidR="009F42B3" w:rsidRPr="00A47A2E">
        <w:rPr>
          <w:lang w:val="en-US"/>
        </w:rPr>
        <w:t xml:space="preserve"> mobility reflecting </w:t>
      </w:r>
      <w:r w:rsidR="001B0E9E">
        <w:rPr>
          <w:lang w:val="en-US"/>
        </w:rPr>
        <w:t xml:space="preserve">the </w:t>
      </w:r>
      <w:r w:rsidR="009F42B3" w:rsidRPr="00A47A2E">
        <w:rPr>
          <w:lang w:val="en-US"/>
        </w:rPr>
        <w:t xml:space="preserve">migration of qualified </w:t>
      </w:r>
      <w:r w:rsidR="001B0E9E">
        <w:rPr>
          <w:lang w:val="en-US"/>
        </w:rPr>
        <w:t xml:space="preserve">members of the </w:t>
      </w:r>
      <w:r w:rsidR="009F42B3" w:rsidRPr="00A47A2E">
        <w:rPr>
          <w:lang w:val="en-US"/>
        </w:rPr>
        <w:t>wor</w:t>
      </w:r>
      <w:r w:rsidR="008D6AD9" w:rsidRPr="00A47A2E">
        <w:rPr>
          <w:lang w:val="en-US"/>
        </w:rPr>
        <w:t>kforce is the main cause</w:t>
      </w:r>
      <w:r w:rsidR="00001A6B">
        <w:rPr>
          <w:lang w:val="en-US"/>
        </w:rPr>
        <w:t xml:space="preserve"> (European Commission 2014)</w:t>
      </w:r>
      <w:r w:rsidR="008D6AD9" w:rsidRPr="00A47A2E">
        <w:rPr>
          <w:lang w:val="en-US"/>
        </w:rPr>
        <w:t xml:space="preserve">. </w:t>
      </w:r>
      <w:r w:rsidR="009F42B3" w:rsidRPr="00A47A2E">
        <w:rPr>
          <w:lang w:val="en-US"/>
        </w:rPr>
        <w:t xml:space="preserve"> </w:t>
      </w:r>
      <w:r w:rsidR="009F42B3" w:rsidRPr="00A47A2E">
        <w:rPr>
          <w:sz w:val="20"/>
          <w:szCs w:val="20"/>
          <w:lang w:val="en-US"/>
        </w:rPr>
        <w:t xml:space="preserve"> </w:t>
      </w:r>
      <w:r w:rsidR="001830DA" w:rsidRPr="00A47A2E">
        <w:rPr>
          <w:sz w:val="20"/>
          <w:szCs w:val="20"/>
          <w:lang w:val="en-US"/>
        </w:rPr>
        <w:t xml:space="preserve"> </w:t>
      </w:r>
    </w:p>
    <w:p w14:paraId="3A649901" w14:textId="0E374C94" w:rsidR="001F02B4" w:rsidRPr="00774638" w:rsidRDefault="001F02B4" w:rsidP="00D159E9">
      <w:pPr>
        <w:pStyle w:val="ListParagraph"/>
        <w:numPr>
          <w:ilvl w:val="2"/>
          <w:numId w:val="15"/>
        </w:numPr>
        <w:spacing w:after="240" w:line="240" w:lineRule="auto"/>
        <w:contextualSpacing w:val="0"/>
        <w:jc w:val="both"/>
        <w:rPr>
          <w:rFonts w:cstheme="minorHAnsi"/>
          <w:lang w:val="en-US"/>
        </w:rPr>
      </w:pPr>
      <w:r w:rsidRPr="001F02B4">
        <w:rPr>
          <w:rFonts w:cstheme="minorHAnsi"/>
          <w:b/>
          <w:lang w:val="en-US"/>
        </w:rPr>
        <w:t xml:space="preserve">There is evidence that returning migrants have a positive economic and social impact. </w:t>
      </w:r>
      <w:r w:rsidRPr="00774638">
        <w:rPr>
          <w:rFonts w:cstheme="minorHAnsi"/>
          <w:lang w:val="en-US"/>
        </w:rPr>
        <w:t>Migration of labor and entrepreneurship are positively correlated. As migrants accumulate human and financial capital they tend to invest in productive activities. Also, their work experience gained abroad is positively leveraged when developing a business (Radu and Epstein 2007, Roman and Voicu 2010). The highly educated that come back want to have a professional career in Romania</w:t>
      </w:r>
      <w:r w:rsidR="001B0E9E">
        <w:rPr>
          <w:rFonts w:cstheme="minorHAnsi"/>
          <w:lang w:val="en-US"/>
        </w:rPr>
        <w:t>,</w:t>
      </w:r>
      <w:r w:rsidRPr="00774638">
        <w:rPr>
          <w:rFonts w:cstheme="minorHAnsi"/>
          <w:lang w:val="en-US"/>
        </w:rPr>
        <w:t xml:space="preserve"> and </w:t>
      </w:r>
      <w:r w:rsidR="001B0E9E">
        <w:rPr>
          <w:rFonts w:cstheme="minorHAnsi"/>
          <w:lang w:val="en-US"/>
        </w:rPr>
        <w:t xml:space="preserve">to </w:t>
      </w:r>
      <w:r w:rsidRPr="00774638">
        <w:rPr>
          <w:rFonts w:cstheme="minorHAnsi"/>
          <w:lang w:val="en-US"/>
        </w:rPr>
        <w:t>be involved in improving the political and socioeconomic environment (LSRS 2013, 2016).</w:t>
      </w:r>
    </w:p>
    <w:tbl>
      <w:tblPr>
        <w:tblStyle w:val="TableGrid"/>
        <w:tblW w:w="0" w:type="auto"/>
        <w:tblLook w:val="04A0" w:firstRow="1" w:lastRow="0" w:firstColumn="1" w:lastColumn="0" w:noHBand="0" w:noVBand="1"/>
      </w:tblPr>
      <w:tblGrid>
        <w:gridCol w:w="9715"/>
      </w:tblGrid>
      <w:tr w:rsidR="00C55D08" w:rsidRPr="00242B25" w14:paraId="39CB17AD" w14:textId="77777777" w:rsidTr="006E26A4">
        <w:tc>
          <w:tcPr>
            <w:tcW w:w="9715" w:type="dxa"/>
          </w:tcPr>
          <w:p w14:paraId="0ECAFF7D" w14:textId="1AF01650" w:rsidR="00C55D08" w:rsidRPr="00242B25" w:rsidRDefault="00710D41" w:rsidP="00A32ED9">
            <w:pPr>
              <w:pStyle w:val="Caption"/>
              <w:rPr>
                <w:rFonts w:cstheme="minorHAnsi"/>
                <w:b/>
                <w:i w:val="0"/>
                <w:sz w:val="22"/>
                <w:szCs w:val="22"/>
                <w:lang w:val="en-US"/>
              </w:rPr>
            </w:pPr>
            <w:bookmarkStart w:id="30" w:name="_Toc501133476"/>
            <w:r w:rsidRPr="00242B25">
              <w:rPr>
                <w:b/>
                <w:i w:val="0"/>
                <w:sz w:val="22"/>
                <w:szCs w:val="22"/>
                <w:lang w:val="en-US"/>
              </w:rPr>
              <w:t xml:space="preserve">Box </w:t>
            </w:r>
            <w:r w:rsidRPr="00242B25">
              <w:rPr>
                <w:b/>
                <w:i w:val="0"/>
                <w:sz w:val="22"/>
                <w:szCs w:val="22"/>
                <w:lang w:val="en-US"/>
              </w:rPr>
              <w:fldChar w:fldCharType="begin"/>
            </w:r>
            <w:r w:rsidRPr="00242B25">
              <w:rPr>
                <w:b/>
                <w:i w:val="0"/>
                <w:sz w:val="22"/>
                <w:szCs w:val="22"/>
                <w:lang w:val="en-US"/>
              </w:rPr>
              <w:instrText xml:space="preserve"> SEQ Box \* ARABIC </w:instrText>
            </w:r>
            <w:r w:rsidRPr="00242B25">
              <w:rPr>
                <w:b/>
                <w:i w:val="0"/>
                <w:sz w:val="22"/>
                <w:szCs w:val="22"/>
                <w:lang w:val="en-US"/>
              </w:rPr>
              <w:fldChar w:fldCharType="separate"/>
            </w:r>
            <w:r w:rsidR="004E4D7F">
              <w:rPr>
                <w:b/>
                <w:i w:val="0"/>
                <w:noProof/>
                <w:sz w:val="22"/>
                <w:szCs w:val="22"/>
                <w:lang w:val="en-US"/>
              </w:rPr>
              <w:t>2</w:t>
            </w:r>
            <w:r w:rsidRPr="00242B25">
              <w:rPr>
                <w:b/>
                <w:i w:val="0"/>
                <w:sz w:val="22"/>
                <w:szCs w:val="22"/>
                <w:lang w:val="en-US"/>
              </w:rPr>
              <w:fldChar w:fldCharType="end"/>
            </w:r>
            <w:r w:rsidR="00387EB6" w:rsidRPr="00242B25">
              <w:rPr>
                <w:b/>
                <w:i w:val="0"/>
                <w:sz w:val="22"/>
                <w:szCs w:val="22"/>
                <w:lang w:val="en-US"/>
              </w:rPr>
              <w:t>.</w:t>
            </w:r>
            <w:r w:rsidRPr="00242B25">
              <w:rPr>
                <w:rFonts w:cstheme="minorHAnsi"/>
                <w:b/>
                <w:i w:val="0"/>
                <w:sz w:val="22"/>
                <w:szCs w:val="22"/>
                <w:lang w:val="en-US"/>
              </w:rPr>
              <w:t xml:space="preserve"> </w:t>
            </w:r>
            <w:r w:rsidR="002E437E" w:rsidRPr="001B0E9E">
              <w:rPr>
                <w:b/>
                <w:i w:val="0"/>
                <w:sz w:val="22"/>
                <w:szCs w:val="22"/>
                <w:lang w:val="en-US"/>
              </w:rPr>
              <w:t xml:space="preserve">What motivates the return of </w:t>
            </w:r>
            <w:r w:rsidR="001B0E9E">
              <w:rPr>
                <w:b/>
                <w:i w:val="0"/>
                <w:sz w:val="22"/>
                <w:szCs w:val="22"/>
                <w:lang w:val="en-US"/>
              </w:rPr>
              <w:t xml:space="preserve">a </w:t>
            </w:r>
            <w:r w:rsidR="00C55D08" w:rsidRPr="001B0E9E">
              <w:rPr>
                <w:b/>
                <w:i w:val="0"/>
                <w:sz w:val="22"/>
                <w:szCs w:val="22"/>
                <w:lang w:val="en-US"/>
              </w:rPr>
              <w:t>high-skilled labor force</w:t>
            </w:r>
            <w:r w:rsidR="004755C6" w:rsidRPr="001B0E9E">
              <w:rPr>
                <w:b/>
                <w:i w:val="0"/>
                <w:sz w:val="22"/>
                <w:szCs w:val="22"/>
                <w:lang w:val="en-US"/>
              </w:rPr>
              <w:t>?</w:t>
            </w:r>
            <w:bookmarkEnd w:id="30"/>
            <w:r w:rsidR="00954D9F" w:rsidRPr="001B0E9E">
              <w:rPr>
                <w:b/>
                <w:i w:val="0"/>
                <w:sz w:val="22"/>
                <w:szCs w:val="22"/>
                <w:lang w:val="en-US"/>
              </w:rPr>
              <w:t xml:space="preserve"> The case of Romanian students abroad</w:t>
            </w:r>
          </w:p>
          <w:p w14:paraId="1CB817E2" w14:textId="0CAC21C9" w:rsidR="006E3C41" w:rsidRPr="00A47A2E" w:rsidRDefault="006E3C41" w:rsidP="008A36BC">
            <w:pPr>
              <w:jc w:val="both"/>
              <w:rPr>
                <w:rFonts w:cstheme="minorHAnsi"/>
                <w:b/>
                <w:color w:val="000000"/>
                <w:lang w:val="en-US"/>
              </w:rPr>
            </w:pPr>
            <w:r w:rsidRPr="00A47A2E">
              <w:rPr>
                <w:rFonts w:cstheme="minorHAnsi"/>
                <w:b/>
                <w:color w:val="000000"/>
                <w:lang w:val="en-US"/>
              </w:rPr>
              <w:t xml:space="preserve">The number of </w:t>
            </w:r>
            <w:r w:rsidR="00954D9F" w:rsidRPr="00A47A2E">
              <w:rPr>
                <w:rFonts w:cstheme="minorHAnsi"/>
                <w:b/>
                <w:color w:val="000000"/>
                <w:lang w:val="en-US"/>
              </w:rPr>
              <w:t xml:space="preserve">Romanian </w:t>
            </w:r>
            <w:r w:rsidRPr="00A47A2E">
              <w:rPr>
                <w:rFonts w:cstheme="minorHAnsi"/>
                <w:b/>
                <w:color w:val="000000"/>
                <w:lang w:val="en-US"/>
              </w:rPr>
              <w:t>students</w:t>
            </w:r>
            <w:r w:rsidR="00954D9F" w:rsidRPr="00A47A2E">
              <w:rPr>
                <w:rFonts w:cstheme="minorHAnsi"/>
                <w:b/>
                <w:color w:val="000000"/>
                <w:lang w:val="en-US"/>
              </w:rPr>
              <w:t xml:space="preserve"> abroad</w:t>
            </w:r>
            <w:r w:rsidRPr="00A47A2E">
              <w:rPr>
                <w:rFonts w:cstheme="minorHAnsi"/>
                <w:b/>
                <w:color w:val="000000"/>
                <w:lang w:val="en-US"/>
              </w:rPr>
              <w:t xml:space="preserve"> more than doubled in 16 years</w:t>
            </w:r>
            <w:r w:rsidR="001B0E9E">
              <w:rPr>
                <w:rFonts w:cstheme="minorHAnsi"/>
                <w:b/>
                <w:color w:val="000000"/>
                <w:lang w:val="en-US"/>
              </w:rPr>
              <w:t>,</w:t>
            </w:r>
            <w:r w:rsidRPr="00A47A2E">
              <w:rPr>
                <w:rFonts w:cstheme="minorHAnsi"/>
                <w:b/>
                <w:color w:val="000000"/>
                <w:lang w:val="en-US"/>
              </w:rPr>
              <w:t xml:space="preserve"> from </w:t>
            </w:r>
            <w:r w:rsidR="001B0E9E">
              <w:rPr>
                <w:rFonts w:cstheme="minorHAnsi"/>
                <w:b/>
                <w:color w:val="000000"/>
                <w:lang w:val="en-US"/>
              </w:rPr>
              <w:t>about</w:t>
            </w:r>
            <w:r w:rsidR="001B0E9E" w:rsidRPr="00A47A2E">
              <w:rPr>
                <w:rFonts w:cstheme="minorHAnsi"/>
                <w:b/>
                <w:color w:val="000000"/>
                <w:lang w:val="en-US"/>
              </w:rPr>
              <w:t xml:space="preserve"> </w:t>
            </w:r>
            <w:r w:rsidRPr="00A47A2E">
              <w:rPr>
                <w:rFonts w:cstheme="minorHAnsi"/>
                <w:b/>
                <w:color w:val="000000"/>
                <w:lang w:val="en-US"/>
              </w:rPr>
              <w:t xml:space="preserve">12.5 thousand in 2000 to </w:t>
            </w:r>
            <w:r w:rsidR="001B0E9E" w:rsidRPr="00A47A2E">
              <w:rPr>
                <w:rFonts w:cstheme="minorHAnsi"/>
                <w:b/>
                <w:color w:val="000000"/>
                <w:lang w:val="en-US"/>
              </w:rPr>
              <w:t>a</w:t>
            </w:r>
            <w:r w:rsidR="001B0E9E">
              <w:rPr>
                <w:rFonts w:cstheme="minorHAnsi"/>
                <w:b/>
                <w:color w:val="000000"/>
                <w:lang w:val="en-US"/>
              </w:rPr>
              <w:t>bout</w:t>
            </w:r>
            <w:r w:rsidR="001B0E9E" w:rsidRPr="00A47A2E">
              <w:rPr>
                <w:rFonts w:cstheme="minorHAnsi"/>
                <w:b/>
                <w:color w:val="000000"/>
                <w:lang w:val="en-US"/>
              </w:rPr>
              <w:t xml:space="preserve"> </w:t>
            </w:r>
            <w:r w:rsidRPr="00A47A2E">
              <w:rPr>
                <w:rFonts w:cstheme="minorHAnsi"/>
                <w:b/>
                <w:color w:val="000000"/>
                <w:lang w:val="en-US"/>
              </w:rPr>
              <w:t>33</w:t>
            </w:r>
            <w:r w:rsidR="008A36BC" w:rsidRPr="00A47A2E">
              <w:rPr>
                <w:rFonts w:cstheme="minorHAnsi"/>
                <w:b/>
                <w:color w:val="000000"/>
                <w:lang w:val="en-US"/>
              </w:rPr>
              <w:t>.4</w:t>
            </w:r>
            <w:r w:rsidRPr="00A47A2E">
              <w:rPr>
                <w:rFonts w:cstheme="minorHAnsi"/>
                <w:b/>
                <w:color w:val="000000"/>
                <w:lang w:val="en-US"/>
              </w:rPr>
              <w:t xml:space="preserve"> thousand in 2016.</w:t>
            </w:r>
            <w:r w:rsidR="00954D9F" w:rsidRPr="00A47A2E">
              <w:rPr>
                <w:rFonts w:cstheme="minorHAnsi"/>
                <w:b/>
                <w:color w:val="000000"/>
                <w:lang w:val="en-US"/>
              </w:rPr>
              <w:t xml:space="preserve"> </w:t>
            </w:r>
            <w:r w:rsidR="00954D9F" w:rsidRPr="00A47A2E">
              <w:rPr>
                <w:rFonts w:cstheme="minorHAnsi"/>
                <w:color w:val="000000"/>
                <w:lang w:val="en-US"/>
              </w:rPr>
              <w:t xml:space="preserve">In </w:t>
            </w:r>
            <w:r w:rsidR="00E5699D" w:rsidRPr="00A47A2E">
              <w:rPr>
                <w:rFonts w:cstheme="minorHAnsi"/>
                <w:color w:val="000000"/>
                <w:lang w:val="en-US"/>
              </w:rPr>
              <w:t>comparison,</w:t>
            </w:r>
            <w:r w:rsidR="00954D9F" w:rsidRPr="00A47A2E">
              <w:rPr>
                <w:rFonts w:cstheme="minorHAnsi"/>
                <w:color w:val="000000"/>
                <w:lang w:val="en-US"/>
              </w:rPr>
              <w:t xml:space="preserve"> the number of students in Romania has decreased from as high as 900 thousand in 2009 to 405 thousand in 2016.</w:t>
            </w:r>
            <w:r w:rsidR="00954D9F" w:rsidRPr="00A47A2E">
              <w:rPr>
                <w:rFonts w:cstheme="minorHAnsi"/>
                <w:b/>
                <w:color w:val="000000"/>
                <w:lang w:val="en-US"/>
              </w:rPr>
              <w:t xml:space="preserve"> </w:t>
            </w:r>
            <w:r w:rsidR="008A36BC" w:rsidRPr="00A47A2E">
              <w:rPr>
                <w:rFonts w:cstheme="minorHAnsi"/>
                <w:color w:val="000000"/>
                <w:lang w:val="en-US"/>
              </w:rPr>
              <w:t>Europe is the main destination, with the United States</w:t>
            </w:r>
            <w:r w:rsidR="00586245">
              <w:rPr>
                <w:rFonts w:cstheme="minorHAnsi"/>
                <w:color w:val="000000"/>
                <w:lang w:val="en-US"/>
              </w:rPr>
              <w:t>—</w:t>
            </w:r>
            <w:r w:rsidR="008A36BC" w:rsidRPr="00A47A2E">
              <w:rPr>
                <w:rFonts w:cstheme="minorHAnsi"/>
                <w:color w:val="000000"/>
                <w:lang w:val="en-US"/>
              </w:rPr>
              <w:t>the first non-EU country</w:t>
            </w:r>
            <w:r w:rsidR="00586245">
              <w:rPr>
                <w:rFonts w:cstheme="minorHAnsi"/>
                <w:color w:val="000000"/>
                <w:lang w:val="en-US"/>
              </w:rPr>
              <w:t>—</w:t>
            </w:r>
            <w:r w:rsidR="008A36BC" w:rsidRPr="00A47A2E">
              <w:rPr>
                <w:rFonts w:cstheme="minorHAnsi"/>
                <w:color w:val="000000"/>
                <w:lang w:val="en-US"/>
              </w:rPr>
              <w:t>occupying the 10th position in terms of the number of Romanian students as of 2016.</w:t>
            </w:r>
            <w:r w:rsidR="008A36BC" w:rsidRPr="00A47A2E">
              <w:rPr>
                <w:rFonts w:cstheme="minorHAnsi"/>
                <w:b/>
                <w:color w:val="00000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6"/>
            </w:tblGrid>
            <w:tr w:rsidR="006E3C41" w:rsidRPr="00242B25" w14:paraId="1DB0FD42" w14:textId="77777777" w:rsidTr="00D42A9B">
              <w:tc>
                <w:tcPr>
                  <w:tcW w:w="4920" w:type="dxa"/>
                </w:tcPr>
                <w:p w14:paraId="5D78F8CA" w14:textId="4298C7ED" w:rsidR="00001235" w:rsidRPr="00242B25" w:rsidRDefault="006E3C41" w:rsidP="00586245">
                  <w:pPr>
                    <w:jc w:val="both"/>
                    <w:rPr>
                      <w:rFonts w:cstheme="minorHAnsi"/>
                      <w:color w:val="000000"/>
                      <w:lang w:val="en-US"/>
                    </w:rPr>
                  </w:pPr>
                  <w:bookmarkStart w:id="31" w:name="_Toc511409150"/>
                  <w:r w:rsidRPr="00242B25">
                    <w:rPr>
                      <w:color w:val="44546A" w:themeColor="text2"/>
                      <w:lang w:val="en-US"/>
                    </w:rPr>
                    <w:t xml:space="preserve">Figure </w:t>
                  </w:r>
                  <w:r w:rsidR="00586245">
                    <w:rPr>
                      <w:color w:val="44546A" w:themeColor="text2"/>
                      <w:lang w:val="en-US"/>
                    </w:rPr>
                    <w:t>B2.1</w:t>
                  </w:r>
                  <w:r w:rsidR="00AC5BA0" w:rsidRPr="00242B25">
                    <w:rPr>
                      <w:color w:val="44546A" w:themeColor="text2"/>
                      <w:lang w:val="en-US"/>
                    </w:rPr>
                    <w:t>.</w:t>
                  </w:r>
                  <w:r w:rsidR="00954D9F" w:rsidRPr="00242B25">
                    <w:rPr>
                      <w:color w:val="44546A" w:themeColor="text2"/>
                      <w:lang w:val="en-US"/>
                    </w:rPr>
                    <w:t xml:space="preserve"> Romanian students </w:t>
                  </w:r>
                  <w:r w:rsidRPr="00242B25">
                    <w:rPr>
                      <w:rFonts w:cstheme="minorHAnsi"/>
                      <w:color w:val="44546A" w:themeColor="text2"/>
                      <w:lang w:val="en-US"/>
                    </w:rPr>
                    <w:t>abroad</w:t>
                  </w:r>
                  <w:r w:rsidR="00987EC2" w:rsidRPr="00242B25">
                    <w:rPr>
                      <w:rFonts w:cstheme="minorHAnsi"/>
                      <w:color w:val="44546A" w:themeColor="text2"/>
                      <w:lang w:val="en-US"/>
                    </w:rPr>
                    <w:t xml:space="preserve"> and at</w:t>
                  </w:r>
                  <w:r w:rsidR="00954D9F" w:rsidRPr="00242B25">
                    <w:rPr>
                      <w:rFonts w:cstheme="minorHAnsi"/>
                      <w:color w:val="44546A" w:themeColor="text2"/>
                      <w:lang w:val="en-US"/>
                    </w:rPr>
                    <w:t xml:space="preserve"> home</w:t>
                  </w:r>
                  <w:bookmarkEnd w:id="31"/>
                </w:p>
              </w:tc>
              <w:tc>
                <w:tcPr>
                  <w:tcW w:w="4237" w:type="dxa"/>
                </w:tcPr>
                <w:p w14:paraId="04ED465C" w14:textId="52454AA8" w:rsidR="006E3C41" w:rsidRPr="00242B25" w:rsidRDefault="006E3C41" w:rsidP="00586245">
                  <w:pPr>
                    <w:jc w:val="both"/>
                    <w:rPr>
                      <w:rFonts w:cstheme="minorHAnsi"/>
                      <w:color w:val="000000"/>
                      <w:lang w:val="en-US"/>
                    </w:rPr>
                  </w:pPr>
                  <w:bookmarkStart w:id="32" w:name="_Toc511409151"/>
                  <w:r w:rsidRPr="00242B25">
                    <w:rPr>
                      <w:color w:val="44546A" w:themeColor="text2"/>
                      <w:lang w:val="en-US"/>
                    </w:rPr>
                    <w:t xml:space="preserve">Figure </w:t>
                  </w:r>
                  <w:r w:rsidR="00586245">
                    <w:rPr>
                      <w:color w:val="44546A" w:themeColor="text2"/>
                      <w:lang w:val="en-US"/>
                    </w:rPr>
                    <w:t>B2.2</w:t>
                  </w:r>
                  <w:r w:rsidR="00AC5BA0" w:rsidRPr="00242B25">
                    <w:rPr>
                      <w:color w:val="44546A" w:themeColor="text2"/>
                      <w:lang w:val="en-US"/>
                    </w:rPr>
                    <w:t>.</w:t>
                  </w:r>
                  <w:r w:rsidRPr="00242B25">
                    <w:rPr>
                      <w:color w:val="44546A" w:themeColor="text2"/>
                      <w:lang w:val="en-US"/>
                    </w:rPr>
                    <w:t xml:space="preserve"> </w:t>
                  </w:r>
                  <w:r w:rsidRPr="00242B25">
                    <w:rPr>
                      <w:rFonts w:cstheme="minorHAnsi"/>
                      <w:color w:val="44546A" w:themeColor="text2"/>
                      <w:lang w:val="en-US"/>
                    </w:rPr>
                    <w:t>Romanian students abroad by country of destination (2016)</w:t>
                  </w:r>
                  <w:bookmarkEnd w:id="32"/>
                </w:p>
              </w:tc>
            </w:tr>
            <w:tr w:rsidR="00D42A9B" w:rsidRPr="00A47A2E" w14:paraId="2DC043C6" w14:textId="77777777" w:rsidTr="00774638">
              <w:trPr>
                <w:trHeight w:val="3746"/>
              </w:trPr>
              <w:tc>
                <w:tcPr>
                  <w:tcW w:w="4920" w:type="dxa"/>
                </w:tcPr>
                <w:p w14:paraId="29F08B8B" w14:textId="77777777" w:rsidR="006E3C41" w:rsidRPr="00A47A2E" w:rsidRDefault="00954D9F" w:rsidP="006E3C41">
                  <w:pPr>
                    <w:keepNext/>
                    <w:jc w:val="both"/>
                    <w:rPr>
                      <w:lang w:val="en-US"/>
                    </w:rPr>
                  </w:pPr>
                  <w:r w:rsidRPr="00A47A2E">
                    <w:rPr>
                      <w:noProof/>
                      <w:lang w:eastAsia="it-IT"/>
                    </w:rPr>
                    <w:drawing>
                      <wp:inline distT="0" distB="0" distL="0" distR="0" wp14:anchorId="5C06E02D" wp14:editId="639ECFD0">
                        <wp:extent cx="2876550" cy="2390775"/>
                        <wp:effectExtent l="0" t="0" r="0" b="9525"/>
                        <wp:docPr id="34" name="Chart 34">
                          <a:extLst xmlns:a="http://schemas.openxmlformats.org/drawingml/2006/main">
                            <a:ext uri="{FF2B5EF4-FFF2-40B4-BE49-F238E27FC236}">
                              <a16:creationId xmlns:a16="http://schemas.microsoft.com/office/drawing/2014/main" id="{827677DB-28D2-4D32-876B-70B90B0C7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237" w:type="dxa"/>
                </w:tcPr>
                <w:p w14:paraId="0C2620AD" w14:textId="77777777" w:rsidR="006E3C41" w:rsidRPr="00A47A2E" w:rsidRDefault="00954D9F" w:rsidP="006E3C41">
                  <w:pPr>
                    <w:keepNext/>
                    <w:jc w:val="both"/>
                    <w:rPr>
                      <w:lang w:val="en-US"/>
                    </w:rPr>
                  </w:pPr>
                  <w:r w:rsidRPr="00A47A2E">
                    <w:rPr>
                      <w:noProof/>
                      <w:lang w:eastAsia="it-IT"/>
                    </w:rPr>
                    <w:drawing>
                      <wp:inline distT="0" distB="0" distL="0" distR="0" wp14:anchorId="515C7A85" wp14:editId="5AA094FD">
                        <wp:extent cx="2828925" cy="2250219"/>
                        <wp:effectExtent l="0" t="0" r="9525" b="17145"/>
                        <wp:docPr id="35" name="Chart 35">
                          <a:extLst xmlns:a="http://schemas.openxmlformats.org/drawingml/2006/main">
                            <a:ext uri="{FF2B5EF4-FFF2-40B4-BE49-F238E27FC236}">
                              <a16:creationId xmlns:a16="http://schemas.microsoft.com/office/drawing/2014/main" id="{E600331D-429B-49CA-9C7D-E3AC96487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E3C41" w:rsidRPr="00242B25" w14:paraId="6D4EBE8C" w14:textId="77777777" w:rsidTr="00D42A9B">
              <w:tc>
                <w:tcPr>
                  <w:tcW w:w="4920" w:type="dxa"/>
                </w:tcPr>
                <w:p w14:paraId="43F4BBE0" w14:textId="566E4AA8" w:rsidR="006E3C41" w:rsidRPr="00396352" w:rsidRDefault="006E3C41" w:rsidP="00CE308A">
                  <w:pPr>
                    <w:jc w:val="both"/>
                    <w:rPr>
                      <w:rFonts w:cstheme="minorHAnsi"/>
                      <w:color w:val="000000"/>
                      <w:lang w:val="en-US"/>
                    </w:rPr>
                  </w:pPr>
                  <w:r w:rsidRPr="00396352">
                    <w:rPr>
                      <w:rFonts w:cstheme="minorHAnsi"/>
                      <w:color w:val="000000"/>
                      <w:lang w:val="en-US"/>
                    </w:rPr>
                    <w:t>Source: UNESCO</w:t>
                  </w:r>
                </w:p>
              </w:tc>
              <w:tc>
                <w:tcPr>
                  <w:tcW w:w="4237" w:type="dxa"/>
                </w:tcPr>
                <w:p w14:paraId="1ED85C04" w14:textId="77777777" w:rsidR="006E3C41" w:rsidRPr="00A47A2E" w:rsidRDefault="006E3C41" w:rsidP="00CE308A">
                  <w:pPr>
                    <w:jc w:val="both"/>
                    <w:rPr>
                      <w:rFonts w:cstheme="minorHAnsi"/>
                      <w:color w:val="000000"/>
                      <w:sz w:val="20"/>
                      <w:szCs w:val="20"/>
                      <w:lang w:val="en-US"/>
                    </w:rPr>
                  </w:pPr>
                </w:p>
              </w:tc>
            </w:tr>
          </w:tbl>
          <w:p w14:paraId="00F0EA70" w14:textId="77777777" w:rsidR="000D49CE" w:rsidRPr="00A47A2E" w:rsidRDefault="000D49CE" w:rsidP="00CE308A">
            <w:pPr>
              <w:jc w:val="both"/>
              <w:rPr>
                <w:rFonts w:cstheme="minorHAnsi"/>
                <w:color w:val="000000"/>
                <w:sz w:val="20"/>
                <w:szCs w:val="20"/>
                <w:lang w:val="en-US"/>
              </w:rPr>
            </w:pPr>
          </w:p>
          <w:p w14:paraId="355E7B9E" w14:textId="077EA150" w:rsidR="00AD2ACF" w:rsidRPr="00A47A2E" w:rsidRDefault="00F73457" w:rsidP="00242B25">
            <w:pPr>
              <w:rPr>
                <w:rFonts w:cstheme="minorHAnsi"/>
                <w:b/>
                <w:color w:val="000000"/>
                <w:lang w:val="en-US"/>
              </w:rPr>
            </w:pPr>
            <w:r w:rsidRPr="00A47A2E">
              <w:rPr>
                <w:rFonts w:cstheme="minorHAnsi"/>
                <w:b/>
                <w:color w:val="000000"/>
                <w:lang w:val="en-US"/>
              </w:rPr>
              <w:t xml:space="preserve">Romanian students cite the </w:t>
            </w:r>
            <w:r w:rsidR="00CF0680" w:rsidRPr="00A47A2E">
              <w:rPr>
                <w:rFonts w:cstheme="minorHAnsi"/>
                <w:b/>
                <w:color w:val="000000"/>
                <w:lang w:val="en-US"/>
              </w:rPr>
              <w:t>attractiveness</w:t>
            </w:r>
            <w:r w:rsidRPr="00A47A2E">
              <w:rPr>
                <w:rFonts w:cstheme="minorHAnsi"/>
                <w:b/>
                <w:color w:val="000000"/>
                <w:lang w:val="en-US"/>
              </w:rPr>
              <w:t xml:space="preserve"> of the educational offer </w:t>
            </w:r>
            <w:r w:rsidR="00C40A61" w:rsidRPr="00A47A2E">
              <w:rPr>
                <w:rFonts w:cstheme="minorHAnsi"/>
                <w:b/>
                <w:color w:val="000000"/>
                <w:lang w:val="en-US"/>
              </w:rPr>
              <w:t xml:space="preserve">and becoming proficient in a foreign language as the main </w:t>
            </w:r>
            <w:r w:rsidR="00CF0680" w:rsidRPr="00A47A2E">
              <w:rPr>
                <w:rFonts w:cstheme="minorHAnsi"/>
                <w:b/>
                <w:color w:val="000000"/>
                <w:lang w:val="en-US"/>
              </w:rPr>
              <w:t>reasons</w:t>
            </w:r>
            <w:r w:rsidR="00C40A61" w:rsidRPr="00A47A2E">
              <w:rPr>
                <w:rFonts w:cstheme="minorHAnsi"/>
                <w:b/>
                <w:color w:val="000000"/>
                <w:lang w:val="en-US"/>
              </w:rPr>
              <w:t xml:space="preserve"> for studying abroad. </w:t>
            </w:r>
            <w:r w:rsidR="006E26A4" w:rsidRPr="00A47A2E">
              <w:rPr>
                <w:rFonts w:cstheme="minorHAnsi"/>
                <w:color w:val="000000"/>
                <w:lang w:val="en-US"/>
              </w:rPr>
              <w:t>In a number of</w:t>
            </w:r>
            <w:r w:rsidR="006E26A4" w:rsidRPr="00A47A2E">
              <w:rPr>
                <w:rFonts w:cstheme="minorHAnsi"/>
                <w:b/>
                <w:color w:val="000000"/>
                <w:lang w:val="en-US"/>
              </w:rPr>
              <w:t xml:space="preserve"> </w:t>
            </w:r>
            <w:r w:rsidR="006E26A4" w:rsidRPr="00A47A2E">
              <w:rPr>
                <w:rFonts w:cstheme="minorHAnsi"/>
                <w:color w:val="000000"/>
                <w:lang w:val="en-US"/>
              </w:rPr>
              <w:t>surveys organized by LSRS between            2</w:t>
            </w:r>
            <w:r w:rsidR="00CF0680" w:rsidRPr="00A47A2E">
              <w:rPr>
                <w:rFonts w:cstheme="minorHAnsi"/>
                <w:color w:val="000000"/>
                <w:lang w:val="en-US"/>
              </w:rPr>
              <w:t>010</w:t>
            </w:r>
            <w:r w:rsidR="00586245">
              <w:rPr>
                <w:rFonts w:cstheme="minorHAnsi"/>
                <w:color w:val="000000"/>
                <w:lang w:val="en-US"/>
              </w:rPr>
              <w:t>–</w:t>
            </w:r>
            <w:r w:rsidR="00CF0680" w:rsidRPr="00A47A2E">
              <w:rPr>
                <w:rFonts w:cstheme="minorHAnsi"/>
                <w:color w:val="000000"/>
                <w:lang w:val="en-US"/>
              </w:rPr>
              <w:t>2016</w:t>
            </w:r>
            <w:r w:rsidR="006E26A4" w:rsidRPr="00A47A2E">
              <w:rPr>
                <w:rFonts w:cstheme="minorHAnsi"/>
                <w:color w:val="000000"/>
                <w:lang w:val="en-US"/>
              </w:rPr>
              <w:t xml:space="preserve"> on </w:t>
            </w:r>
            <w:r w:rsidR="00153DC2" w:rsidRPr="00A47A2E">
              <w:rPr>
                <w:rFonts w:cstheme="minorHAnsi"/>
                <w:color w:val="000000"/>
                <w:lang w:val="en-US"/>
              </w:rPr>
              <w:t xml:space="preserve">a sample of </w:t>
            </w:r>
            <w:r w:rsidR="006E26A4" w:rsidRPr="00A47A2E">
              <w:rPr>
                <w:rFonts w:cstheme="minorHAnsi"/>
                <w:color w:val="000000"/>
                <w:lang w:val="en-US"/>
              </w:rPr>
              <w:t>more than 10</w:t>
            </w:r>
            <w:r w:rsidR="00CF0680" w:rsidRPr="00A47A2E">
              <w:rPr>
                <w:rFonts w:cstheme="minorHAnsi"/>
                <w:color w:val="000000"/>
                <w:lang w:val="en-US"/>
              </w:rPr>
              <w:t>00 students</w:t>
            </w:r>
            <w:r w:rsidR="00586245">
              <w:rPr>
                <w:rFonts w:cstheme="minorHAnsi"/>
                <w:color w:val="000000"/>
                <w:lang w:val="en-US"/>
              </w:rPr>
              <w:t>,</w:t>
            </w:r>
            <w:r w:rsidR="00CF0680" w:rsidRPr="00A47A2E">
              <w:rPr>
                <w:rFonts w:cstheme="minorHAnsi"/>
                <w:color w:val="000000"/>
                <w:lang w:val="en-US"/>
              </w:rPr>
              <w:t xml:space="preserve"> the attractiveness of the educational offer was consistently indicated as being </w:t>
            </w:r>
            <w:r w:rsidR="00153DC2" w:rsidRPr="00A47A2E">
              <w:rPr>
                <w:rFonts w:cstheme="minorHAnsi"/>
                <w:color w:val="000000"/>
                <w:lang w:val="en-US"/>
              </w:rPr>
              <w:t>a key reason</w:t>
            </w:r>
            <w:r w:rsidR="00987EC2" w:rsidRPr="00A47A2E">
              <w:rPr>
                <w:rFonts w:cstheme="minorHAnsi"/>
                <w:color w:val="000000"/>
                <w:lang w:val="en-US"/>
              </w:rPr>
              <w:t xml:space="preserve"> for studying abroad</w:t>
            </w:r>
            <w:r w:rsidR="00586245">
              <w:rPr>
                <w:rFonts w:cstheme="minorHAnsi"/>
                <w:color w:val="000000"/>
                <w:lang w:val="en-US"/>
              </w:rPr>
              <w:t>:</w:t>
            </w:r>
            <w:r w:rsidR="00987EC2" w:rsidRPr="00A47A2E">
              <w:rPr>
                <w:rFonts w:cstheme="minorHAnsi"/>
                <w:color w:val="000000"/>
                <w:lang w:val="en-US"/>
              </w:rPr>
              <w:t xml:space="preserve"> </w:t>
            </w:r>
            <w:r w:rsidR="00586245">
              <w:rPr>
                <w:rFonts w:cstheme="minorHAnsi"/>
                <w:color w:val="000000"/>
                <w:lang w:val="en-US"/>
              </w:rPr>
              <w:t>about</w:t>
            </w:r>
            <w:r w:rsidR="00586245" w:rsidRPr="00A47A2E">
              <w:rPr>
                <w:rFonts w:cstheme="minorHAnsi"/>
                <w:color w:val="000000"/>
                <w:lang w:val="en-US"/>
              </w:rPr>
              <w:t xml:space="preserve"> </w:t>
            </w:r>
            <w:r w:rsidR="00987EC2" w:rsidRPr="00A47A2E">
              <w:rPr>
                <w:rFonts w:cstheme="minorHAnsi"/>
                <w:color w:val="000000"/>
                <w:lang w:val="en-US"/>
              </w:rPr>
              <w:t>5</w:t>
            </w:r>
            <w:r w:rsidR="00CF0680" w:rsidRPr="00A47A2E">
              <w:rPr>
                <w:rFonts w:cstheme="minorHAnsi"/>
                <w:color w:val="000000"/>
                <w:lang w:val="en-US"/>
              </w:rPr>
              <w:t>0 percent of respondents</w:t>
            </w:r>
            <w:r w:rsidR="00987EC2" w:rsidRPr="00A47A2E">
              <w:rPr>
                <w:rFonts w:cstheme="minorHAnsi"/>
                <w:color w:val="000000"/>
                <w:lang w:val="en-US"/>
              </w:rPr>
              <w:t xml:space="preserve"> considered it very important on a scale ranging from </w:t>
            </w:r>
            <w:r w:rsidR="00153DC2" w:rsidRPr="00A47A2E">
              <w:rPr>
                <w:rFonts w:cstheme="minorHAnsi"/>
                <w:color w:val="000000"/>
                <w:lang w:val="en-US"/>
              </w:rPr>
              <w:t>not important to very important</w:t>
            </w:r>
            <w:r w:rsidR="00CF0680" w:rsidRPr="00A47A2E">
              <w:rPr>
                <w:rFonts w:cstheme="minorHAnsi"/>
                <w:color w:val="000000"/>
                <w:lang w:val="en-US"/>
              </w:rPr>
              <w:t xml:space="preserve">. </w:t>
            </w:r>
            <w:r w:rsidR="00BE1142" w:rsidRPr="00A47A2E">
              <w:rPr>
                <w:rFonts w:cstheme="minorHAnsi"/>
                <w:color w:val="000000"/>
                <w:lang w:val="en-US"/>
              </w:rPr>
              <w:t xml:space="preserve">The labor market prospects were also perceived </w:t>
            </w:r>
            <w:r w:rsidR="00586245">
              <w:rPr>
                <w:rFonts w:cstheme="minorHAnsi"/>
                <w:color w:val="000000"/>
                <w:lang w:val="en-US"/>
              </w:rPr>
              <w:t>as</w:t>
            </w:r>
            <w:r w:rsidR="00586245" w:rsidRPr="00A47A2E">
              <w:rPr>
                <w:rFonts w:cstheme="minorHAnsi"/>
                <w:color w:val="000000"/>
                <w:lang w:val="en-US"/>
              </w:rPr>
              <w:t xml:space="preserve"> </w:t>
            </w:r>
            <w:r w:rsidR="00BE1142" w:rsidRPr="00A47A2E">
              <w:rPr>
                <w:rFonts w:cstheme="minorHAnsi"/>
                <w:color w:val="000000"/>
                <w:lang w:val="en-US"/>
              </w:rPr>
              <w:t>being very satisfying by more than 50 percent of the students</w:t>
            </w:r>
            <w:r w:rsidR="00BA3520" w:rsidRPr="00A47A2E">
              <w:rPr>
                <w:rFonts w:cstheme="minorHAnsi"/>
                <w:color w:val="000000"/>
                <w:lang w:val="en-US"/>
              </w:rPr>
              <w:t xml:space="preserve"> abroad</w:t>
            </w:r>
            <w:r w:rsidR="00BE1142" w:rsidRPr="00A47A2E">
              <w:rPr>
                <w:rFonts w:cstheme="minorHAnsi"/>
                <w:color w:val="000000"/>
                <w:lang w:val="en-US"/>
              </w:rPr>
              <w:t xml:space="preserve">. </w:t>
            </w:r>
            <w:r w:rsidR="007A0A0B" w:rsidRPr="00A47A2E">
              <w:rPr>
                <w:rFonts w:cstheme="minorHAnsi"/>
                <w:color w:val="000000"/>
                <w:lang w:val="en-US"/>
              </w:rPr>
              <w:t xml:space="preserve">This </w:t>
            </w:r>
            <w:r w:rsidR="00763881" w:rsidRPr="00A47A2E">
              <w:rPr>
                <w:rFonts w:cstheme="minorHAnsi"/>
                <w:color w:val="000000"/>
                <w:lang w:val="en-US"/>
              </w:rPr>
              <w:t xml:space="preserve">is </w:t>
            </w:r>
            <w:r w:rsidR="007A0A0B" w:rsidRPr="00A47A2E">
              <w:rPr>
                <w:rFonts w:cstheme="minorHAnsi"/>
                <w:color w:val="000000"/>
                <w:lang w:val="en-US"/>
              </w:rPr>
              <w:t>especially relevant</w:t>
            </w:r>
            <w:r w:rsidR="00586245">
              <w:rPr>
                <w:rFonts w:cstheme="minorHAnsi"/>
                <w:color w:val="000000"/>
                <w:lang w:val="en-US"/>
              </w:rPr>
              <w:t>,</w:t>
            </w:r>
            <w:r w:rsidR="007A0A0B" w:rsidRPr="00A47A2E">
              <w:rPr>
                <w:rFonts w:cstheme="minorHAnsi"/>
                <w:color w:val="000000"/>
                <w:lang w:val="en-US"/>
              </w:rPr>
              <w:t xml:space="preserve"> given </w:t>
            </w:r>
            <w:r w:rsidR="00763881" w:rsidRPr="00A47A2E">
              <w:rPr>
                <w:rFonts w:cstheme="minorHAnsi"/>
                <w:color w:val="000000"/>
                <w:lang w:val="en-US"/>
              </w:rPr>
              <w:t>the Romanian lab</w:t>
            </w:r>
            <w:r w:rsidR="00264104" w:rsidRPr="00A47A2E">
              <w:rPr>
                <w:rFonts w:cstheme="minorHAnsi"/>
                <w:color w:val="000000"/>
                <w:lang w:val="en-US"/>
              </w:rPr>
              <w:t>or market</w:t>
            </w:r>
            <w:r w:rsidR="00586245">
              <w:rPr>
                <w:rFonts w:cstheme="minorHAnsi"/>
                <w:color w:val="000000"/>
                <w:lang w:val="en-US"/>
              </w:rPr>
              <w:t>’s</w:t>
            </w:r>
            <w:r w:rsidR="00264104" w:rsidRPr="00A47A2E">
              <w:rPr>
                <w:rFonts w:cstheme="minorHAnsi"/>
                <w:color w:val="000000"/>
                <w:lang w:val="en-US"/>
              </w:rPr>
              <w:t xml:space="preserve"> structural rigidities</w:t>
            </w:r>
            <w:r w:rsidR="00586245">
              <w:rPr>
                <w:rFonts w:cstheme="minorHAnsi"/>
                <w:color w:val="000000"/>
                <w:lang w:val="en-US"/>
              </w:rPr>
              <w:t xml:space="preserve">, </w:t>
            </w:r>
            <w:r w:rsidR="00264104" w:rsidRPr="00A47A2E">
              <w:rPr>
                <w:rFonts w:cstheme="minorHAnsi"/>
                <w:color w:val="000000"/>
                <w:lang w:val="en-US"/>
              </w:rPr>
              <w:t>with</w:t>
            </w:r>
            <w:r w:rsidR="00763881" w:rsidRPr="00A47A2E">
              <w:rPr>
                <w:rFonts w:cstheme="minorHAnsi"/>
                <w:color w:val="000000"/>
                <w:lang w:val="en-US"/>
              </w:rPr>
              <w:t xml:space="preserve"> </w:t>
            </w:r>
            <w:r w:rsidR="007A0A0B" w:rsidRPr="00A47A2E">
              <w:rPr>
                <w:rFonts w:cstheme="minorHAnsi"/>
                <w:color w:val="000000"/>
                <w:lang w:val="en-US"/>
              </w:rPr>
              <w:t>youth unemployment at 20</w:t>
            </w:r>
            <w:r w:rsidR="00810BC5" w:rsidRPr="00A47A2E">
              <w:rPr>
                <w:rFonts w:cstheme="minorHAnsi"/>
                <w:color w:val="000000"/>
                <w:lang w:val="en-US"/>
              </w:rPr>
              <w:t>.6 percent</w:t>
            </w:r>
            <w:r w:rsidR="00586245">
              <w:rPr>
                <w:rFonts w:cstheme="minorHAnsi"/>
                <w:color w:val="000000"/>
                <w:lang w:val="en-US"/>
              </w:rPr>
              <w:t>—</w:t>
            </w:r>
            <w:r w:rsidR="00264104" w:rsidRPr="00A47A2E">
              <w:rPr>
                <w:rFonts w:cstheme="minorHAnsi"/>
                <w:color w:val="000000"/>
                <w:lang w:val="en-US"/>
              </w:rPr>
              <w:t>much higher than</w:t>
            </w:r>
            <w:r w:rsidR="00763881" w:rsidRPr="00A47A2E">
              <w:rPr>
                <w:rFonts w:cstheme="minorHAnsi"/>
                <w:color w:val="000000"/>
                <w:lang w:val="en-US"/>
              </w:rPr>
              <w:t xml:space="preserve"> </w:t>
            </w:r>
            <w:r w:rsidR="00810BC5" w:rsidRPr="00A47A2E">
              <w:rPr>
                <w:rFonts w:cstheme="minorHAnsi"/>
                <w:color w:val="000000"/>
                <w:lang w:val="en-US"/>
              </w:rPr>
              <w:t>total unemployment at 5.9 percent</w:t>
            </w:r>
            <w:r w:rsidR="00763881" w:rsidRPr="00A47A2E">
              <w:rPr>
                <w:rFonts w:cstheme="minorHAnsi"/>
                <w:color w:val="000000"/>
                <w:lang w:val="en-US"/>
              </w:rPr>
              <w:t xml:space="preserve"> </w:t>
            </w:r>
            <w:r w:rsidR="00810BC5" w:rsidRPr="00A47A2E">
              <w:rPr>
                <w:rFonts w:cstheme="minorHAnsi"/>
                <w:color w:val="000000"/>
                <w:lang w:val="en-US"/>
              </w:rPr>
              <w:t xml:space="preserve">as of 2016. </w:t>
            </w:r>
          </w:p>
          <w:p w14:paraId="04B92755" w14:textId="2A21F117" w:rsidR="00763881" w:rsidRPr="00A47A2E" w:rsidRDefault="00EB54E3" w:rsidP="00ED34BE">
            <w:pPr>
              <w:jc w:val="both"/>
              <w:rPr>
                <w:rFonts w:cstheme="minorHAnsi"/>
                <w:color w:val="000000"/>
                <w:lang w:val="en-US"/>
              </w:rPr>
            </w:pPr>
            <w:r w:rsidRPr="00A47A2E">
              <w:rPr>
                <w:rFonts w:cstheme="minorHAnsi"/>
                <w:b/>
                <w:color w:val="000000"/>
                <w:lang w:val="en-US"/>
              </w:rPr>
              <w:t>Internship and traineeship programs, job opportunities and</w:t>
            </w:r>
            <w:r w:rsidR="00C40A61" w:rsidRPr="00A47A2E">
              <w:rPr>
                <w:rFonts w:cstheme="minorHAnsi"/>
                <w:b/>
                <w:color w:val="000000"/>
                <w:lang w:val="en-US"/>
              </w:rPr>
              <w:t xml:space="preserve"> </w:t>
            </w:r>
            <w:r w:rsidR="001E6A09" w:rsidRPr="00A47A2E">
              <w:rPr>
                <w:rFonts w:cstheme="minorHAnsi"/>
                <w:b/>
                <w:color w:val="000000"/>
                <w:lang w:val="en-US"/>
              </w:rPr>
              <w:t xml:space="preserve">proximity to the family </w:t>
            </w:r>
            <w:r w:rsidR="00C40A61" w:rsidRPr="00A47A2E">
              <w:rPr>
                <w:rFonts w:cstheme="minorHAnsi"/>
                <w:b/>
                <w:color w:val="000000"/>
                <w:lang w:val="en-US"/>
              </w:rPr>
              <w:t>are the most important factors</w:t>
            </w:r>
            <w:r w:rsidR="00ED34BE" w:rsidRPr="00A47A2E">
              <w:rPr>
                <w:rFonts w:cstheme="minorHAnsi"/>
                <w:b/>
                <w:color w:val="000000"/>
                <w:lang w:val="en-US"/>
              </w:rPr>
              <w:t xml:space="preserve"> </w:t>
            </w:r>
            <w:r w:rsidR="00586245">
              <w:rPr>
                <w:rFonts w:cstheme="minorHAnsi"/>
                <w:b/>
                <w:color w:val="000000"/>
                <w:lang w:val="en-US"/>
              </w:rPr>
              <w:t>that</w:t>
            </w:r>
            <w:r w:rsidR="00586245" w:rsidRPr="00A47A2E">
              <w:rPr>
                <w:rFonts w:cstheme="minorHAnsi"/>
                <w:b/>
                <w:color w:val="000000"/>
                <w:lang w:val="en-US"/>
              </w:rPr>
              <w:t xml:space="preserve"> </w:t>
            </w:r>
            <w:r w:rsidR="00ED34BE" w:rsidRPr="00A47A2E">
              <w:rPr>
                <w:rFonts w:cstheme="minorHAnsi"/>
                <w:b/>
                <w:color w:val="000000"/>
                <w:lang w:val="en-US"/>
              </w:rPr>
              <w:t>would motivate</w:t>
            </w:r>
            <w:r w:rsidR="00C40A61" w:rsidRPr="00A47A2E">
              <w:rPr>
                <w:rFonts w:cstheme="minorHAnsi"/>
                <w:b/>
                <w:color w:val="000000"/>
                <w:lang w:val="en-US"/>
              </w:rPr>
              <w:t xml:space="preserve"> students</w:t>
            </w:r>
            <w:r w:rsidR="00763881" w:rsidRPr="00A47A2E">
              <w:rPr>
                <w:rFonts w:cstheme="minorHAnsi"/>
                <w:b/>
                <w:color w:val="000000"/>
                <w:lang w:val="en-US"/>
              </w:rPr>
              <w:t xml:space="preserve"> to</w:t>
            </w:r>
            <w:r w:rsidR="001E6A09" w:rsidRPr="00A47A2E">
              <w:rPr>
                <w:rFonts w:cstheme="minorHAnsi"/>
                <w:b/>
                <w:color w:val="000000"/>
                <w:lang w:val="en-US"/>
              </w:rPr>
              <w:t xml:space="preserve"> return and work in Romania. </w:t>
            </w:r>
            <w:r w:rsidR="001E6A09" w:rsidRPr="00A47A2E">
              <w:rPr>
                <w:rFonts w:cstheme="minorHAnsi"/>
                <w:color w:val="000000"/>
                <w:lang w:val="en-US"/>
              </w:rPr>
              <w:t xml:space="preserve">Apart from the proximity to the </w:t>
            </w:r>
            <w:r w:rsidRPr="00A47A2E">
              <w:rPr>
                <w:rFonts w:cstheme="minorHAnsi"/>
                <w:color w:val="000000"/>
                <w:lang w:val="en-US"/>
              </w:rPr>
              <w:t>family,</w:t>
            </w:r>
            <w:r w:rsidR="001E6A09" w:rsidRPr="00A47A2E">
              <w:rPr>
                <w:rFonts w:cstheme="minorHAnsi"/>
                <w:color w:val="000000"/>
                <w:lang w:val="en-US"/>
              </w:rPr>
              <w:t xml:space="preserve"> the other motivating factors reflect </w:t>
            </w:r>
            <w:r w:rsidRPr="00A47A2E">
              <w:rPr>
                <w:rFonts w:cstheme="minorHAnsi"/>
                <w:color w:val="000000"/>
                <w:lang w:val="en-US"/>
              </w:rPr>
              <w:t>labor market requirements.</w:t>
            </w:r>
            <w:r w:rsidR="00C905BC" w:rsidRPr="00A47A2E">
              <w:rPr>
                <w:rFonts w:cstheme="minorHAnsi"/>
                <w:color w:val="000000"/>
                <w:lang w:val="en-US"/>
              </w:rPr>
              <w:t xml:space="preserve"> When asked if they are </w:t>
            </w:r>
            <w:r w:rsidR="00C905BC" w:rsidRPr="00A47A2E">
              <w:rPr>
                <w:rFonts w:cstheme="minorHAnsi"/>
                <w:color w:val="000000"/>
                <w:lang w:val="en-US"/>
              </w:rPr>
              <w:lastRenderedPageBreak/>
              <w:t>interested in</w:t>
            </w:r>
            <w:r w:rsidR="00153DC2" w:rsidRPr="00A47A2E">
              <w:rPr>
                <w:rFonts w:cstheme="minorHAnsi"/>
                <w:color w:val="000000"/>
                <w:lang w:val="en-US"/>
              </w:rPr>
              <w:t xml:space="preserve"> a</w:t>
            </w:r>
            <w:r w:rsidR="00C905BC" w:rsidRPr="00A47A2E">
              <w:rPr>
                <w:rFonts w:cstheme="minorHAnsi"/>
                <w:color w:val="000000"/>
                <w:lang w:val="en-US"/>
              </w:rPr>
              <w:t xml:space="preserve"> job, internship</w:t>
            </w:r>
            <w:r w:rsidR="00586245">
              <w:rPr>
                <w:rFonts w:cstheme="minorHAnsi"/>
                <w:color w:val="000000"/>
                <w:lang w:val="en-US"/>
              </w:rPr>
              <w:t>,</w:t>
            </w:r>
            <w:r w:rsidR="00C905BC" w:rsidRPr="00A47A2E">
              <w:rPr>
                <w:rFonts w:cstheme="minorHAnsi"/>
                <w:color w:val="000000"/>
                <w:lang w:val="en-US"/>
              </w:rPr>
              <w:t xml:space="preserve"> or traineeship in Romania or abroad</w:t>
            </w:r>
            <w:r w:rsidR="00586245">
              <w:rPr>
                <w:rFonts w:cstheme="minorHAnsi"/>
                <w:color w:val="000000"/>
                <w:lang w:val="en-US"/>
              </w:rPr>
              <w:t>,</w:t>
            </w:r>
            <w:r w:rsidR="00C905BC" w:rsidRPr="00A47A2E">
              <w:rPr>
                <w:rFonts w:cstheme="minorHAnsi"/>
                <w:color w:val="000000"/>
                <w:lang w:val="en-US"/>
              </w:rPr>
              <w:t xml:space="preserve"> a large majority preferred </w:t>
            </w:r>
            <w:r w:rsidR="00E61D63" w:rsidRPr="00A47A2E">
              <w:rPr>
                <w:rFonts w:cstheme="minorHAnsi"/>
                <w:color w:val="000000"/>
                <w:lang w:val="en-US"/>
              </w:rPr>
              <w:t>the</w:t>
            </w:r>
            <w:r w:rsidR="00C905BC" w:rsidRPr="00A47A2E">
              <w:rPr>
                <w:rFonts w:cstheme="minorHAnsi"/>
                <w:color w:val="000000"/>
                <w:lang w:val="en-US"/>
              </w:rPr>
              <w:t xml:space="preserve"> opportunities available abroad. </w:t>
            </w:r>
            <w:r w:rsidR="00ED34BE" w:rsidRPr="00A47A2E">
              <w:rPr>
                <w:rFonts w:cstheme="minorHAnsi"/>
                <w:color w:val="000000"/>
                <w:lang w:val="en-US"/>
              </w:rPr>
              <w:t xml:space="preserve">This is consistent with the need to create labor market incentives for lifelong learning. </w:t>
            </w:r>
            <w:r w:rsidR="00E61D63" w:rsidRPr="00A47A2E">
              <w:rPr>
                <w:rFonts w:cstheme="minorHAnsi"/>
                <w:color w:val="000000"/>
                <w:lang w:val="en-US"/>
              </w:rPr>
              <w:t>Roman</w:t>
            </w:r>
            <w:r w:rsidR="00ED34BE" w:rsidRPr="00A47A2E">
              <w:rPr>
                <w:rFonts w:cstheme="minorHAnsi"/>
                <w:color w:val="000000"/>
                <w:lang w:val="en-US"/>
              </w:rPr>
              <w:t>ia ranked</w:t>
            </w:r>
            <w:r w:rsidR="00E61D63" w:rsidRPr="00A47A2E">
              <w:rPr>
                <w:rFonts w:cstheme="minorHAnsi"/>
                <w:color w:val="000000"/>
                <w:lang w:val="en-US"/>
              </w:rPr>
              <w:t xml:space="preserve"> last </w:t>
            </w:r>
            <w:r w:rsidR="00ED34BE" w:rsidRPr="00A47A2E">
              <w:rPr>
                <w:rFonts w:cstheme="minorHAnsi"/>
                <w:color w:val="000000"/>
                <w:lang w:val="en-US"/>
              </w:rPr>
              <w:t xml:space="preserve">in 2016 </w:t>
            </w:r>
            <w:r w:rsidR="00E61D63" w:rsidRPr="00A47A2E">
              <w:rPr>
                <w:rFonts w:cstheme="minorHAnsi"/>
                <w:color w:val="000000"/>
                <w:lang w:val="en-US"/>
              </w:rPr>
              <w:t>in terms of adult participation in lifelong learning,</w:t>
            </w:r>
            <w:r w:rsidR="00ED34BE" w:rsidRPr="00A47A2E">
              <w:rPr>
                <w:rFonts w:cstheme="minorHAnsi"/>
                <w:color w:val="000000"/>
                <w:lang w:val="en-US"/>
              </w:rPr>
              <w:t xml:space="preserve"> with only 7 percent</w:t>
            </w:r>
            <w:r w:rsidR="00E61D63" w:rsidRPr="00A47A2E">
              <w:rPr>
                <w:rFonts w:cstheme="minorHAnsi"/>
                <w:color w:val="000000"/>
                <w:lang w:val="en-US"/>
              </w:rPr>
              <w:t xml:space="preserve"> of the population age</w:t>
            </w:r>
            <w:r w:rsidR="00586245">
              <w:rPr>
                <w:rFonts w:cstheme="minorHAnsi"/>
                <w:color w:val="000000"/>
                <w:lang w:val="en-US"/>
              </w:rPr>
              <w:t>s</w:t>
            </w:r>
            <w:r w:rsidR="00E61D63" w:rsidRPr="00A47A2E">
              <w:rPr>
                <w:rFonts w:cstheme="minorHAnsi"/>
                <w:color w:val="000000"/>
                <w:lang w:val="en-US"/>
              </w:rPr>
              <w:t xml:space="preserve"> 25 to 64 participating in education and training, compared </w:t>
            </w:r>
            <w:r w:rsidR="00586245">
              <w:rPr>
                <w:rFonts w:cstheme="minorHAnsi"/>
                <w:color w:val="000000"/>
                <w:lang w:val="en-US"/>
              </w:rPr>
              <w:t>with</w:t>
            </w:r>
            <w:r w:rsidR="00586245" w:rsidRPr="00A47A2E">
              <w:rPr>
                <w:rFonts w:cstheme="minorHAnsi"/>
                <w:color w:val="000000"/>
                <w:lang w:val="en-US"/>
              </w:rPr>
              <w:t xml:space="preserve"> </w:t>
            </w:r>
            <w:r w:rsidR="00ED34BE" w:rsidRPr="00A47A2E">
              <w:rPr>
                <w:rFonts w:cstheme="minorHAnsi"/>
                <w:color w:val="000000"/>
                <w:lang w:val="en-US"/>
              </w:rPr>
              <w:t>the EU</w:t>
            </w:r>
            <w:r w:rsidR="00264104" w:rsidRPr="00A47A2E">
              <w:rPr>
                <w:rFonts w:cstheme="minorHAnsi"/>
                <w:color w:val="000000"/>
                <w:lang w:val="en-US"/>
              </w:rPr>
              <w:t>28</w:t>
            </w:r>
            <w:r w:rsidR="00ED34BE" w:rsidRPr="00A47A2E">
              <w:rPr>
                <w:rFonts w:cstheme="minorHAnsi"/>
                <w:color w:val="000000"/>
                <w:lang w:val="en-US"/>
              </w:rPr>
              <w:t xml:space="preserve"> average of 16.6 percent. </w:t>
            </w:r>
          </w:p>
          <w:p w14:paraId="4E269912" w14:textId="4CE9AFB3" w:rsidR="00153DC2" w:rsidRPr="00A47A2E" w:rsidRDefault="00EB54E3" w:rsidP="00586245">
            <w:pPr>
              <w:jc w:val="both"/>
              <w:rPr>
                <w:rFonts w:cstheme="minorHAnsi"/>
                <w:b/>
                <w:color w:val="000000"/>
                <w:lang w:val="en-US"/>
              </w:rPr>
            </w:pPr>
            <w:r w:rsidRPr="00A47A2E">
              <w:rPr>
                <w:rFonts w:cstheme="minorHAnsi"/>
                <w:b/>
                <w:color w:val="000000"/>
                <w:lang w:val="en-US"/>
              </w:rPr>
              <w:t>The political environment</w:t>
            </w:r>
            <w:r w:rsidR="00763881" w:rsidRPr="00A47A2E">
              <w:rPr>
                <w:rFonts w:cstheme="minorHAnsi"/>
                <w:b/>
                <w:color w:val="000000"/>
                <w:lang w:val="en-US"/>
              </w:rPr>
              <w:t xml:space="preserve"> </w:t>
            </w:r>
            <w:r w:rsidRPr="00A47A2E">
              <w:rPr>
                <w:rFonts w:cstheme="minorHAnsi"/>
                <w:b/>
                <w:color w:val="000000"/>
                <w:lang w:val="en-US"/>
              </w:rPr>
              <w:t xml:space="preserve">and full recognition of diplomas </w:t>
            </w:r>
            <w:r w:rsidR="00763881" w:rsidRPr="00A47A2E">
              <w:rPr>
                <w:rFonts w:cstheme="minorHAnsi"/>
                <w:b/>
                <w:color w:val="000000"/>
                <w:lang w:val="en-US"/>
              </w:rPr>
              <w:t xml:space="preserve">are </w:t>
            </w:r>
            <w:r w:rsidRPr="00A47A2E">
              <w:rPr>
                <w:rFonts w:cstheme="minorHAnsi"/>
                <w:b/>
                <w:color w:val="000000"/>
                <w:lang w:val="en-US"/>
              </w:rPr>
              <w:t xml:space="preserve">among </w:t>
            </w:r>
            <w:r w:rsidR="00763881" w:rsidRPr="00A47A2E">
              <w:rPr>
                <w:rFonts w:cstheme="minorHAnsi"/>
                <w:b/>
                <w:color w:val="000000"/>
                <w:lang w:val="en-US"/>
              </w:rPr>
              <w:t>the most im</w:t>
            </w:r>
            <w:r w:rsidRPr="00A47A2E">
              <w:rPr>
                <w:rFonts w:cstheme="minorHAnsi"/>
                <w:b/>
                <w:color w:val="000000"/>
                <w:lang w:val="en-US"/>
              </w:rPr>
              <w:t xml:space="preserve">portant obstacles </w:t>
            </w:r>
            <w:r w:rsidR="00763881" w:rsidRPr="00A47A2E">
              <w:rPr>
                <w:rFonts w:cstheme="minorHAnsi"/>
                <w:b/>
                <w:color w:val="000000"/>
                <w:lang w:val="en-US"/>
              </w:rPr>
              <w:t>to re</w:t>
            </w:r>
            <w:r w:rsidR="00C905BC" w:rsidRPr="00A47A2E">
              <w:rPr>
                <w:rFonts w:cstheme="minorHAnsi"/>
                <w:b/>
                <w:color w:val="000000"/>
                <w:lang w:val="en-US"/>
              </w:rPr>
              <w:t xml:space="preserve">turn and work in Romania. </w:t>
            </w:r>
            <w:r w:rsidR="00C905BC" w:rsidRPr="00A47A2E">
              <w:rPr>
                <w:rFonts w:cstheme="minorHAnsi"/>
                <w:color w:val="000000"/>
                <w:lang w:val="en-US"/>
              </w:rPr>
              <w:t>The obstacles reflect institutional requirements.</w:t>
            </w:r>
            <w:r w:rsidR="00C905BC" w:rsidRPr="00A47A2E">
              <w:rPr>
                <w:rFonts w:cstheme="minorHAnsi"/>
                <w:b/>
                <w:color w:val="000000"/>
                <w:lang w:val="en-US"/>
              </w:rPr>
              <w:t xml:space="preserve"> </w:t>
            </w:r>
            <w:r w:rsidR="00D30646" w:rsidRPr="00A47A2E">
              <w:rPr>
                <w:rFonts w:cs="Arial"/>
                <w:lang w:val="en-US"/>
              </w:rPr>
              <w:t>Romania lags</w:t>
            </w:r>
            <w:r w:rsidR="00153DC2" w:rsidRPr="00A47A2E">
              <w:rPr>
                <w:rFonts w:cs="Arial"/>
                <w:lang w:val="en-US"/>
              </w:rPr>
              <w:t xml:space="preserve"> behind</w:t>
            </w:r>
            <w:r w:rsidR="00D30646" w:rsidRPr="00A47A2E">
              <w:rPr>
                <w:rFonts w:cs="Arial"/>
                <w:lang w:val="en-US"/>
              </w:rPr>
              <w:t xml:space="preserve"> in several dimensions of governance compared </w:t>
            </w:r>
            <w:r w:rsidR="00586245">
              <w:rPr>
                <w:rFonts w:cs="Arial"/>
                <w:lang w:val="en-US"/>
              </w:rPr>
              <w:t>with</w:t>
            </w:r>
            <w:r w:rsidR="00586245" w:rsidRPr="00A47A2E">
              <w:rPr>
                <w:rFonts w:cs="Arial"/>
                <w:lang w:val="en-US"/>
              </w:rPr>
              <w:t xml:space="preserve"> </w:t>
            </w:r>
            <w:r w:rsidR="00D30646" w:rsidRPr="00A47A2E">
              <w:rPr>
                <w:rFonts w:cs="Arial"/>
                <w:lang w:val="en-US"/>
              </w:rPr>
              <w:t>EU27 (W</w:t>
            </w:r>
            <w:r w:rsidR="00D30646" w:rsidRPr="00A47A2E">
              <w:rPr>
                <w:rFonts w:cstheme="minorHAnsi"/>
                <w:color w:val="000000"/>
                <w:lang w:val="en-US"/>
              </w:rPr>
              <w:t>orld Governance Indicators 2016), mainly in terms of control of corruption and government effectiveness.</w:t>
            </w:r>
            <w:r w:rsidR="00D30646" w:rsidRPr="00A47A2E">
              <w:rPr>
                <w:rFonts w:cstheme="minorHAnsi"/>
                <w:b/>
                <w:color w:val="000000"/>
                <w:lang w:val="en-US"/>
              </w:rPr>
              <w:t xml:space="preserve"> </w:t>
            </w:r>
            <w:r w:rsidR="00D30646" w:rsidRPr="00A47A2E">
              <w:rPr>
                <w:rFonts w:cstheme="minorHAnsi"/>
                <w:color w:val="000000"/>
                <w:lang w:val="en-US"/>
              </w:rPr>
              <w:t>This showcase</w:t>
            </w:r>
            <w:r w:rsidR="00586245">
              <w:rPr>
                <w:rFonts w:cstheme="minorHAnsi"/>
                <w:color w:val="000000"/>
                <w:lang w:val="en-US"/>
              </w:rPr>
              <w:t>s</w:t>
            </w:r>
            <w:r w:rsidR="00D30646" w:rsidRPr="00A47A2E">
              <w:rPr>
                <w:rFonts w:cstheme="minorHAnsi"/>
                <w:color w:val="000000"/>
                <w:lang w:val="en-US"/>
              </w:rPr>
              <w:t xml:space="preserve"> the need for improving the institutional environment to make Romania more attractive for </w:t>
            </w:r>
            <w:r w:rsidR="00EF22BB" w:rsidRPr="00A47A2E">
              <w:rPr>
                <w:rFonts w:cstheme="minorHAnsi"/>
                <w:color w:val="000000"/>
                <w:lang w:val="en-US"/>
              </w:rPr>
              <w:t xml:space="preserve">the </w:t>
            </w:r>
            <w:r w:rsidR="00D30646" w:rsidRPr="00A47A2E">
              <w:rPr>
                <w:rFonts w:cstheme="minorHAnsi"/>
                <w:color w:val="000000"/>
                <w:lang w:val="en-US"/>
              </w:rPr>
              <w:t>high-skilled labor force</w:t>
            </w:r>
            <w:r w:rsidR="00EF22BB" w:rsidRPr="00A47A2E">
              <w:rPr>
                <w:rFonts w:cstheme="minorHAnsi"/>
                <w:color w:val="000000"/>
                <w:lang w:val="en-US"/>
              </w:rPr>
              <w:t xml:space="preserve"> studying and</w:t>
            </w:r>
            <w:r w:rsidR="00D30646" w:rsidRPr="00A47A2E">
              <w:rPr>
                <w:rFonts w:cstheme="minorHAnsi"/>
                <w:color w:val="000000"/>
                <w:lang w:val="en-US"/>
              </w:rPr>
              <w:t xml:space="preserve"> working abroad.</w:t>
            </w:r>
            <w:r w:rsidR="00D30646" w:rsidRPr="00A47A2E">
              <w:rPr>
                <w:rFonts w:cstheme="minorHAnsi"/>
                <w:b/>
                <w:color w:val="000000"/>
                <w:lang w:val="en-US"/>
              </w:rPr>
              <w:t xml:space="preserve"> </w:t>
            </w:r>
          </w:p>
        </w:tc>
      </w:tr>
    </w:tbl>
    <w:p w14:paraId="5908C0F1" w14:textId="77777777" w:rsidR="006F0B13" w:rsidRPr="006F0B13" w:rsidRDefault="006F0B13" w:rsidP="006F0B13">
      <w:pPr>
        <w:pStyle w:val="ListParagraph"/>
        <w:spacing w:after="240" w:line="240" w:lineRule="auto"/>
        <w:ind w:left="0"/>
        <w:contextualSpacing w:val="0"/>
        <w:jc w:val="both"/>
        <w:rPr>
          <w:rFonts w:eastAsia="Times New Roman" w:cstheme="minorHAnsi"/>
          <w:lang w:val="en-US"/>
        </w:rPr>
      </w:pPr>
      <w:bookmarkStart w:id="33" w:name="_Hlk511302909"/>
    </w:p>
    <w:p w14:paraId="6143D7D6" w14:textId="3824060C" w:rsidR="00A841CD" w:rsidRDefault="0042482C" w:rsidP="00D159E9">
      <w:pPr>
        <w:pStyle w:val="ListParagraph"/>
        <w:numPr>
          <w:ilvl w:val="2"/>
          <w:numId w:val="7"/>
        </w:numPr>
        <w:spacing w:after="240" w:line="240" w:lineRule="auto"/>
        <w:contextualSpacing w:val="0"/>
        <w:jc w:val="both"/>
        <w:rPr>
          <w:rFonts w:eastAsia="Times New Roman" w:cstheme="minorHAnsi"/>
          <w:lang w:val="en-US"/>
        </w:rPr>
      </w:pPr>
      <w:r w:rsidRPr="00774638">
        <w:rPr>
          <w:rFonts w:eastAsia="Times New Roman" w:cstheme="minorHAnsi"/>
          <w:b/>
          <w:lang w:val="en-US"/>
        </w:rPr>
        <w:t>However, the overall impac</w:t>
      </w:r>
      <w:r w:rsidR="00F72A4B">
        <w:rPr>
          <w:rFonts w:eastAsia="Times New Roman" w:cstheme="minorHAnsi"/>
          <w:b/>
          <w:lang w:val="en-US"/>
        </w:rPr>
        <w:t>t of migration</w:t>
      </w:r>
      <w:r w:rsidRPr="00774638">
        <w:rPr>
          <w:rFonts w:eastAsia="Times New Roman" w:cstheme="minorHAnsi"/>
          <w:b/>
          <w:lang w:val="en-US"/>
        </w:rPr>
        <w:t xml:space="preserve"> on </w:t>
      </w:r>
      <w:r w:rsidR="00815882">
        <w:rPr>
          <w:rFonts w:eastAsia="Times New Roman" w:cstheme="minorHAnsi"/>
          <w:b/>
          <w:lang w:val="en-US"/>
        </w:rPr>
        <w:t>economic</w:t>
      </w:r>
      <w:r w:rsidR="00D33EA8" w:rsidRPr="00884B97">
        <w:rPr>
          <w:rFonts w:eastAsia="Times New Roman" w:cstheme="minorHAnsi"/>
          <w:b/>
          <w:lang w:val="en-US"/>
        </w:rPr>
        <w:t xml:space="preserve"> growth </w:t>
      </w:r>
      <w:r w:rsidR="00D33EA8">
        <w:rPr>
          <w:rFonts w:eastAsia="Times New Roman" w:cstheme="minorHAnsi"/>
          <w:b/>
          <w:lang w:val="en-US"/>
        </w:rPr>
        <w:t>was</w:t>
      </w:r>
      <w:r w:rsidRPr="00774638">
        <w:rPr>
          <w:rFonts w:eastAsia="Times New Roman" w:cstheme="minorHAnsi"/>
          <w:b/>
          <w:lang w:val="en-US"/>
        </w:rPr>
        <w:t xml:space="preserve"> mixed</w:t>
      </w:r>
      <w:r>
        <w:rPr>
          <w:rFonts w:eastAsia="Times New Roman" w:cstheme="minorHAnsi"/>
          <w:lang w:val="en-US"/>
        </w:rPr>
        <w:t xml:space="preserve">. </w:t>
      </w:r>
      <w:r w:rsidR="00BB1D4F">
        <w:rPr>
          <w:rFonts w:eastAsia="Times New Roman" w:cstheme="minorHAnsi"/>
          <w:lang w:val="en-US"/>
        </w:rPr>
        <w:t xml:space="preserve">Returning Romanian migrants had a positive impact on labor productivity (Léon-Ledesma and Piracha </w:t>
      </w:r>
      <w:r w:rsidR="00BB1D4F" w:rsidRPr="00BB1D4F">
        <w:rPr>
          <w:rFonts w:eastAsia="Times New Roman" w:cstheme="minorHAnsi"/>
          <w:lang w:val="en-US"/>
        </w:rPr>
        <w:t>2004</w:t>
      </w:r>
      <w:r w:rsidR="007A3618">
        <w:rPr>
          <w:rFonts w:eastAsia="Times New Roman" w:cstheme="minorHAnsi"/>
          <w:lang w:val="en-US"/>
        </w:rPr>
        <w:t xml:space="preserve">, </w:t>
      </w:r>
      <w:r w:rsidR="007A3618" w:rsidRPr="00242B25">
        <w:rPr>
          <w:rFonts w:eastAsia="Times New Roman" w:cstheme="minorHAnsi"/>
          <w:lang w:val="en-US"/>
        </w:rPr>
        <w:t>Am</w:t>
      </w:r>
      <w:r w:rsidR="00147D1A" w:rsidRPr="00242B25">
        <w:rPr>
          <w:rFonts w:eastAsia="Times New Roman" w:cstheme="minorHAnsi"/>
          <w:lang w:val="en-US"/>
        </w:rPr>
        <w:t>brosini et al</w:t>
      </w:r>
      <w:r w:rsidR="00122A5D" w:rsidRPr="00242B25">
        <w:rPr>
          <w:rFonts w:eastAsia="Times New Roman" w:cstheme="minorHAnsi"/>
          <w:lang w:val="en-US"/>
        </w:rPr>
        <w:t>.</w:t>
      </w:r>
      <w:r w:rsidR="00147D1A" w:rsidRPr="00242B25">
        <w:rPr>
          <w:rFonts w:eastAsia="Times New Roman" w:cstheme="minorHAnsi"/>
          <w:lang w:val="en-US"/>
        </w:rPr>
        <w:t xml:space="preserve"> 2012)</w:t>
      </w:r>
      <w:r w:rsidR="00BB1D4F" w:rsidRPr="00242B25">
        <w:rPr>
          <w:rFonts w:eastAsia="Times New Roman" w:cstheme="minorHAnsi"/>
          <w:lang w:val="en-US"/>
        </w:rPr>
        <w:t xml:space="preserve">, while remittances boosted </w:t>
      </w:r>
      <w:r w:rsidR="00EC462D" w:rsidRPr="00242B25">
        <w:rPr>
          <w:rFonts w:eastAsia="Times New Roman" w:cstheme="minorHAnsi"/>
          <w:lang w:val="en-US"/>
        </w:rPr>
        <w:t xml:space="preserve">investment (Léon-Ledesma and Piracha 2004, </w:t>
      </w:r>
      <w:r w:rsidR="009A2233" w:rsidRPr="00242B25">
        <w:rPr>
          <w:rFonts w:cstheme="minorHAnsi"/>
          <w:lang w:val="en-US"/>
        </w:rPr>
        <w:t>Radu and Epstein 2007</w:t>
      </w:r>
      <w:r w:rsidR="00E043D1" w:rsidRPr="00242B25">
        <w:rPr>
          <w:rFonts w:cstheme="minorHAnsi"/>
          <w:lang w:val="en-US"/>
        </w:rPr>
        <w:t xml:space="preserve">, Mereuta </w:t>
      </w:r>
      <w:r w:rsidR="00E043D1">
        <w:rPr>
          <w:rFonts w:cstheme="minorHAnsi"/>
          <w:color w:val="000000" w:themeColor="text1"/>
          <w:lang w:val="en-US"/>
        </w:rPr>
        <w:t>2012</w:t>
      </w:r>
      <w:r w:rsidR="00EC462D">
        <w:rPr>
          <w:rFonts w:cstheme="minorHAnsi"/>
          <w:color w:val="000000" w:themeColor="text1"/>
          <w:lang w:val="en-US"/>
        </w:rPr>
        <w:t xml:space="preserve">). </w:t>
      </w:r>
      <w:r w:rsidR="00D33EA8">
        <w:rPr>
          <w:rFonts w:cstheme="minorHAnsi"/>
          <w:color w:val="000000" w:themeColor="text1"/>
          <w:lang w:val="en-US"/>
        </w:rPr>
        <w:t>Nonetheless, remittances also had a negative impact</w:t>
      </w:r>
      <w:r w:rsidR="006124A4">
        <w:rPr>
          <w:rFonts w:cstheme="minorHAnsi"/>
          <w:color w:val="000000" w:themeColor="text1"/>
          <w:lang w:val="en-US"/>
        </w:rPr>
        <w:t>,</w:t>
      </w:r>
      <w:r w:rsidR="00787A2D">
        <w:rPr>
          <w:rFonts w:cstheme="minorHAnsi"/>
          <w:color w:val="000000" w:themeColor="text1"/>
          <w:lang w:val="en-US"/>
        </w:rPr>
        <w:t xml:space="preserve"> representing a second form of welfare affecting recipients’ willingness to work (Mereuta 2012). </w:t>
      </w:r>
      <w:r w:rsidR="008E51B3">
        <w:rPr>
          <w:rFonts w:cstheme="minorHAnsi"/>
          <w:color w:val="000000" w:themeColor="text1"/>
          <w:lang w:val="en-US"/>
        </w:rPr>
        <w:t>Skilled emigration played a key role in slowing output growth and income convergence.</w:t>
      </w:r>
      <w:r w:rsidR="00D33EA8">
        <w:rPr>
          <w:rFonts w:cstheme="minorHAnsi"/>
          <w:color w:val="000000" w:themeColor="text1"/>
          <w:lang w:val="en-US"/>
        </w:rPr>
        <w:t xml:space="preserve"> </w:t>
      </w:r>
      <w:r w:rsidR="006124A4">
        <w:rPr>
          <w:rFonts w:cstheme="minorHAnsi"/>
          <w:color w:val="000000" w:themeColor="text1"/>
          <w:lang w:val="en-US"/>
        </w:rPr>
        <w:t>An IMF (2016) study indicate</w:t>
      </w:r>
      <w:r w:rsidR="00586245">
        <w:rPr>
          <w:rFonts w:cstheme="minorHAnsi"/>
          <w:color w:val="000000" w:themeColor="text1"/>
          <w:lang w:val="en-US"/>
        </w:rPr>
        <w:t>d</w:t>
      </w:r>
      <w:r w:rsidR="006124A4">
        <w:rPr>
          <w:rFonts w:cstheme="minorHAnsi"/>
          <w:color w:val="000000" w:themeColor="text1"/>
          <w:lang w:val="en-US"/>
        </w:rPr>
        <w:t xml:space="preserve"> that c</w:t>
      </w:r>
      <w:r w:rsidR="00D33EA8">
        <w:rPr>
          <w:rFonts w:cstheme="minorHAnsi"/>
          <w:color w:val="000000" w:themeColor="text1"/>
          <w:lang w:val="en-US"/>
        </w:rPr>
        <w:t xml:space="preserve">umulative real GDP growth would have been around </w:t>
      </w:r>
      <w:r w:rsidR="00743AB2">
        <w:rPr>
          <w:rFonts w:cstheme="minorHAnsi"/>
          <w:color w:val="000000" w:themeColor="text1"/>
          <w:lang w:val="en-US"/>
        </w:rPr>
        <w:t>10</w:t>
      </w:r>
      <w:r w:rsidR="00D33EA8">
        <w:rPr>
          <w:rFonts w:cstheme="minorHAnsi"/>
          <w:color w:val="000000" w:themeColor="text1"/>
          <w:lang w:val="en-US"/>
        </w:rPr>
        <w:t xml:space="preserve"> percentage points higher on average in Romania in absence of emigration</w:t>
      </w:r>
      <w:r w:rsidR="006C7F96">
        <w:rPr>
          <w:rFonts w:cstheme="minorHAnsi"/>
          <w:color w:val="000000" w:themeColor="text1"/>
          <w:lang w:val="en-US"/>
        </w:rPr>
        <w:t xml:space="preserve"> (see Figure </w:t>
      </w:r>
      <w:r w:rsidR="007E033D">
        <w:rPr>
          <w:rFonts w:cstheme="minorHAnsi"/>
          <w:color w:val="000000" w:themeColor="text1"/>
          <w:lang w:val="en-US"/>
        </w:rPr>
        <w:t>8</w:t>
      </w:r>
      <w:r w:rsidR="006C7F96">
        <w:rPr>
          <w:rFonts w:cstheme="minorHAnsi"/>
          <w:color w:val="000000" w:themeColor="text1"/>
          <w:lang w:val="en-US"/>
        </w:rPr>
        <w:t>)</w:t>
      </w:r>
      <w:r w:rsidR="00D33EA8">
        <w:rPr>
          <w:rFonts w:cstheme="minorHAnsi"/>
          <w:color w:val="000000" w:themeColor="text1"/>
          <w:lang w:val="en-US"/>
        </w:rPr>
        <w:t xml:space="preserve">. Also, the per capita income gap between Romania and </w:t>
      </w:r>
      <w:r w:rsidR="00586245">
        <w:rPr>
          <w:rFonts w:cstheme="minorHAnsi"/>
          <w:color w:val="000000" w:themeColor="text1"/>
          <w:lang w:val="en-US"/>
        </w:rPr>
        <w:t xml:space="preserve">the </w:t>
      </w:r>
      <w:r w:rsidR="00D33EA8">
        <w:rPr>
          <w:rFonts w:cstheme="minorHAnsi"/>
          <w:color w:val="000000" w:themeColor="text1"/>
          <w:lang w:val="en-US"/>
        </w:rPr>
        <w:t xml:space="preserve">EU28 would have been reduced by </w:t>
      </w:r>
      <w:r w:rsidR="00586245">
        <w:rPr>
          <w:rFonts w:cstheme="minorHAnsi"/>
          <w:color w:val="000000" w:themeColor="text1"/>
          <w:lang w:val="en-US"/>
        </w:rPr>
        <w:t xml:space="preserve">about </w:t>
      </w:r>
      <w:r w:rsidR="00743AB2">
        <w:rPr>
          <w:rFonts w:cstheme="minorHAnsi"/>
          <w:color w:val="000000" w:themeColor="text1"/>
          <w:lang w:val="en-US"/>
        </w:rPr>
        <w:t>6.5</w:t>
      </w:r>
      <w:r w:rsidR="00D33EA8">
        <w:rPr>
          <w:rFonts w:cstheme="minorHAnsi"/>
          <w:color w:val="000000" w:themeColor="text1"/>
          <w:lang w:val="en-US"/>
        </w:rPr>
        <w:t xml:space="preserve"> percentage points</w:t>
      </w:r>
      <w:r w:rsidR="00CC0ED2">
        <w:rPr>
          <w:rFonts w:cstheme="minorHAnsi"/>
          <w:color w:val="000000" w:themeColor="text1"/>
          <w:lang w:val="en-US"/>
        </w:rPr>
        <w:t xml:space="preserve"> in absence of emigration</w:t>
      </w:r>
      <w:r w:rsidR="006C7F96">
        <w:rPr>
          <w:rFonts w:cstheme="minorHAnsi"/>
          <w:color w:val="000000" w:themeColor="text1"/>
          <w:lang w:val="en-US"/>
        </w:rPr>
        <w:t xml:space="preserve"> (Figure </w:t>
      </w:r>
      <w:r w:rsidR="007E033D">
        <w:rPr>
          <w:rFonts w:cstheme="minorHAnsi"/>
          <w:color w:val="000000" w:themeColor="text1"/>
          <w:lang w:val="en-US"/>
        </w:rPr>
        <w:t>9</w:t>
      </w:r>
      <w:r w:rsidR="006C7F96">
        <w:rPr>
          <w:rFonts w:cstheme="minorHAnsi"/>
          <w:color w:val="000000" w:themeColor="text1"/>
          <w:lang w:val="en-US"/>
        </w:rPr>
        <w:t>)</w:t>
      </w:r>
      <w:r w:rsidR="00D33EA8">
        <w:rPr>
          <w:rFonts w:cstheme="minorHAnsi"/>
          <w:color w:val="000000" w:themeColor="text1"/>
          <w:lang w:val="en-US"/>
        </w:rPr>
        <w:t>.</w:t>
      </w:r>
      <w:r w:rsidR="002D4AEE" w:rsidRPr="00242B25">
        <w:rPr>
          <w:noProof/>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831"/>
      </w:tblGrid>
      <w:tr w:rsidR="002D4AEE" w:rsidRPr="00242B25" w14:paraId="52AA4BFD" w14:textId="77777777" w:rsidTr="00D159E9">
        <w:tc>
          <w:tcPr>
            <w:tcW w:w="4904" w:type="dxa"/>
          </w:tcPr>
          <w:p w14:paraId="66B4C754" w14:textId="7ED4DEE2" w:rsidR="008C5D13" w:rsidRPr="00586245" w:rsidRDefault="00AC5BA0" w:rsidP="007E033D">
            <w:pPr>
              <w:rPr>
                <w:rFonts w:eastAsia="Times New Roman" w:cstheme="minorHAnsi"/>
                <w:color w:val="1F4E79" w:themeColor="accent1" w:themeShade="80"/>
                <w:lang w:val="en-US"/>
              </w:rPr>
            </w:pPr>
            <w:bookmarkStart w:id="34" w:name="_Toc511409152"/>
            <w:r w:rsidRPr="00242B25">
              <w:rPr>
                <w:color w:val="1F4E79" w:themeColor="accent1" w:themeShade="80"/>
                <w:lang w:val="en-US"/>
              </w:rPr>
              <w:t xml:space="preserve">Figure </w:t>
            </w:r>
            <w:r w:rsidR="007E033D" w:rsidRPr="00242B25">
              <w:rPr>
                <w:color w:val="1F4E79" w:themeColor="accent1" w:themeShade="80"/>
                <w:lang w:val="en-US"/>
              </w:rPr>
              <w:t>8</w:t>
            </w:r>
            <w:r w:rsidRPr="00242B25">
              <w:rPr>
                <w:color w:val="1F4E79" w:themeColor="accent1" w:themeShade="80"/>
                <w:lang w:val="en-US"/>
              </w:rPr>
              <w:t xml:space="preserve">. </w:t>
            </w:r>
            <w:r w:rsidR="008C5D13" w:rsidRPr="00242B25">
              <w:rPr>
                <w:rFonts w:eastAsia="Times New Roman" w:cstheme="minorHAnsi"/>
                <w:color w:val="1F4E79" w:themeColor="accent1" w:themeShade="80"/>
                <w:lang w:val="en-US"/>
              </w:rPr>
              <w:t>Emigratio</w:t>
            </w:r>
            <w:r w:rsidR="000529E3" w:rsidRPr="00242B25">
              <w:rPr>
                <w:rFonts w:eastAsia="Times New Roman" w:cstheme="minorHAnsi"/>
                <w:color w:val="1F4E79" w:themeColor="accent1" w:themeShade="80"/>
                <w:lang w:val="en-US"/>
              </w:rPr>
              <w:t>n and real GDP g</w:t>
            </w:r>
            <w:r w:rsidR="00A841CD" w:rsidRPr="00242B25">
              <w:rPr>
                <w:rFonts w:eastAsia="Times New Roman" w:cstheme="minorHAnsi"/>
                <w:color w:val="1F4E79" w:themeColor="accent1" w:themeShade="80"/>
                <w:lang w:val="en-US"/>
              </w:rPr>
              <w:t>rowth</w:t>
            </w:r>
            <w:r w:rsidR="00025CDC" w:rsidRPr="00242B25">
              <w:rPr>
                <w:rFonts w:eastAsia="Times New Roman" w:cstheme="minorHAnsi"/>
                <w:color w:val="1F4E79" w:themeColor="accent1" w:themeShade="80"/>
                <w:lang w:val="en-US"/>
              </w:rPr>
              <w:t xml:space="preserve"> </w:t>
            </w:r>
            <w:r w:rsidR="00025CDC" w:rsidRPr="00242B25">
              <w:rPr>
                <w:rFonts w:eastAsia="Times New Roman" w:cstheme="minorHAnsi"/>
                <w:color w:val="1F4E79" w:themeColor="accent1" w:themeShade="80"/>
                <w:sz w:val="21"/>
                <w:szCs w:val="21"/>
                <w:lang w:val="en-US"/>
              </w:rPr>
              <w:t>(p</w:t>
            </w:r>
            <w:r w:rsidR="008C5D13" w:rsidRPr="00242B25">
              <w:rPr>
                <w:rFonts w:eastAsia="Times New Roman" w:cstheme="minorHAnsi"/>
                <w:color w:val="1F4E79" w:themeColor="accent1" w:themeShade="80"/>
                <w:sz w:val="21"/>
                <w:szCs w:val="21"/>
                <w:lang w:val="en-US"/>
              </w:rPr>
              <w:t>ercentage points; additional cumulative real GDP growth</w:t>
            </w:r>
            <w:r w:rsidR="00A841CD" w:rsidRPr="00242B25">
              <w:rPr>
                <w:rFonts w:eastAsia="Times New Roman" w:cstheme="minorHAnsi"/>
                <w:color w:val="1F4E79" w:themeColor="accent1" w:themeShade="80"/>
                <w:sz w:val="21"/>
                <w:szCs w:val="21"/>
                <w:lang w:val="en-US"/>
              </w:rPr>
              <w:t>, 1995</w:t>
            </w:r>
            <w:r w:rsidR="00586245">
              <w:rPr>
                <w:rFonts w:eastAsia="Times New Roman" w:cstheme="minorHAnsi"/>
                <w:color w:val="1F4E79" w:themeColor="accent1" w:themeShade="80"/>
                <w:sz w:val="21"/>
                <w:szCs w:val="21"/>
                <w:lang w:val="en-US"/>
              </w:rPr>
              <w:t>–</w:t>
            </w:r>
            <w:r w:rsidR="00A841CD" w:rsidRPr="00242B25">
              <w:rPr>
                <w:rFonts w:eastAsia="Times New Roman" w:cstheme="minorHAnsi"/>
                <w:color w:val="1F4E79" w:themeColor="accent1" w:themeShade="80"/>
                <w:sz w:val="21"/>
                <w:szCs w:val="21"/>
                <w:lang w:val="en-US"/>
              </w:rPr>
              <w:t>2012</w:t>
            </w:r>
            <w:r w:rsidR="008C5D13" w:rsidRPr="00586245">
              <w:rPr>
                <w:rFonts w:eastAsia="Times New Roman" w:cstheme="minorHAnsi"/>
                <w:color w:val="1F4E79" w:themeColor="accent1" w:themeShade="80"/>
                <w:sz w:val="21"/>
                <w:szCs w:val="21"/>
                <w:lang w:val="en-US"/>
              </w:rPr>
              <w:t>)</w:t>
            </w:r>
            <w:bookmarkEnd w:id="34"/>
          </w:p>
        </w:tc>
        <w:tc>
          <w:tcPr>
            <w:tcW w:w="4831" w:type="dxa"/>
          </w:tcPr>
          <w:p w14:paraId="404FDBA6" w14:textId="4BA8FDB6" w:rsidR="00A841CD" w:rsidRPr="00242B25" w:rsidRDefault="00AC5BA0" w:rsidP="007E033D">
            <w:pPr>
              <w:pStyle w:val="ListParagraph"/>
              <w:ind w:left="0"/>
              <w:rPr>
                <w:color w:val="1F4E79" w:themeColor="accent1" w:themeShade="80"/>
                <w:lang w:val="en-US"/>
              </w:rPr>
            </w:pPr>
            <w:bookmarkStart w:id="35" w:name="_Toc511409153"/>
            <w:r w:rsidRPr="00242B25">
              <w:rPr>
                <w:color w:val="1F4E79" w:themeColor="accent1" w:themeShade="80"/>
                <w:lang w:val="en-US"/>
              </w:rPr>
              <w:t xml:space="preserve">Figure </w:t>
            </w:r>
            <w:r w:rsidR="007E033D" w:rsidRPr="00242B25">
              <w:rPr>
                <w:color w:val="1F4E79" w:themeColor="accent1" w:themeShade="80"/>
                <w:lang w:val="en-US"/>
              </w:rPr>
              <w:t>9</w:t>
            </w:r>
            <w:r w:rsidRPr="00242B25">
              <w:rPr>
                <w:color w:val="1F4E79" w:themeColor="accent1" w:themeShade="80"/>
                <w:lang w:val="en-US"/>
              </w:rPr>
              <w:t xml:space="preserve">. </w:t>
            </w:r>
            <w:r w:rsidR="00EA553F" w:rsidRPr="00242B25">
              <w:rPr>
                <w:color w:val="1F4E79" w:themeColor="accent1" w:themeShade="80"/>
                <w:lang w:val="en-US"/>
              </w:rPr>
              <w:t xml:space="preserve">Emigration and </w:t>
            </w:r>
            <w:r w:rsidR="000529E3" w:rsidRPr="00242B25">
              <w:rPr>
                <w:color w:val="1F4E79" w:themeColor="accent1" w:themeShade="80"/>
                <w:lang w:val="en-US"/>
              </w:rPr>
              <w:t>per capita i</w:t>
            </w:r>
            <w:r w:rsidR="008C5D13" w:rsidRPr="00242B25">
              <w:rPr>
                <w:color w:val="1F4E79" w:themeColor="accent1" w:themeShade="80"/>
                <w:lang w:val="en-US"/>
              </w:rPr>
              <w:t xml:space="preserve">ncome in </w:t>
            </w:r>
            <w:r w:rsidR="000529E3" w:rsidRPr="00242B25">
              <w:rPr>
                <w:color w:val="1F4E79" w:themeColor="accent1" w:themeShade="80"/>
                <w:lang w:val="en-US"/>
              </w:rPr>
              <w:t>purchasing power s</w:t>
            </w:r>
            <w:r w:rsidR="00A841CD" w:rsidRPr="00242B25">
              <w:rPr>
                <w:color w:val="1F4E79" w:themeColor="accent1" w:themeShade="80"/>
                <w:lang w:val="en-US"/>
              </w:rPr>
              <w:t xml:space="preserve">tandard </w:t>
            </w:r>
            <w:r w:rsidR="00025CDC" w:rsidRPr="00242B25">
              <w:rPr>
                <w:color w:val="1F4E79" w:themeColor="accent1" w:themeShade="80"/>
                <w:lang w:val="en-US"/>
              </w:rPr>
              <w:t>(p</w:t>
            </w:r>
            <w:r w:rsidR="008C5D13" w:rsidRPr="00242B25">
              <w:rPr>
                <w:color w:val="1F4E79" w:themeColor="accent1" w:themeShade="80"/>
                <w:lang w:val="en-US"/>
              </w:rPr>
              <w:t>ercentage points; additional reduction in per capita GDP gap with the EU28</w:t>
            </w:r>
            <w:r w:rsidR="00A841CD" w:rsidRPr="00242B25">
              <w:rPr>
                <w:color w:val="1F4E79" w:themeColor="accent1" w:themeShade="80"/>
                <w:lang w:val="en-US"/>
              </w:rPr>
              <w:t>, 1995</w:t>
            </w:r>
            <w:r w:rsidR="00586245" w:rsidRPr="00242B25">
              <w:rPr>
                <w:rFonts w:cstheme="minorHAnsi"/>
                <w:color w:val="1F4E79" w:themeColor="accent1" w:themeShade="80"/>
                <w:lang w:val="en-US"/>
              </w:rPr>
              <w:t>–</w:t>
            </w:r>
            <w:r w:rsidR="00A841CD" w:rsidRPr="00242B25">
              <w:rPr>
                <w:color w:val="1F4E79" w:themeColor="accent1" w:themeShade="80"/>
                <w:lang w:val="en-US"/>
              </w:rPr>
              <w:t>2012</w:t>
            </w:r>
            <w:r w:rsidR="008C5D13" w:rsidRPr="00242B25">
              <w:rPr>
                <w:color w:val="1F4E79" w:themeColor="accent1" w:themeShade="80"/>
                <w:lang w:val="en-US"/>
              </w:rPr>
              <w:t>)</w:t>
            </w:r>
            <w:bookmarkEnd w:id="35"/>
          </w:p>
        </w:tc>
      </w:tr>
      <w:tr w:rsidR="002D4AEE" w14:paraId="7F787906" w14:textId="77777777" w:rsidTr="00D159E9">
        <w:trPr>
          <w:trHeight w:val="3584"/>
        </w:trPr>
        <w:tc>
          <w:tcPr>
            <w:tcW w:w="4904" w:type="dxa"/>
          </w:tcPr>
          <w:p w14:paraId="51B95177" w14:textId="7631AA7A" w:rsidR="008C5D13" w:rsidRPr="00774638" w:rsidRDefault="000444C6" w:rsidP="00774638">
            <w:pPr>
              <w:pStyle w:val="ListParagraph"/>
              <w:keepNext/>
              <w:spacing w:before="120" w:line="276" w:lineRule="auto"/>
              <w:ind w:left="-115"/>
            </w:pPr>
            <w:r>
              <w:rPr>
                <w:noProof/>
                <w:lang w:eastAsia="it-IT"/>
              </w:rPr>
              <w:drawing>
                <wp:inline distT="0" distB="0" distL="0" distR="0" wp14:anchorId="39EC432F" wp14:editId="0F0A2AD3">
                  <wp:extent cx="3050053" cy="21431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50053" cy="2143125"/>
                          </a:xfrm>
                          <a:prstGeom prst="rect">
                            <a:avLst/>
                          </a:prstGeom>
                        </pic:spPr>
                      </pic:pic>
                    </a:graphicData>
                  </a:graphic>
                </wp:inline>
              </w:drawing>
            </w:r>
          </w:p>
        </w:tc>
        <w:tc>
          <w:tcPr>
            <w:tcW w:w="4831" w:type="dxa"/>
          </w:tcPr>
          <w:p w14:paraId="1F9703C6" w14:textId="20B81AD5" w:rsidR="000444C6" w:rsidRPr="00774638" w:rsidRDefault="002D4AEE" w:rsidP="00774638">
            <w:pPr>
              <w:pStyle w:val="ListParagraph"/>
              <w:keepNext/>
              <w:spacing w:before="120" w:line="276" w:lineRule="auto"/>
              <w:ind w:left="0"/>
              <w:contextualSpacing w:val="0"/>
              <w:jc w:val="both"/>
            </w:pPr>
            <w:r>
              <w:rPr>
                <w:noProof/>
                <w:lang w:eastAsia="it-IT"/>
              </w:rPr>
              <w:drawing>
                <wp:inline distT="0" distB="0" distL="0" distR="0" wp14:anchorId="5F25412A" wp14:editId="0EE11304">
                  <wp:extent cx="2775893" cy="2072005"/>
                  <wp:effectExtent l="0" t="0" r="571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93929" cy="2085468"/>
                          </a:xfrm>
                          <a:prstGeom prst="rect">
                            <a:avLst/>
                          </a:prstGeom>
                        </pic:spPr>
                      </pic:pic>
                    </a:graphicData>
                  </a:graphic>
                </wp:inline>
              </w:drawing>
            </w:r>
          </w:p>
        </w:tc>
      </w:tr>
      <w:tr w:rsidR="002D4AEE" w:rsidRPr="00396352" w14:paraId="5B32A299" w14:textId="77777777" w:rsidTr="00D159E9">
        <w:trPr>
          <w:trHeight w:val="154"/>
        </w:trPr>
        <w:tc>
          <w:tcPr>
            <w:tcW w:w="4904" w:type="dxa"/>
          </w:tcPr>
          <w:p w14:paraId="4BC7E0ED" w14:textId="45CD6ED6" w:rsidR="000444C6" w:rsidRPr="00396352" w:rsidRDefault="00396352" w:rsidP="00774638">
            <w:pPr>
              <w:pStyle w:val="ListParagraph"/>
              <w:ind w:left="0"/>
              <w:jc w:val="both"/>
              <w:rPr>
                <w:rFonts w:eastAsia="Times New Roman" w:cstheme="minorHAnsi"/>
                <w:b/>
                <w:lang w:val="en-US"/>
              </w:rPr>
            </w:pPr>
            <w:r w:rsidRPr="00396352">
              <w:rPr>
                <w:rFonts w:cstheme="minorHAnsi"/>
                <w:color w:val="000000" w:themeColor="text1"/>
                <w:lang w:val="en-US"/>
              </w:rPr>
              <w:t>Source: IMF (2016</w:t>
            </w:r>
            <w:r>
              <w:rPr>
                <w:rFonts w:cstheme="minorHAnsi"/>
                <w:color w:val="000000" w:themeColor="text1"/>
                <w:lang w:val="en-US"/>
              </w:rPr>
              <w:t>)</w:t>
            </w:r>
          </w:p>
        </w:tc>
        <w:tc>
          <w:tcPr>
            <w:tcW w:w="4831" w:type="dxa"/>
          </w:tcPr>
          <w:p w14:paraId="4E0CC6C7" w14:textId="35EBAA10" w:rsidR="000444C6" w:rsidRPr="00396352" w:rsidRDefault="000444C6" w:rsidP="000444C6">
            <w:pPr>
              <w:pStyle w:val="ListParagraph"/>
              <w:spacing w:before="120" w:line="276" w:lineRule="auto"/>
              <w:ind w:left="0"/>
              <w:jc w:val="both"/>
              <w:rPr>
                <w:rFonts w:eastAsia="Times New Roman" w:cstheme="minorHAnsi"/>
                <w:b/>
                <w:lang w:val="en-US"/>
              </w:rPr>
            </w:pPr>
            <w:r w:rsidRPr="00396352">
              <w:rPr>
                <w:rFonts w:cstheme="minorHAnsi"/>
                <w:color w:val="000000" w:themeColor="text1"/>
                <w:lang w:val="en-US"/>
              </w:rPr>
              <w:t>Source: IMF (2016)</w:t>
            </w:r>
          </w:p>
        </w:tc>
      </w:tr>
      <w:bookmarkEnd w:id="33"/>
    </w:tbl>
    <w:p w14:paraId="6299CE0C" w14:textId="47C9AB6E" w:rsidR="006F0B13" w:rsidRDefault="006F0B13" w:rsidP="00774638">
      <w:pPr>
        <w:rPr>
          <w:lang w:val="en-US"/>
        </w:rPr>
      </w:pPr>
    </w:p>
    <w:p w14:paraId="1EC278B3" w14:textId="77777777" w:rsidR="006F0B13" w:rsidRDefault="006F0B13">
      <w:pPr>
        <w:rPr>
          <w:lang w:val="en-US"/>
        </w:rPr>
      </w:pPr>
      <w:r>
        <w:rPr>
          <w:lang w:val="en-US"/>
        </w:rPr>
        <w:br w:type="page"/>
      </w:r>
    </w:p>
    <w:p w14:paraId="3F58189F" w14:textId="62F5AB6B" w:rsidR="008754E7" w:rsidRPr="00242B25" w:rsidRDefault="0028016C">
      <w:pPr>
        <w:pStyle w:val="Heading2"/>
        <w:numPr>
          <w:ilvl w:val="0"/>
          <w:numId w:val="0"/>
        </w:numPr>
        <w:rPr>
          <w:b/>
          <w:lang w:val="en-US"/>
        </w:rPr>
      </w:pPr>
      <w:bookmarkStart w:id="36" w:name="_Toc511308336"/>
      <w:r w:rsidRPr="00242B25">
        <w:rPr>
          <w:b/>
          <w:lang w:val="en-US"/>
        </w:rPr>
        <w:lastRenderedPageBreak/>
        <w:t>Social impact of emigration</w:t>
      </w:r>
      <w:r w:rsidR="00C7384E">
        <w:rPr>
          <w:b/>
          <w:lang w:val="en-US"/>
        </w:rPr>
        <w:t>:</w:t>
      </w:r>
      <w:r w:rsidRPr="00242B25">
        <w:rPr>
          <w:b/>
          <w:lang w:val="en-US"/>
        </w:rPr>
        <w:t xml:space="preserve"> Is there a generation left</w:t>
      </w:r>
      <w:r w:rsidR="00C7384E">
        <w:rPr>
          <w:b/>
          <w:lang w:val="en-US"/>
        </w:rPr>
        <w:t xml:space="preserve"> </w:t>
      </w:r>
      <w:r w:rsidRPr="00242B25">
        <w:rPr>
          <w:b/>
          <w:lang w:val="en-US"/>
        </w:rPr>
        <w:t>behind?</w:t>
      </w:r>
      <w:bookmarkEnd w:id="36"/>
    </w:p>
    <w:p w14:paraId="31B55E42" w14:textId="773E1062" w:rsidR="00B95DBD" w:rsidRPr="00A47A2E" w:rsidRDefault="00B95DBD" w:rsidP="00966045">
      <w:pPr>
        <w:pStyle w:val="ListParagraph"/>
        <w:jc w:val="both"/>
        <w:rPr>
          <w:b/>
          <w:lang w:val="en-US"/>
        </w:rPr>
      </w:pPr>
    </w:p>
    <w:p w14:paraId="15EDE34B" w14:textId="4FFB8EC7" w:rsidR="00B95DBD" w:rsidRPr="00A47A2E" w:rsidRDefault="009D2DBD" w:rsidP="00D159E9">
      <w:pPr>
        <w:pStyle w:val="ListParagraph"/>
        <w:spacing w:after="240" w:line="240" w:lineRule="auto"/>
        <w:ind w:left="0"/>
        <w:contextualSpacing w:val="0"/>
        <w:jc w:val="both"/>
        <w:rPr>
          <w:lang w:val="en-US"/>
        </w:rPr>
      </w:pPr>
      <w:r w:rsidRPr="009D2DBD">
        <w:rPr>
          <w:b/>
          <w:lang w:val="en-US"/>
        </w:rPr>
        <w:t>20</w:t>
      </w:r>
      <w:r w:rsidR="002815F2" w:rsidRPr="009D2DBD">
        <w:rPr>
          <w:b/>
          <w:lang w:val="en-US"/>
        </w:rPr>
        <w:t xml:space="preserve">. </w:t>
      </w:r>
      <w:r w:rsidR="002815F2" w:rsidRPr="009D2DBD">
        <w:rPr>
          <w:b/>
          <w:lang w:val="en-US"/>
        </w:rPr>
        <w:tab/>
      </w:r>
      <w:r w:rsidR="00B95DBD" w:rsidRPr="00A47A2E">
        <w:rPr>
          <w:b/>
          <w:lang w:val="en-US"/>
        </w:rPr>
        <w:t>The spatial distribution of migration positively correlates with the</w:t>
      </w:r>
      <w:r w:rsidR="00CB26CF" w:rsidRPr="00A47A2E">
        <w:rPr>
          <w:b/>
          <w:lang w:val="en-US"/>
        </w:rPr>
        <w:t xml:space="preserve"> distribution of </w:t>
      </w:r>
      <w:r w:rsidR="00B95DBD" w:rsidRPr="00A47A2E">
        <w:rPr>
          <w:b/>
          <w:lang w:val="en-US"/>
        </w:rPr>
        <w:t>social exclusion</w:t>
      </w:r>
      <w:r w:rsidR="00CB26CF" w:rsidRPr="00A47A2E">
        <w:rPr>
          <w:b/>
          <w:lang w:val="en-US"/>
        </w:rPr>
        <w:t xml:space="preserve"> risk</w:t>
      </w:r>
      <w:r w:rsidR="007018DA" w:rsidRPr="00A47A2E">
        <w:rPr>
          <w:b/>
          <w:lang w:val="en-US"/>
        </w:rPr>
        <w:t>s</w:t>
      </w:r>
      <w:r w:rsidR="00F967DD">
        <w:rPr>
          <w:lang w:val="en-US"/>
        </w:rPr>
        <w:t xml:space="preserve">. </w:t>
      </w:r>
      <w:r w:rsidR="00764595" w:rsidRPr="00A47A2E">
        <w:rPr>
          <w:lang w:val="en-US"/>
        </w:rPr>
        <w:t>T</w:t>
      </w:r>
      <w:r w:rsidR="00B95DBD" w:rsidRPr="00A47A2E">
        <w:rPr>
          <w:lang w:val="en-US"/>
        </w:rPr>
        <w:t xml:space="preserve">he highest </w:t>
      </w:r>
      <w:r w:rsidR="00B95DBD" w:rsidRPr="00396352">
        <w:rPr>
          <w:color w:val="000000" w:themeColor="text1"/>
          <w:lang w:val="en-US"/>
        </w:rPr>
        <w:t>number of children with one or both parents working abroad was recorded in the North-E</w:t>
      </w:r>
      <w:r w:rsidR="00977E64" w:rsidRPr="00396352">
        <w:rPr>
          <w:color w:val="000000" w:themeColor="text1"/>
          <w:lang w:val="en-US"/>
        </w:rPr>
        <w:t>a</w:t>
      </w:r>
      <w:r w:rsidR="00B95DBD" w:rsidRPr="00396352">
        <w:rPr>
          <w:color w:val="000000" w:themeColor="text1"/>
          <w:lang w:val="en-US"/>
        </w:rPr>
        <w:t xml:space="preserve">st region. This is also </w:t>
      </w:r>
      <w:r w:rsidR="00B95DBD" w:rsidRPr="00A47A2E">
        <w:rPr>
          <w:lang w:val="en-US"/>
        </w:rPr>
        <w:t>the region with the highest risk of social exclusion in Romania</w:t>
      </w:r>
      <w:r w:rsidR="00D17AF4">
        <w:rPr>
          <w:lang w:val="en-US"/>
        </w:rPr>
        <w:t xml:space="preserve"> in terms of the AROPE rate </w:t>
      </w:r>
      <w:r w:rsidR="00F967DD">
        <w:rPr>
          <w:lang w:val="en-US"/>
        </w:rPr>
        <w:t>(Sanduleasa and Matei 2015).</w:t>
      </w:r>
      <w:r w:rsidR="00B95DBD" w:rsidRPr="00A47A2E">
        <w:rPr>
          <w:lang w:val="en-US"/>
        </w:rPr>
        <w:t xml:space="preserve"> </w:t>
      </w:r>
      <w:r w:rsidR="0047507D" w:rsidRPr="00A47A2E">
        <w:rPr>
          <w:lang w:val="en-US"/>
        </w:rPr>
        <w:t>The areas most affected by external migration are the remote and densely populated ones, lacking a large and dynamic urban center as in the case of Subcarpathian Moldova (Suceava, Neamt, Bacau, Vrancea) as well as Satu-Mare, Maramures and Bistrita. These regions are predominantly rural</w:t>
      </w:r>
      <w:r w:rsidR="00D4616B">
        <w:rPr>
          <w:lang w:val="en-US"/>
        </w:rPr>
        <w:t>,</w:t>
      </w:r>
      <w:r w:rsidR="0047507D" w:rsidRPr="00A47A2E">
        <w:rPr>
          <w:lang w:val="en-US"/>
        </w:rPr>
        <w:t xml:space="preserve"> with small and medium </w:t>
      </w:r>
      <w:r w:rsidR="00D4616B">
        <w:rPr>
          <w:lang w:val="en-US"/>
        </w:rPr>
        <w:t xml:space="preserve">size </w:t>
      </w:r>
      <w:r w:rsidR="0047507D" w:rsidRPr="00A47A2E">
        <w:rPr>
          <w:lang w:val="en-US"/>
        </w:rPr>
        <w:t>cities not having the economic capacity to abs</w:t>
      </w:r>
      <w:r w:rsidR="00946960" w:rsidRPr="00A47A2E">
        <w:rPr>
          <w:lang w:val="en-US"/>
        </w:rPr>
        <w:t>orb the excess labor force (World Bank 2017)</w:t>
      </w:r>
      <w:r w:rsidR="00942041" w:rsidRPr="00A47A2E">
        <w:rPr>
          <w:lang w:val="en-US"/>
        </w:rPr>
        <w:t>.</w:t>
      </w:r>
    </w:p>
    <w:p w14:paraId="38CFD3BD" w14:textId="4E59CD9E" w:rsidR="005F2A61" w:rsidRPr="009D2DBD" w:rsidRDefault="00515AAF" w:rsidP="00D159E9">
      <w:pPr>
        <w:pStyle w:val="ListParagraph"/>
        <w:numPr>
          <w:ilvl w:val="2"/>
          <w:numId w:val="16"/>
        </w:numPr>
        <w:spacing w:after="240" w:line="240" w:lineRule="auto"/>
        <w:contextualSpacing w:val="0"/>
        <w:jc w:val="both"/>
        <w:rPr>
          <w:lang w:val="en-US"/>
        </w:rPr>
      </w:pPr>
      <w:r w:rsidRPr="009D2DBD">
        <w:rPr>
          <w:b/>
          <w:lang w:val="en-US"/>
        </w:rPr>
        <w:t>Migration</w:t>
      </w:r>
      <w:r w:rsidR="008B13A9" w:rsidRPr="009D2DBD">
        <w:rPr>
          <w:b/>
          <w:lang w:val="en-US"/>
        </w:rPr>
        <w:t xml:space="preserve"> </w:t>
      </w:r>
      <w:r w:rsidR="007F1C8C" w:rsidRPr="009D2DBD">
        <w:rPr>
          <w:b/>
          <w:lang w:val="en-US"/>
        </w:rPr>
        <w:t>had a positive impact on inter-household</w:t>
      </w:r>
      <w:r w:rsidRPr="009D2DBD">
        <w:rPr>
          <w:b/>
          <w:lang w:val="en-US"/>
        </w:rPr>
        <w:t xml:space="preserve"> income inequality through remittances. </w:t>
      </w:r>
      <w:r w:rsidR="007664CC" w:rsidRPr="009D2DBD">
        <w:rPr>
          <w:lang w:val="en-US"/>
        </w:rPr>
        <w:t>Remittances le</w:t>
      </w:r>
      <w:r w:rsidR="00946960" w:rsidRPr="009D2DBD">
        <w:rPr>
          <w:lang w:val="en-US"/>
        </w:rPr>
        <w:t xml:space="preserve">d to a reduction of inequality </w:t>
      </w:r>
      <w:r w:rsidR="00D4616B">
        <w:rPr>
          <w:lang w:val="en-US"/>
        </w:rPr>
        <w:t xml:space="preserve">both </w:t>
      </w:r>
      <w:r w:rsidR="00946960" w:rsidRPr="009D2DBD">
        <w:rPr>
          <w:lang w:val="en-US"/>
        </w:rPr>
        <w:t>within an</w:t>
      </w:r>
      <w:r w:rsidR="005F2A61" w:rsidRPr="009D2DBD">
        <w:rPr>
          <w:lang w:val="en-US"/>
        </w:rPr>
        <w:t>d between urban and rural area</w:t>
      </w:r>
      <w:r w:rsidR="004B322E" w:rsidRPr="009D2DBD">
        <w:rPr>
          <w:lang w:val="en-US"/>
        </w:rPr>
        <w:t>s</w:t>
      </w:r>
      <w:r w:rsidR="00D4616B">
        <w:rPr>
          <w:lang w:val="en-US"/>
        </w:rPr>
        <w:t>.</w:t>
      </w:r>
      <w:r w:rsidR="005F2A61" w:rsidRPr="009D2DBD">
        <w:rPr>
          <w:lang w:val="en-US"/>
        </w:rPr>
        <w:t xml:space="preserve"> </w:t>
      </w:r>
      <w:r w:rsidR="00D4616B">
        <w:rPr>
          <w:lang w:val="en-US"/>
        </w:rPr>
        <w:t xml:space="preserve">The reduction of inequality between urban and rural areas also </w:t>
      </w:r>
      <w:r w:rsidR="00D4616B" w:rsidRPr="009D2DBD">
        <w:rPr>
          <w:lang w:val="en-US"/>
        </w:rPr>
        <w:t>reduc</w:t>
      </w:r>
      <w:r w:rsidR="00D4616B">
        <w:rPr>
          <w:lang w:val="en-US"/>
        </w:rPr>
        <w:t>ed</w:t>
      </w:r>
      <w:r w:rsidR="00D4616B" w:rsidRPr="009D2DBD">
        <w:rPr>
          <w:lang w:val="en-US"/>
        </w:rPr>
        <w:t xml:space="preserve"> </w:t>
      </w:r>
      <w:r w:rsidR="00946960" w:rsidRPr="00D4616B">
        <w:rPr>
          <w:lang w:val="en-US"/>
        </w:rPr>
        <w:t xml:space="preserve">the impact of </w:t>
      </w:r>
      <w:r w:rsidR="00D4616B">
        <w:rPr>
          <w:lang w:val="en-US"/>
        </w:rPr>
        <w:t xml:space="preserve">inequality </w:t>
      </w:r>
      <w:r w:rsidR="00D4616B" w:rsidRPr="00D4616B">
        <w:rPr>
          <w:lang w:val="en-US"/>
        </w:rPr>
        <w:t xml:space="preserve">on </w:t>
      </w:r>
      <w:r w:rsidR="00946960" w:rsidRPr="00D4616B">
        <w:rPr>
          <w:lang w:val="en-US"/>
        </w:rPr>
        <w:t>the total level of inequality (Zamfir et al 2010)</w:t>
      </w:r>
      <w:r w:rsidR="005F2A61" w:rsidRPr="00D4616B">
        <w:rPr>
          <w:lang w:val="en-US"/>
        </w:rPr>
        <w:t>. The impact was</w:t>
      </w:r>
      <w:r w:rsidR="005F2A61" w:rsidRPr="009D2DBD">
        <w:rPr>
          <w:lang w:val="en-US"/>
        </w:rPr>
        <w:t xml:space="preserve"> stronger after 2004</w:t>
      </w:r>
      <w:r w:rsidR="00D4616B">
        <w:rPr>
          <w:lang w:val="en-US"/>
        </w:rPr>
        <w:t>,</w:t>
      </w:r>
      <w:r w:rsidR="005F2A61" w:rsidRPr="009D2DBD">
        <w:rPr>
          <w:lang w:val="en-US"/>
        </w:rPr>
        <w:t xml:space="preserve"> when a spike </w:t>
      </w:r>
      <w:r w:rsidR="005B5BEB" w:rsidRPr="009D2DBD">
        <w:rPr>
          <w:lang w:val="en-US"/>
        </w:rPr>
        <w:t>in remittance inflows occurred</w:t>
      </w:r>
      <w:r w:rsidR="007A3325">
        <w:rPr>
          <w:lang w:val="en-US"/>
        </w:rPr>
        <w:t xml:space="preserve"> (Figure 10)</w:t>
      </w:r>
      <w:r w:rsidR="005F2A61" w:rsidRPr="009D2DBD">
        <w:rPr>
          <w:lang w:val="en-US"/>
        </w:rPr>
        <w:t>.</w:t>
      </w:r>
      <w:r w:rsidR="00A32ED9" w:rsidRPr="00A32ED9">
        <w:rPr>
          <w:lang w:val="en-US"/>
        </w:rPr>
        <w:t xml:space="preserve"> Between 2004 and 2016 the average inflow was 3.5 billion euro, representing on average 2.8 percent of GDP.</w:t>
      </w:r>
      <w:r w:rsidR="00A32ED9">
        <w:rPr>
          <w:lang w:val="en-US"/>
        </w:rPr>
        <w:t xml:space="preserve"> </w:t>
      </w:r>
      <w:r w:rsidR="005F2A61" w:rsidRPr="009D2DBD">
        <w:rPr>
          <w:lang w:val="en-US"/>
        </w:rPr>
        <w:t>The p</w:t>
      </w:r>
      <w:r w:rsidR="0034757C" w:rsidRPr="009D2DBD">
        <w:rPr>
          <w:lang w:val="en-US"/>
        </w:rPr>
        <w:t>eak level was registered in 2008</w:t>
      </w:r>
      <w:r w:rsidR="00D4616B">
        <w:rPr>
          <w:lang w:val="en-US"/>
        </w:rPr>
        <w:t>,</w:t>
      </w:r>
      <w:r w:rsidR="005F2A61" w:rsidRPr="009D2DBD">
        <w:rPr>
          <w:lang w:val="en-US"/>
        </w:rPr>
        <w:t xml:space="preserve"> when the inflow </w:t>
      </w:r>
      <w:r w:rsidR="005F2A61" w:rsidRPr="009D2DBD">
        <w:rPr>
          <w:rFonts w:cstheme="minorHAnsi"/>
          <w:lang w:val="en-US"/>
        </w:rPr>
        <w:t xml:space="preserve">was 6.4 billion, representing 4.5 percent of GDP, but declined to 3.2 billion euro in 2016, </w:t>
      </w:r>
      <w:r w:rsidR="00D4616B">
        <w:rPr>
          <w:rFonts w:cstheme="minorHAnsi"/>
          <w:lang w:val="en-US"/>
        </w:rPr>
        <w:t>equal to</w:t>
      </w:r>
      <w:r w:rsidR="00D4616B" w:rsidRPr="009D2DBD">
        <w:rPr>
          <w:rFonts w:cstheme="minorHAnsi"/>
          <w:lang w:val="en-US"/>
        </w:rPr>
        <w:t xml:space="preserve"> </w:t>
      </w:r>
      <w:r w:rsidR="005F2A61" w:rsidRPr="009D2DBD">
        <w:rPr>
          <w:rFonts w:cstheme="minorHAnsi"/>
          <w:lang w:val="en-US"/>
        </w:rPr>
        <w:t>1.9</w:t>
      </w:r>
      <w:r w:rsidR="00A32ED9">
        <w:rPr>
          <w:rFonts w:cstheme="minorHAnsi"/>
          <w:lang w:val="en-US"/>
        </w:rPr>
        <w:t xml:space="preserve"> percent</w:t>
      </w:r>
      <w:r w:rsidR="005F2A61" w:rsidRPr="009D2DBD">
        <w:rPr>
          <w:rFonts w:cstheme="minorHAnsi"/>
          <w:lang w:val="en-US"/>
        </w:rPr>
        <w:t xml:space="preserve"> of the GDP</w:t>
      </w:r>
      <w:r w:rsidR="005F2A61" w:rsidRPr="00A47A2E">
        <w:rPr>
          <w:rStyle w:val="FootnoteReference"/>
          <w:lang w:val="en-US"/>
        </w:rPr>
        <w:footnoteReference w:id="11"/>
      </w:r>
      <w:r w:rsidR="003F6441" w:rsidRPr="009D2DBD">
        <w:rPr>
          <w:rFonts w:cstheme="minorHAnsi"/>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3F6441" w:rsidRPr="00242B25" w14:paraId="0A6E7FBF" w14:textId="77777777" w:rsidTr="003F6441">
        <w:tc>
          <w:tcPr>
            <w:tcW w:w="9725" w:type="dxa"/>
          </w:tcPr>
          <w:p w14:paraId="17FAC544" w14:textId="33789E10" w:rsidR="003F6441" w:rsidRPr="00242B25" w:rsidRDefault="003F6441" w:rsidP="007E033D">
            <w:pPr>
              <w:pStyle w:val="Caption"/>
              <w:ind w:left="720"/>
              <w:jc w:val="center"/>
              <w:rPr>
                <w:rFonts w:cstheme="minorHAnsi"/>
                <w:i w:val="0"/>
                <w:noProof/>
                <w:sz w:val="22"/>
                <w:szCs w:val="22"/>
                <w:lang w:val="en-US"/>
              </w:rPr>
            </w:pPr>
            <w:bookmarkStart w:id="37" w:name="_Toc511409154"/>
            <w:r w:rsidRPr="00242B25">
              <w:rPr>
                <w:i w:val="0"/>
                <w:sz w:val="22"/>
                <w:szCs w:val="22"/>
                <w:lang w:val="en-US"/>
              </w:rPr>
              <w:t xml:space="preserve">Figure </w:t>
            </w:r>
            <w:r w:rsidR="007E033D">
              <w:rPr>
                <w:i w:val="0"/>
                <w:sz w:val="22"/>
                <w:szCs w:val="22"/>
                <w:lang w:val="en-US"/>
              </w:rPr>
              <w:t>10</w:t>
            </w:r>
            <w:r w:rsidRPr="00242B25">
              <w:rPr>
                <w:i w:val="0"/>
                <w:sz w:val="22"/>
                <w:szCs w:val="22"/>
                <w:lang w:val="en-US"/>
              </w:rPr>
              <w:t xml:space="preserve">. </w:t>
            </w:r>
            <w:r w:rsidRPr="00242B25">
              <w:rPr>
                <w:rFonts w:cstheme="minorHAnsi"/>
                <w:i w:val="0"/>
                <w:sz w:val="22"/>
                <w:szCs w:val="22"/>
                <w:lang w:val="en-US"/>
              </w:rPr>
              <w:t>Inflows of remittances in Romania</w:t>
            </w:r>
            <w:bookmarkEnd w:id="37"/>
          </w:p>
        </w:tc>
      </w:tr>
      <w:tr w:rsidR="003F6441" w:rsidRPr="00A47A2E" w14:paraId="232BD694" w14:textId="77777777" w:rsidTr="003F6441">
        <w:tc>
          <w:tcPr>
            <w:tcW w:w="9725" w:type="dxa"/>
          </w:tcPr>
          <w:p w14:paraId="4C278526" w14:textId="77777777" w:rsidR="003F6441" w:rsidRPr="00A47A2E" w:rsidRDefault="003F6441" w:rsidP="003F6441">
            <w:pPr>
              <w:pStyle w:val="ListParagraph"/>
              <w:ind w:left="0"/>
              <w:jc w:val="center"/>
              <w:rPr>
                <w:lang w:val="en-US"/>
              </w:rPr>
            </w:pPr>
            <w:r w:rsidRPr="00A47A2E">
              <w:rPr>
                <w:noProof/>
                <w:lang w:eastAsia="it-IT"/>
              </w:rPr>
              <w:drawing>
                <wp:inline distT="0" distB="0" distL="0" distR="0" wp14:anchorId="00E087A4" wp14:editId="40C03EDF">
                  <wp:extent cx="4149725" cy="2343150"/>
                  <wp:effectExtent l="0" t="0" r="3175" b="0"/>
                  <wp:docPr id="31" name="Chart 3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F6441" w:rsidRPr="00A47A2E" w14:paraId="48FE1A48" w14:textId="77777777" w:rsidTr="003F6441">
        <w:tc>
          <w:tcPr>
            <w:tcW w:w="9725" w:type="dxa"/>
          </w:tcPr>
          <w:p w14:paraId="63D3A216" w14:textId="77777777" w:rsidR="003F6441" w:rsidRPr="00242B25" w:rsidRDefault="003F6441" w:rsidP="006F0B13">
            <w:pPr>
              <w:spacing w:line="360" w:lineRule="auto"/>
              <w:jc w:val="center"/>
              <w:rPr>
                <w:rFonts w:cstheme="minorHAnsi"/>
                <w:lang w:val="en-US"/>
              </w:rPr>
            </w:pPr>
            <w:r w:rsidRPr="00242B25">
              <w:rPr>
                <w:rFonts w:cstheme="minorHAnsi"/>
                <w:lang w:val="en-US"/>
              </w:rPr>
              <w:t>Source: World Bank</w:t>
            </w:r>
          </w:p>
        </w:tc>
      </w:tr>
    </w:tbl>
    <w:p w14:paraId="57431266" w14:textId="3F71A76F" w:rsidR="002815F2" w:rsidRPr="00A47A2E" w:rsidRDefault="002815F2" w:rsidP="002815F2">
      <w:pPr>
        <w:spacing w:after="0" w:line="360" w:lineRule="auto"/>
        <w:rPr>
          <w:rFonts w:cstheme="minorHAnsi"/>
          <w:b/>
          <w:color w:val="000000" w:themeColor="text1"/>
          <w:lang w:val="en-US"/>
        </w:rPr>
      </w:pPr>
    </w:p>
    <w:p w14:paraId="3A378088" w14:textId="757DA7FF" w:rsidR="00704834" w:rsidRDefault="00917079" w:rsidP="00D159E9">
      <w:pPr>
        <w:pStyle w:val="ListParagraph"/>
        <w:numPr>
          <w:ilvl w:val="2"/>
          <w:numId w:val="16"/>
        </w:numPr>
        <w:spacing w:after="240" w:line="240" w:lineRule="auto"/>
        <w:contextualSpacing w:val="0"/>
        <w:jc w:val="both"/>
        <w:rPr>
          <w:rFonts w:cstheme="minorHAnsi"/>
          <w:color w:val="000000" w:themeColor="text1"/>
          <w:lang w:val="en-US"/>
        </w:rPr>
      </w:pPr>
      <w:r>
        <w:rPr>
          <w:rFonts w:cstheme="minorHAnsi"/>
          <w:b/>
          <w:color w:val="000000" w:themeColor="text1"/>
          <w:lang w:val="en-US"/>
        </w:rPr>
        <w:t xml:space="preserve">Remittances </w:t>
      </w:r>
      <w:r w:rsidR="000701FE" w:rsidRPr="00774638">
        <w:rPr>
          <w:rFonts w:cstheme="minorHAnsi"/>
          <w:b/>
          <w:color w:val="000000" w:themeColor="text1"/>
          <w:lang w:val="en-US"/>
        </w:rPr>
        <w:t>had a positive impact on poverty reduction</w:t>
      </w:r>
      <w:r w:rsidR="000701FE">
        <w:rPr>
          <w:rFonts w:cstheme="minorHAnsi"/>
          <w:color w:val="000000" w:themeColor="text1"/>
          <w:lang w:val="en-US"/>
        </w:rPr>
        <w:t xml:space="preserve">. </w:t>
      </w:r>
      <w:r w:rsidR="009378C8">
        <w:rPr>
          <w:rFonts w:cstheme="minorHAnsi"/>
          <w:color w:val="000000" w:themeColor="text1"/>
          <w:lang w:val="en-US"/>
        </w:rPr>
        <w:t>Various panel data analys</w:t>
      </w:r>
      <w:r w:rsidR="007A3325">
        <w:rPr>
          <w:rFonts w:cstheme="minorHAnsi"/>
          <w:color w:val="000000" w:themeColor="text1"/>
          <w:lang w:val="en-US"/>
        </w:rPr>
        <w:t>e</w:t>
      </w:r>
      <w:r w:rsidR="009378C8">
        <w:rPr>
          <w:rFonts w:cstheme="minorHAnsi"/>
          <w:color w:val="000000" w:themeColor="text1"/>
          <w:lang w:val="en-US"/>
        </w:rPr>
        <w:t>s</w:t>
      </w:r>
      <w:r w:rsidR="00335F20">
        <w:rPr>
          <w:rFonts w:cstheme="minorHAnsi"/>
          <w:color w:val="000000" w:themeColor="text1"/>
          <w:lang w:val="en-US"/>
        </w:rPr>
        <w:t xml:space="preserve"> point toward a </w:t>
      </w:r>
      <w:r w:rsidR="009378C8">
        <w:rPr>
          <w:rFonts w:cstheme="minorHAnsi"/>
          <w:color w:val="000000" w:themeColor="text1"/>
          <w:lang w:val="en-US"/>
        </w:rPr>
        <w:t>statistical</w:t>
      </w:r>
      <w:r>
        <w:rPr>
          <w:rFonts w:cstheme="minorHAnsi"/>
          <w:color w:val="000000" w:themeColor="text1"/>
          <w:lang w:val="en-US"/>
        </w:rPr>
        <w:t>ly</w:t>
      </w:r>
      <w:r w:rsidR="00335F20">
        <w:rPr>
          <w:rFonts w:cstheme="minorHAnsi"/>
          <w:color w:val="000000" w:themeColor="text1"/>
          <w:lang w:val="en-US"/>
        </w:rPr>
        <w:t xml:space="preserve"> significant impact of remittances on </w:t>
      </w:r>
      <w:r w:rsidR="009378C8">
        <w:rPr>
          <w:rFonts w:cstheme="minorHAnsi"/>
          <w:color w:val="000000" w:themeColor="text1"/>
          <w:lang w:val="en-US"/>
        </w:rPr>
        <w:t xml:space="preserve">the poverty headcount. UNCAT (2011) used an ample panel of 77 developing countries, </w:t>
      </w:r>
      <w:r w:rsidR="009378C8" w:rsidRPr="00D159E9">
        <w:rPr>
          <w:lang w:val="en-US"/>
        </w:rPr>
        <w:t>including</w:t>
      </w:r>
      <w:r w:rsidR="009378C8">
        <w:rPr>
          <w:rFonts w:cstheme="minorHAnsi"/>
          <w:color w:val="000000" w:themeColor="text1"/>
          <w:lang w:val="en-US"/>
        </w:rPr>
        <w:t xml:space="preserve"> Romania, and found that a 10 percent increase in remittances leads to a 3.1 percent reduction in the poverty headcount for a $1.25 a day poverty line. </w:t>
      </w:r>
      <w:r w:rsidR="00A7001E">
        <w:rPr>
          <w:rFonts w:cstheme="minorHAnsi"/>
          <w:color w:val="000000" w:themeColor="text1"/>
          <w:lang w:val="en-US"/>
        </w:rPr>
        <w:t xml:space="preserve">Using a smaller sample of </w:t>
      </w:r>
      <w:r w:rsidR="00A7001E">
        <w:rPr>
          <w:rFonts w:cstheme="minorHAnsi"/>
          <w:color w:val="000000" w:themeColor="text1"/>
          <w:lang w:val="en-US"/>
        </w:rPr>
        <w:lastRenderedPageBreak/>
        <w:t>countries (Poland, Romania, Ukraine</w:t>
      </w:r>
      <w:r w:rsidR="007A3325">
        <w:rPr>
          <w:rFonts w:cstheme="minorHAnsi"/>
          <w:color w:val="000000" w:themeColor="text1"/>
          <w:lang w:val="en-US"/>
        </w:rPr>
        <w:t>,</w:t>
      </w:r>
      <w:r w:rsidR="00A7001E">
        <w:rPr>
          <w:rFonts w:cstheme="minorHAnsi"/>
          <w:color w:val="000000" w:themeColor="text1"/>
          <w:lang w:val="en-US"/>
        </w:rPr>
        <w:t xml:space="preserve"> and Turkey), Ciupureanu and Romana (2016) found that a 10 percent increase in remittances leads to a 5.3 percent decline in the share of people living </w:t>
      </w:r>
      <w:r w:rsidR="007A3325">
        <w:rPr>
          <w:rFonts w:cstheme="minorHAnsi"/>
          <w:color w:val="000000" w:themeColor="text1"/>
          <w:lang w:val="en-US"/>
        </w:rPr>
        <w:t xml:space="preserve">on </w:t>
      </w:r>
      <w:r w:rsidR="00A7001E">
        <w:rPr>
          <w:rFonts w:cstheme="minorHAnsi"/>
          <w:color w:val="000000" w:themeColor="text1"/>
          <w:lang w:val="en-US"/>
        </w:rPr>
        <w:t xml:space="preserve">less than $2 a day. </w:t>
      </w:r>
      <w:r w:rsidR="00704834">
        <w:rPr>
          <w:rFonts w:cstheme="minorHAnsi"/>
          <w:color w:val="000000" w:themeColor="text1"/>
          <w:lang w:val="en-US"/>
        </w:rPr>
        <w:t>The econometric results are also consistent with the historical evolution of remittances inflows and poverty in Romania</w:t>
      </w:r>
      <w:r w:rsidR="00486EFA">
        <w:rPr>
          <w:rFonts w:cstheme="minorHAnsi"/>
          <w:color w:val="000000" w:themeColor="text1"/>
          <w:lang w:val="en-US"/>
        </w:rPr>
        <w:t xml:space="preserve"> (Figure 11)</w:t>
      </w:r>
      <w:r w:rsidR="00704834">
        <w:rPr>
          <w:rFonts w:cstheme="minorHAnsi"/>
          <w:color w:val="000000" w:themeColor="text1"/>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E55406" w:rsidRPr="00242B25" w14:paraId="7AD77252" w14:textId="77777777" w:rsidTr="00774638">
        <w:tc>
          <w:tcPr>
            <w:tcW w:w="9725" w:type="dxa"/>
          </w:tcPr>
          <w:p w14:paraId="338E72D0" w14:textId="70A2C9B6" w:rsidR="00E55406" w:rsidRPr="00242B25" w:rsidRDefault="00DF7A61" w:rsidP="007E033D">
            <w:pPr>
              <w:pStyle w:val="ListParagraph"/>
              <w:spacing w:after="200"/>
              <w:ind w:left="0"/>
              <w:jc w:val="center"/>
              <w:rPr>
                <w:rFonts w:cstheme="minorHAnsi"/>
                <w:color w:val="000000" w:themeColor="text1"/>
                <w:lang w:val="en-US"/>
              </w:rPr>
            </w:pPr>
            <w:bookmarkStart w:id="38" w:name="_Toc511409155"/>
            <w:r w:rsidRPr="00242B25">
              <w:rPr>
                <w:color w:val="1F4E79" w:themeColor="accent1" w:themeShade="80"/>
                <w:lang w:val="en-US"/>
              </w:rPr>
              <w:t xml:space="preserve">Figure </w:t>
            </w:r>
            <w:r w:rsidR="007E033D" w:rsidRPr="00242B25">
              <w:rPr>
                <w:color w:val="1F4E79" w:themeColor="accent1" w:themeShade="80"/>
                <w:lang w:val="en-US"/>
              </w:rPr>
              <w:t>11</w:t>
            </w:r>
            <w:r w:rsidR="000B768F" w:rsidRPr="00242B25">
              <w:rPr>
                <w:color w:val="1F4E79" w:themeColor="accent1" w:themeShade="80"/>
                <w:lang w:val="en-US"/>
              </w:rPr>
              <w:t>.</w:t>
            </w:r>
            <w:r w:rsidRPr="00242B25">
              <w:rPr>
                <w:color w:val="1F4E79" w:themeColor="accent1" w:themeShade="80"/>
                <w:lang w:val="en-US"/>
              </w:rPr>
              <w:t xml:space="preserve"> </w:t>
            </w:r>
            <w:r w:rsidR="000B768F" w:rsidRPr="00242B25">
              <w:rPr>
                <w:color w:val="1F4E79" w:themeColor="accent1" w:themeShade="80"/>
                <w:lang w:val="en-US"/>
              </w:rPr>
              <w:t>R</w:t>
            </w:r>
            <w:r w:rsidRPr="00242B25">
              <w:rPr>
                <w:color w:val="1F4E79" w:themeColor="accent1" w:themeShade="80"/>
                <w:lang w:val="en-US"/>
              </w:rPr>
              <w:t>emittances and poverty in Romania</w:t>
            </w:r>
            <w:bookmarkEnd w:id="38"/>
          </w:p>
        </w:tc>
      </w:tr>
      <w:tr w:rsidR="00E55406" w14:paraId="43CD318E" w14:textId="77777777" w:rsidTr="00774638">
        <w:tc>
          <w:tcPr>
            <w:tcW w:w="9725" w:type="dxa"/>
          </w:tcPr>
          <w:p w14:paraId="3649AF0C" w14:textId="607EEE14" w:rsidR="00E55406" w:rsidRPr="00774638" w:rsidRDefault="00E55406" w:rsidP="00774638">
            <w:pPr>
              <w:pStyle w:val="ListParagraph"/>
              <w:keepNext/>
              <w:ind w:left="0"/>
              <w:jc w:val="center"/>
            </w:pPr>
            <w:r>
              <w:rPr>
                <w:noProof/>
                <w:lang w:eastAsia="it-IT"/>
              </w:rPr>
              <w:drawing>
                <wp:inline distT="0" distB="0" distL="0" distR="0" wp14:anchorId="500A64F1" wp14:editId="56BEFDF9">
                  <wp:extent cx="4572000" cy="2612572"/>
                  <wp:effectExtent l="0" t="0" r="0" b="16510"/>
                  <wp:docPr id="27" name="Chart 27">
                    <a:extLst xmlns:a="http://schemas.openxmlformats.org/drawingml/2006/main">
                      <a:ext uri="{FF2B5EF4-FFF2-40B4-BE49-F238E27FC236}">
                        <a16:creationId xmlns:a16="http://schemas.microsoft.com/office/drawing/2014/main" id="{1A412A6B-7650-4AE8-8EBB-91E2DCCED0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E55406" w14:paraId="512FEC12" w14:textId="77777777" w:rsidTr="00774638">
        <w:tc>
          <w:tcPr>
            <w:tcW w:w="9725" w:type="dxa"/>
          </w:tcPr>
          <w:p w14:paraId="31F2F864" w14:textId="52DA25C8" w:rsidR="00E55406" w:rsidRPr="007A3325" w:rsidRDefault="00E55406" w:rsidP="006F0B13">
            <w:pPr>
              <w:pStyle w:val="ListParagraph"/>
              <w:ind w:left="0"/>
              <w:jc w:val="center"/>
              <w:rPr>
                <w:rFonts w:cstheme="minorHAnsi"/>
                <w:color w:val="000000" w:themeColor="text1"/>
                <w:lang w:val="en-US"/>
              </w:rPr>
            </w:pPr>
            <w:r w:rsidRPr="00242B25">
              <w:rPr>
                <w:rFonts w:cstheme="minorHAnsi"/>
                <w:lang w:val="en-US"/>
              </w:rPr>
              <w:t>Source: World Bank</w:t>
            </w:r>
          </w:p>
        </w:tc>
      </w:tr>
    </w:tbl>
    <w:p w14:paraId="5C274768" w14:textId="686317D3" w:rsidR="00704834" w:rsidRPr="00704834" w:rsidRDefault="00704834" w:rsidP="00774638">
      <w:pPr>
        <w:pStyle w:val="ListParagraph"/>
        <w:ind w:left="0"/>
        <w:rPr>
          <w:rFonts w:cstheme="minorHAnsi"/>
          <w:color w:val="000000" w:themeColor="text1"/>
          <w:lang w:val="en-US"/>
        </w:rPr>
      </w:pPr>
    </w:p>
    <w:p w14:paraId="4325AF84" w14:textId="47897173" w:rsidR="00CC3082" w:rsidRPr="00A47A2E" w:rsidRDefault="00996A07" w:rsidP="00D159E9">
      <w:pPr>
        <w:pStyle w:val="ListParagraph"/>
        <w:numPr>
          <w:ilvl w:val="2"/>
          <w:numId w:val="16"/>
        </w:numPr>
        <w:spacing w:after="240" w:line="240" w:lineRule="auto"/>
        <w:contextualSpacing w:val="0"/>
        <w:jc w:val="both"/>
        <w:rPr>
          <w:rFonts w:cstheme="minorHAnsi"/>
          <w:color w:val="000000" w:themeColor="text1"/>
          <w:lang w:val="en-US"/>
        </w:rPr>
      </w:pPr>
      <w:r w:rsidRPr="00A47A2E">
        <w:rPr>
          <w:rFonts w:cstheme="minorHAnsi"/>
          <w:b/>
          <w:color w:val="000000" w:themeColor="text1"/>
          <w:lang w:val="en-US"/>
        </w:rPr>
        <w:t>Disruptive effects on the family structure may offset the benefits from remittances.</w:t>
      </w:r>
      <w:r w:rsidR="00FB3A05" w:rsidRPr="00A47A2E">
        <w:rPr>
          <w:rFonts w:cstheme="minorHAnsi"/>
          <w:b/>
          <w:color w:val="000000" w:themeColor="text1"/>
          <w:lang w:val="en-US"/>
        </w:rPr>
        <w:t xml:space="preserve"> </w:t>
      </w:r>
      <w:r w:rsidR="00F67077" w:rsidRPr="00A47A2E">
        <w:rPr>
          <w:rFonts w:cstheme="minorHAnsi"/>
          <w:color w:val="000000" w:themeColor="text1"/>
          <w:lang w:val="en-US"/>
        </w:rPr>
        <w:t>Parental migration when the child is left in the country of origin may have long-term implications for his dev</w:t>
      </w:r>
      <w:r w:rsidR="00C27B89" w:rsidRPr="00A47A2E">
        <w:rPr>
          <w:rFonts w:cstheme="minorHAnsi"/>
          <w:color w:val="000000" w:themeColor="text1"/>
          <w:lang w:val="en-US"/>
        </w:rPr>
        <w:t xml:space="preserve">elopment and </w:t>
      </w:r>
      <w:r w:rsidR="00F67077" w:rsidRPr="00A47A2E">
        <w:rPr>
          <w:rFonts w:cstheme="minorHAnsi"/>
          <w:color w:val="000000" w:themeColor="text1"/>
          <w:lang w:val="en-US"/>
        </w:rPr>
        <w:t>future life. Children of migrant parents may be psychologically harmed, be less involved in school activities</w:t>
      </w:r>
      <w:r w:rsidR="00F46BEF">
        <w:rPr>
          <w:rFonts w:cstheme="minorHAnsi"/>
          <w:color w:val="000000" w:themeColor="text1"/>
          <w:lang w:val="en-US"/>
        </w:rPr>
        <w:t>,</w:t>
      </w:r>
      <w:r w:rsidR="00F67077" w:rsidRPr="00A47A2E">
        <w:rPr>
          <w:rFonts w:cstheme="minorHAnsi"/>
          <w:color w:val="000000" w:themeColor="text1"/>
          <w:lang w:val="en-US"/>
        </w:rPr>
        <w:t xml:space="preserve"> and more involved in work tasks, especially in rural areas. </w:t>
      </w:r>
      <w:r w:rsidR="00013258" w:rsidRPr="00A47A2E">
        <w:rPr>
          <w:rFonts w:cstheme="minorHAnsi"/>
          <w:color w:val="000000" w:themeColor="text1"/>
          <w:lang w:val="en-US"/>
        </w:rPr>
        <w:t>There are several qualitative studies documenting these effects in the case of Romanian children (</w:t>
      </w:r>
      <w:r w:rsidR="003F7452" w:rsidRPr="00A47A2E">
        <w:rPr>
          <w:rFonts w:cstheme="minorHAnsi"/>
          <w:color w:val="000000" w:themeColor="text1"/>
          <w:lang w:val="en-US"/>
        </w:rPr>
        <w:t xml:space="preserve">see </w:t>
      </w:r>
      <w:r w:rsidR="00013258" w:rsidRPr="00A47A2E">
        <w:rPr>
          <w:rFonts w:cstheme="minorHAnsi"/>
          <w:color w:val="000000" w:themeColor="text1"/>
          <w:lang w:val="en-US"/>
        </w:rPr>
        <w:t>UNICEF 2008</w:t>
      </w:r>
      <w:r w:rsidR="003F7452" w:rsidRPr="00A47A2E">
        <w:rPr>
          <w:rFonts w:cstheme="minorHAnsi"/>
          <w:color w:val="000000" w:themeColor="text1"/>
          <w:lang w:val="en-US"/>
        </w:rPr>
        <w:t xml:space="preserve"> for details</w:t>
      </w:r>
      <w:r w:rsidR="00013258" w:rsidRPr="00A47A2E">
        <w:rPr>
          <w:rFonts w:cstheme="minorHAnsi"/>
          <w:color w:val="000000" w:themeColor="text1"/>
          <w:lang w:val="en-US"/>
        </w:rPr>
        <w:t xml:space="preserve">). </w:t>
      </w:r>
      <w:r w:rsidR="003F7452" w:rsidRPr="00A47A2E">
        <w:rPr>
          <w:rFonts w:cstheme="minorHAnsi"/>
          <w:color w:val="000000" w:themeColor="text1"/>
          <w:lang w:val="en-US"/>
        </w:rPr>
        <w:t>Increased divorce rates and decreased birth rates are also associated with migration</w:t>
      </w:r>
      <w:r w:rsidR="00F46BEF">
        <w:rPr>
          <w:rFonts w:cstheme="minorHAnsi"/>
          <w:color w:val="000000" w:themeColor="text1"/>
          <w:lang w:val="en-US"/>
        </w:rPr>
        <w:t>,</w:t>
      </w:r>
      <w:r w:rsidR="003F7452" w:rsidRPr="00A47A2E">
        <w:rPr>
          <w:rFonts w:cstheme="minorHAnsi"/>
          <w:color w:val="000000" w:themeColor="text1"/>
          <w:lang w:val="en-US"/>
        </w:rPr>
        <w:t xml:space="preserve"> especially for</w:t>
      </w:r>
      <w:r w:rsidR="00C27B89" w:rsidRPr="00A47A2E">
        <w:rPr>
          <w:rFonts w:cstheme="minorHAnsi"/>
          <w:color w:val="000000" w:themeColor="text1"/>
          <w:lang w:val="en-US"/>
        </w:rPr>
        <w:t xml:space="preserve"> communities vulnerable to</w:t>
      </w:r>
      <w:r w:rsidR="003F7452" w:rsidRPr="00A47A2E">
        <w:rPr>
          <w:rFonts w:cstheme="minorHAnsi"/>
          <w:color w:val="000000" w:themeColor="text1"/>
          <w:lang w:val="en-US"/>
        </w:rPr>
        <w:t xml:space="preserve"> marginalization or exclusion </w:t>
      </w:r>
      <w:r w:rsidR="00C27B89" w:rsidRPr="00A47A2E">
        <w:rPr>
          <w:rFonts w:cstheme="minorHAnsi"/>
          <w:color w:val="000000" w:themeColor="text1"/>
          <w:lang w:val="en-US"/>
        </w:rPr>
        <w:t xml:space="preserve">(Sandu 2009). </w:t>
      </w:r>
    </w:p>
    <w:p w14:paraId="6A89D7D8" w14:textId="3E73DEE0" w:rsidR="00CC3082" w:rsidRPr="00A47A2E" w:rsidRDefault="005A5693" w:rsidP="00D159E9">
      <w:pPr>
        <w:pStyle w:val="ListParagraph"/>
        <w:numPr>
          <w:ilvl w:val="2"/>
          <w:numId w:val="16"/>
        </w:numPr>
        <w:spacing w:after="240" w:line="240" w:lineRule="auto"/>
        <w:contextualSpacing w:val="0"/>
        <w:jc w:val="both"/>
        <w:rPr>
          <w:rFonts w:cstheme="minorHAnsi"/>
          <w:color w:val="000000" w:themeColor="text1"/>
          <w:lang w:val="en-US"/>
        </w:rPr>
      </w:pPr>
      <w:r w:rsidRPr="00A47A2E">
        <w:rPr>
          <w:b/>
          <w:lang w:val="en-US"/>
        </w:rPr>
        <w:t xml:space="preserve">Migrant parents are vulnerable </w:t>
      </w:r>
      <w:r w:rsidR="00F46BEF">
        <w:rPr>
          <w:b/>
          <w:lang w:val="en-US"/>
        </w:rPr>
        <w:t>because of</w:t>
      </w:r>
      <w:r w:rsidRPr="00A47A2E">
        <w:rPr>
          <w:b/>
          <w:lang w:val="en-US"/>
        </w:rPr>
        <w:t xml:space="preserve"> the high percentage of low-skilled</w:t>
      </w:r>
      <w:r w:rsidR="00F46BEF">
        <w:rPr>
          <w:b/>
          <w:lang w:val="en-US"/>
        </w:rPr>
        <w:t xml:space="preserve"> labor</w:t>
      </w:r>
      <w:r w:rsidRPr="00A47A2E">
        <w:rPr>
          <w:lang w:val="en-US"/>
        </w:rPr>
        <w:t>. This leads them to work in low paid jobs</w:t>
      </w:r>
      <w:r w:rsidR="00F46BEF">
        <w:rPr>
          <w:lang w:val="en-US"/>
        </w:rPr>
        <w:t>. It also</w:t>
      </w:r>
      <w:r w:rsidRPr="00A47A2E">
        <w:rPr>
          <w:lang w:val="en-US"/>
        </w:rPr>
        <w:t xml:space="preserve"> decrease</w:t>
      </w:r>
      <w:r w:rsidR="00F46BEF">
        <w:rPr>
          <w:lang w:val="en-US"/>
        </w:rPr>
        <w:t>s</w:t>
      </w:r>
      <w:r w:rsidRPr="00A47A2E">
        <w:rPr>
          <w:lang w:val="en-US"/>
        </w:rPr>
        <w:t xml:space="preserve"> the</w:t>
      </w:r>
      <w:r w:rsidR="007E0FCD" w:rsidRPr="00A47A2E">
        <w:rPr>
          <w:lang w:val="en-US"/>
        </w:rPr>
        <w:t>ir</w:t>
      </w:r>
      <w:r w:rsidRPr="00A47A2E">
        <w:rPr>
          <w:lang w:val="en-US"/>
        </w:rPr>
        <w:t xml:space="preserve"> capacity to integrate into the Romanian labor market when returning</w:t>
      </w:r>
      <w:r w:rsidR="00F46BEF">
        <w:rPr>
          <w:lang w:val="en-US"/>
        </w:rPr>
        <w:t>,</w:t>
      </w:r>
      <w:r w:rsidRPr="00A47A2E">
        <w:rPr>
          <w:lang w:val="en-US"/>
        </w:rPr>
        <w:t xml:space="preserve"> </w:t>
      </w:r>
      <w:r w:rsidR="00F46BEF">
        <w:rPr>
          <w:lang w:val="en-US"/>
        </w:rPr>
        <w:t>because of</w:t>
      </w:r>
      <w:r w:rsidR="00D17AF4">
        <w:rPr>
          <w:lang w:val="en-US"/>
        </w:rPr>
        <w:t xml:space="preserve"> </w:t>
      </w:r>
      <w:r w:rsidR="00F46BEF">
        <w:rPr>
          <w:lang w:val="en-US"/>
        </w:rPr>
        <w:t xml:space="preserve">the </w:t>
      </w:r>
      <w:r w:rsidR="00D17AF4">
        <w:rPr>
          <w:lang w:val="en-US"/>
        </w:rPr>
        <w:t xml:space="preserve">lack of jobs on the local labor market and low wages </w:t>
      </w:r>
      <w:r w:rsidRPr="00A47A2E">
        <w:rPr>
          <w:lang w:val="en-US"/>
        </w:rPr>
        <w:t>(Vasile 2014</w:t>
      </w:r>
      <w:r w:rsidR="00D17AF4">
        <w:rPr>
          <w:lang w:val="en-US"/>
        </w:rPr>
        <w:t>, Eurofound 2012</w:t>
      </w:r>
      <w:r w:rsidRPr="00A47A2E">
        <w:rPr>
          <w:lang w:val="en-US"/>
        </w:rPr>
        <w:t xml:space="preserve">). </w:t>
      </w:r>
      <w:r w:rsidR="002D2ACA" w:rsidRPr="00A47A2E">
        <w:rPr>
          <w:lang w:val="en-US"/>
        </w:rPr>
        <w:t>Moreover,</w:t>
      </w:r>
      <w:r w:rsidRPr="00A47A2E">
        <w:rPr>
          <w:lang w:val="en-US"/>
        </w:rPr>
        <w:t xml:space="preserve"> </w:t>
      </w:r>
      <w:r w:rsidR="002D2ACA" w:rsidRPr="00A47A2E">
        <w:rPr>
          <w:lang w:val="en-US"/>
        </w:rPr>
        <w:t>t</w:t>
      </w:r>
      <w:r w:rsidR="00EB03CC" w:rsidRPr="00A47A2E">
        <w:rPr>
          <w:lang w:val="en-US"/>
        </w:rPr>
        <w:t>he</w:t>
      </w:r>
      <w:r w:rsidR="00D17AF4">
        <w:rPr>
          <w:lang w:val="en-US"/>
        </w:rPr>
        <w:t>ir</w:t>
      </w:r>
      <w:r w:rsidR="007E0FCD" w:rsidRPr="00A47A2E">
        <w:rPr>
          <w:lang w:val="en-US"/>
        </w:rPr>
        <w:t xml:space="preserve"> </w:t>
      </w:r>
      <w:r w:rsidR="00EB03CC" w:rsidRPr="00A47A2E">
        <w:rPr>
          <w:lang w:val="en-US"/>
        </w:rPr>
        <w:t>working condition</w:t>
      </w:r>
      <w:r w:rsidR="00F46BEF">
        <w:rPr>
          <w:lang w:val="en-US"/>
        </w:rPr>
        <w:t>s</w:t>
      </w:r>
      <w:r w:rsidR="007E0FCD" w:rsidRPr="00A47A2E">
        <w:rPr>
          <w:lang w:val="en-US"/>
        </w:rPr>
        <w:t xml:space="preserve"> are in many cases below the standards of the destination country</w:t>
      </w:r>
      <w:r w:rsidR="00F46BEF">
        <w:rPr>
          <w:lang w:val="en-US"/>
        </w:rPr>
        <w:t>,</w:t>
      </w:r>
      <w:r w:rsidR="007E0FCD" w:rsidRPr="00A47A2E">
        <w:rPr>
          <w:lang w:val="en-US"/>
        </w:rPr>
        <w:t xml:space="preserve"> especially in construction or agriculture (</w:t>
      </w:r>
      <w:r w:rsidR="00E42B74" w:rsidRPr="00A47A2E">
        <w:rPr>
          <w:lang w:val="en-US"/>
        </w:rPr>
        <w:t>Vasile</w:t>
      </w:r>
      <w:r w:rsidR="007E0FCD" w:rsidRPr="00A47A2E">
        <w:rPr>
          <w:lang w:val="en-US"/>
        </w:rPr>
        <w:t xml:space="preserve"> 2014)</w:t>
      </w:r>
      <w:r w:rsidR="00F46BEF">
        <w:rPr>
          <w:lang w:val="en-US"/>
        </w:rPr>
        <w:t>,</w:t>
      </w:r>
      <w:r w:rsidR="007E0FCD" w:rsidRPr="00A47A2E">
        <w:rPr>
          <w:lang w:val="en-US"/>
        </w:rPr>
        <w:t xml:space="preserve"> even if they are legal workers. </w:t>
      </w:r>
    </w:p>
    <w:p w14:paraId="09C40A93" w14:textId="7C9A9283" w:rsidR="00CC3082" w:rsidRPr="00A47A2E" w:rsidRDefault="00B95DBD" w:rsidP="00D159E9">
      <w:pPr>
        <w:pStyle w:val="ListParagraph"/>
        <w:numPr>
          <w:ilvl w:val="2"/>
          <w:numId w:val="16"/>
        </w:numPr>
        <w:spacing w:after="240" w:line="240" w:lineRule="auto"/>
        <w:contextualSpacing w:val="0"/>
        <w:jc w:val="both"/>
        <w:rPr>
          <w:rFonts w:cstheme="minorHAnsi"/>
          <w:color w:val="000000" w:themeColor="text1"/>
          <w:lang w:val="en-US"/>
        </w:rPr>
      </w:pPr>
      <w:r w:rsidRPr="00A47A2E">
        <w:rPr>
          <w:rFonts w:cstheme="minorHAnsi"/>
          <w:b/>
          <w:color w:val="000000" w:themeColor="text1"/>
          <w:lang w:val="en-US"/>
        </w:rPr>
        <w:t xml:space="preserve">Lack of employment and low wages are the main </w:t>
      </w:r>
      <w:r w:rsidR="002A2A35" w:rsidRPr="00A47A2E">
        <w:rPr>
          <w:rFonts w:cstheme="minorHAnsi"/>
          <w:b/>
          <w:color w:val="000000" w:themeColor="text1"/>
          <w:lang w:val="en-US"/>
        </w:rPr>
        <w:t>causes</w:t>
      </w:r>
      <w:r w:rsidRPr="00A47A2E">
        <w:rPr>
          <w:rFonts w:cstheme="minorHAnsi"/>
          <w:b/>
          <w:color w:val="000000" w:themeColor="text1"/>
          <w:lang w:val="en-US"/>
        </w:rPr>
        <w:t xml:space="preserve"> behind </w:t>
      </w:r>
      <w:r w:rsidR="00CB26CF" w:rsidRPr="00A47A2E">
        <w:rPr>
          <w:rFonts w:cstheme="minorHAnsi"/>
          <w:b/>
          <w:color w:val="000000" w:themeColor="text1"/>
          <w:lang w:val="en-US"/>
        </w:rPr>
        <w:t>parents’</w:t>
      </w:r>
      <w:r w:rsidRPr="00A47A2E">
        <w:rPr>
          <w:rFonts w:cstheme="minorHAnsi"/>
          <w:b/>
          <w:color w:val="000000" w:themeColor="text1"/>
          <w:lang w:val="en-US"/>
        </w:rPr>
        <w:t xml:space="preserve"> migration.</w:t>
      </w:r>
      <w:r w:rsidR="00B04152" w:rsidRPr="00A47A2E">
        <w:rPr>
          <w:rFonts w:cstheme="minorHAnsi"/>
          <w:b/>
          <w:color w:val="000000" w:themeColor="text1"/>
          <w:lang w:val="en-US"/>
        </w:rPr>
        <w:t xml:space="preserve"> </w:t>
      </w:r>
      <w:r w:rsidR="00942041" w:rsidRPr="00A47A2E">
        <w:rPr>
          <w:rFonts w:cstheme="minorHAnsi"/>
          <w:color w:val="000000" w:themeColor="text1"/>
          <w:lang w:val="en-US"/>
        </w:rPr>
        <w:t>The remote and poor rural areas are most affected by migration</w:t>
      </w:r>
      <w:r w:rsidR="00942041" w:rsidRPr="00A47A2E">
        <w:rPr>
          <w:rFonts w:cstheme="minorHAnsi"/>
          <w:lang w:val="en-US"/>
        </w:rPr>
        <w:t xml:space="preserve"> </w:t>
      </w:r>
      <w:r w:rsidR="00942041" w:rsidRPr="00A47A2E">
        <w:rPr>
          <w:rFonts w:cstheme="minorHAnsi"/>
          <w:color w:val="000000" w:themeColor="text1"/>
          <w:lang w:val="en-US"/>
        </w:rPr>
        <w:t>(World Bank 2017).</w:t>
      </w:r>
      <w:r w:rsidR="00942041" w:rsidRPr="00A47A2E">
        <w:rPr>
          <w:rFonts w:cstheme="minorHAnsi"/>
          <w:b/>
          <w:color w:val="000000" w:themeColor="text1"/>
          <w:lang w:val="en-US"/>
        </w:rPr>
        <w:t xml:space="preserve"> </w:t>
      </w:r>
      <w:r w:rsidR="00F55D5E" w:rsidRPr="00A47A2E">
        <w:rPr>
          <w:rFonts w:cstheme="minorHAnsi"/>
          <w:color w:val="000000" w:themeColor="text1"/>
          <w:lang w:val="en-US"/>
        </w:rPr>
        <w:t>These are also the areas with a much lower economic capacity to absorb the labor force</w:t>
      </w:r>
      <w:r w:rsidR="00F46BEF">
        <w:rPr>
          <w:rFonts w:cstheme="minorHAnsi"/>
          <w:color w:val="000000" w:themeColor="text1"/>
          <w:lang w:val="en-US"/>
        </w:rPr>
        <w:t>,</w:t>
      </w:r>
      <w:r w:rsidR="00F55D5E" w:rsidRPr="00A47A2E">
        <w:rPr>
          <w:rFonts w:cstheme="minorHAnsi"/>
          <w:color w:val="000000" w:themeColor="text1"/>
          <w:lang w:val="en-US"/>
        </w:rPr>
        <w:t xml:space="preserve"> and lower incomes. For example, in 2016, the average monthly income per </w:t>
      </w:r>
      <w:r w:rsidR="00F55D5E" w:rsidRPr="00D159E9">
        <w:rPr>
          <w:lang w:val="en-US"/>
        </w:rPr>
        <w:t>household</w:t>
      </w:r>
      <w:r w:rsidR="00F55D5E" w:rsidRPr="00A47A2E">
        <w:rPr>
          <w:rFonts w:cstheme="minorHAnsi"/>
          <w:color w:val="000000" w:themeColor="text1"/>
          <w:lang w:val="en-US"/>
        </w:rPr>
        <w:t xml:space="preserve"> was </w:t>
      </w:r>
      <w:r w:rsidR="00F46BEF">
        <w:rPr>
          <w:rFonts w:cstheme="minorHAnsi"/>
          <w:color w:val="000000" w:themeColor="text1"/>
          <w:lang w:val="en-US"/>
        </w:rPr>
        <w:t>about</w:t>
      </w:r>
      <w:r w:rsidR="00F46BEF" w:rsidRPr="00A47A2E">
        <w:rPr>
          <w:rFonts w:cstheme="minorHAnsi"/>
          <w:color w:val="000000" w:themeColor="text1"/>
          <w:lang w:val="en-US"/>
        </w:rPr>
        <w:t xml:space="preserve"> </w:t>
      </w:r>
      <w:r w:rsidR="00F55D5E" w:rsidRPr="00A47A2E">
        <w:rPr>
          <w:rFonts w:cstheme="minorHAnsi"/>
          <w:color w:val="000000" w:themeColor="text1"/>
          <w:lang w:val="en-US"/>
        </w:rPr>
        <w:t>26 percent lower in the rural area</w:t>
      </w:r>
      <w:r w:rsidR="00F46BEF">
        <w:rPr>
          <w:rFonts w:cstheme="minorHAnsi"/>
          <w:color w:val="000000" w:themeColor="text1"/>
          <w:lang w:val="en-US"/>
        </w:rPr>
        <w:t>s</w:t>
      </w:r>
      <w:r w:rsidR="00F55D5E" w:rsidRPr="00A47A2E">
        <w:rPr>
          <w:rFonts w:cstheme="minorHAnsi"/>
          <w:color w:val="000000" w:themeColor="text1"/>
          <w:lang w:val="en-US"/>
        </w:rPr>
        <w:t xml:space="preserve"> compared </w:t>
      </w:r>
      <w:r w:rsidR="00F46BEF">
        <w:rPr>
          <w:rFonts w:cstheme="minorHAnsi"/>
          <w:color w:val="000000" w:themeColor="text1"/>
          <w:lang w:val="en-US"/>
        </w:rPr>
        <w:t>with</w:t>
      </w:r>
      <w:r w:rsidR="00F46BEF" w:rsidRPr="00A47A2E">
        <w:rPr>
          <w:rFonts w:cstheme="minorHAnsi"/>
          <w:color w:val="000000" w:themeColor="text1"/>
          <w:lang w:val="en-US"/>
        </w:rPr>
        <w:t xml:space="preserve"> </w:t>
      </w:r>
      <w:r w:rsidR="00F55D5E" w:rsidRPr="00A47A2E">
        <w:rPr>
          <w:rFonts w:cstheme="minorHAnsi"/>
          <w:color w:val="000000" w:themeColor="text1"/>
          <w:lang w:val="en-US"/>
        </w:rPr>
        <w:t>urban</w:t>
      </w:r>
      <w:r w:rsidR="00F46BEF">
        <w:rPr>
          <w:rFonts w:cstheme="minorHAnsi"/>
          <w:color w:val="000000" w:themeColor="text1"/>
          <w:lang w:val="en-US"/>
        </w:rPr>
        <w:t xml:space="preserve"> areas</w:t>
      </w:r>
      <w:r w:rsidR="00F55D5E" w:rsidRPr="00A47A2E">
        <w:rPr>
          <w:rFonts w:cstheme="minorHAnsi"/>
          <w:color w:val="000000" w:themeColor="text1"/>
          <w:lang w:val="en-US"/>
        </w:rPr>
        <w:t xml:space="preserve">. </w:t>
      </w:r>
      <w:r w:rsidR="00C0486D" w:rsidRPr="00A47A2E">
        <w:rPr>
          <w:rFonts w:cstheme="minorHAnsi"/>
          <w:color w:val="000000" w:themeColor="text1"/>
          <w:lang w:val="en-US"/>
        </w:rPr>
        <w:t>Also,</w:t>
      </w:r>
      <w:r w:rsidR="00942041" w:rsidRPr="00A47A2E">
        <w:rPr>
          <w:rFonts w:cstheme="minorHAnsi"/>
          <w:color w:val="000000" w:themeColor="text1"/>
          <w:lang w:val="en-US"/>
        </w:rPr>
        <w:t xml:space="preserve"> the rural </w:t>
      </w:r>
      <w:r w:rsidR="00C0486D" w:rsidRPr="00A47A2E">
        <w:rPr>
          <w:rFonts w:cstheme="minorHAnsi"/>
          <w:color w:val="000000" w:themeColor="text1"/>
          <w:lang w:val="en-US"/>
        </w:rPr>
        <w:t>area</w:t>
      </w:r>
      <w:r w:rsidR="005D604D" w:rsidRPr="00A47A2E">
        <w:rPr>
          <w:rFonts w:cstheme="minorHAnsi"/>
          <w:color w:val="000000" w:themeColor="text1"/>
          <w:lang w:val="en-US"/>
        </w:rPr>
        <w:t>s</w:t>
      </w:r>
      <w:r w:rsidR="00942041" w:rsidRPr="00A47A2E">
        <w:rPr>
          <w:rFonts w:cstheme="minorHAnsi"/>
          <w:color w:val="000000" w:themeColor="text1"/>
          <w:lang w:val="en-US"/>
        </w:rPr>
        <w:t xml:space="preserve"> </w:t>
      </w:r>
      <w:r w:rsidR="005D604D" w:rsidRPr="00A47A2E">
        <w:rPr>
          <w:rFonts w:cstheme="minorHAnsi"/>
          <w:color w:val="000000" w:themeColor="text1"/>
          <w:lang w:val="en-US"/>
        </w:rPr>
        <w:t xml:space="preserve">have </w:t>
      </w:r>
      <w:r w:rsidR="00942041" w:rsidRPr="00A47A2E">
        <w:rPr>
          <w:rFonts w:cstheme="minorHAnsi"/>
          <w:color w:val="000000" w:themeColor="text1"/>
          <w:lang w:val="en-US"/>
        </w:rPr>
        <w:t xml:space="preserve">the highest proportion of </w:t>
      </w:r>
      <w:r w:rsidR="00B04152" w:rsidRPr="00A47A2E">
        <w:rPr>
          <w:rFonts w:cstheme="minorHAnsi"/>
          <w:color w:val="000000" w:themeColor="text1"/>
          <w:lang w:val="en-US"/>
        </w:rPr>
        <w:t xml:space="preserve">children </w:t>
      </w:r>
      <w:r w:rsidR="00C13915" w:rsidRPr="00A47A2E">
        <w:rPr>
          <w:rFonts w:cstheme="minorHAnsi"/>
          <w:color w:val="000000" w:themeColor="text1"/>
          <w:lang w:val="en-US"/>
        </w:rPr>
        <w:t>with one</w:t>
      </w:r>
      <w:r w:rsidR="00B04152" w:rsidRPr="00A47A2E">
        <w:rPr>
          <w:rFonts w:cstheme="minorHAnsi"/>
          <w:color w:val="000000" w:themeColor="text1"/>
          <w:lang w:val="en-US"/>
        </w:rPr>
        <w:t xml:space="preserve"> or both parents</w:t>
      </w:r>
      <w:r w:rsidR="00C13915" w:rsidRPr="00A47A2E">
        <w:rPr>
          <w:rFonts w:cstheme="minorHAnsi"/>
          <w:color w:val="000000" w:themeColor="text1"/>
          <w:lang w:val="en-US"/>
        </w:rPr>
        <w:t xml:space="preserve"> working abroad</w:t>
      </w:r>
      <w:r w:rsidR="00B04152" w:rsidRPr="00A47A2E">
        <w:rPr>
          <w:rFonts w:cstheme="minorHAnsi"/>
          <w:color w:val="000000" w:themeColor="text1"/>
          <w:lang w:val="en-US"/>
        </w:rPr>
        <w:t xml:space="preserve"> (UNICEF 2008</w:t>
      </w:r>
      <w:r w:rsidR="00C0486D" w:rsidRPr="00A47A2E">
        <w:rPr>
          <w:rFonts w:cstheme="minorHAnsi"/>
          <w:color w:val="000000" w:themeColor="text1"/>
          <w:lang w:val="en-US"/>
        </w:rPr>
        <w:t xml:space="preserve">). </w:t>
      </w:r>
    </w:p>
    <w:p w14:paraId="79CA4003" w14:textId="177EC94F" w:rsidR="00CC3082" w:rsidRPr="00A47A2E" w:rsidRDefault="00CB26CF" w:rsidP="00CC3082">
      <w:pPr>
        <w:pStyle w:val="ListParagraph"/>
        <w:numPr>
          <w:ilvl w:val="2"/>
          <w:numId w:val="11"/>
        </w:numPr>
        <w:jc w:val="both"/>
        <w:rPr>
          <w:rFonts w:cstheme="minorHAnsi"/>
          <w:color w:val="000000" w:themeColor="text1"/>
          <w:lang w:val="en-US"/>
        </w:rPr>
      </w:pPr>
      <w:r w:rsidRPr="00A47A2E">
        <w:rPr>
          <w:rFonts w:eastAsia="Times New Roman" w:cstheme="minorHAnsi"/>
          <w:b/>
          <w:color w:val="000000" w:themeColor="text1"/>
          <w:lang w:val="en-US"/>
        </w:rPr>
        <w:t>The National Authority for Child Protection and Adoption</w:t>
      </w:r>
      <w:r w:rsidRPr="00A47A2E">
        <w:rPr>
          <w:rFonts w:cstheme="minorHAnsi"/>
          <w:b/>
          <w:color w:val="000000" w:themeColor="text1"/>
          <w:lang w:val="en-US"/>
        </w:rPr>
        <w:t xml:space="preserve"> estimate</w:t>
      </w:r>
      <w:r w:rsidR="00F46BEF">
        <w:rPr>
          <w:rFonts w:cstheme="minorHAnsi"/>
          <w:b/>
          <w:color w:val="000000" w:themeColor="text1"/>
          <w:lang w:val="en-US"/>
        </w:rPr>
        <w:t>s</w:t>
      </w:r>
      <w:r w:rsidRPr="00A47A2E">
        <w:rPr>
          <w:rFonts w:cstheme="minorHAnsi"/>
          <w:b/>
          <w:color w:val="000000" w:themeColor="text1"/>
          <w:lang w:val="en-US"/>
        </w:rPr>
        <w:t xml:space="preserve"> the total number of </w:t>
      </w:r>
      <w:r w:rsidR="00F46BEF">
        <w:rPr>
          <w:rFonts w:cstheme="minorHAnsi"/>
          <w:b/>
          <w:color w:val="000000" w:themeColor="text1"/>
          <w:lang w:val="en-US"/>
        </w:rPr>
        <w:t xml:space="preserve">Romanian </w:t>
      </w:r>
      <w:r w:rsidRPr="00A47A2E">
        <w:rPr>
          <w:rFonts w:cstheme="minorHAnsi"/>
          <w:b/>
          <w:color w:val="000000" w:themeColor="text1"/>
          <w:lang w:val="en-US"/>
        </w:rPr>
        <w:t xml:space="preserve">children with one or both parents </w:t>
      </w:r>
      <w:r w:rsidR="00F117EA" w:rsidRPr="00A47A2E">
        <w:rPr>
          <w:rFonts w:cstheme="minorHAnsi"/>
          <w:b/>
          <w:color w:val="000000" w:themeColor="text1"/>
          <w:lang w:val="en-US"/>
        </w:rPr>
        <w:t xml:space="preserve">working abroad </w:t>
      </w:r>
      <w:r w:rsidR="00F46BEF">
        <w:rPr>
          <w:rFonts w:cstheme="minorHAnsi"/>
          <w:b/>
          <w:color w:val="000000" w:themeColor="text1"/>
          <w:lang w:val="en-US"/>
        </w:rPr>
        <w:t>at</w:t>
      </w:r>
      <w:r w:rsidR="00F46BEF" w:rsidRPr="00A47A2E">
        <w:rPr>
          <w:rFonts w:cstheme="minorHAnsi"/>
          <w:b/>
          <w:color w:val="000000" w:themeColor="text1"/>
          <w:lang w:val="en-US"/>
        </w:rPr>
        <w:t xml:space="preserve"> </w:t>
      </w:r>
      <w:r w:rsidR="00F46BEF">
        <w:rPr>
          <w:rFonts w:cstheme="minorHAnsi"/>
          <w:b/>
          <w:color w:val="000000" w:themeColor="text1"/>
          <w:lang w:val="en-US"/>
        </w:rPr>
        <w:t>about</w:t>
      </w:r>
      <w:r w:rsidR="00F46BEF" w:rsidRPr="00A47A2E">
        <w:rPr>
          <w:rFonts w:cstheme="minorHAnsi"/>
          <w:b/>
          <w:color w:val="000000" w:themeColor="text1"/>
          <w:lang w:val="en-US"/>
        </w:rPr>
        <w:t xml:space="preserve"> </w:t>
      </w:r>
      <w:r w:rsidR="00CE3F0A" w:rsidRPr="00A47A2E">
        <w:rPr>
          <w:rFonts w:cstheme="minorHAnsi"/>
          <w:b/>
          <w:color w:val="000000" w:themeColor="text1"/>
          <w:lang w:val="en-US"/>
        </w:rPr>
        <w:t>95</w:t>
      </w:r>
      <w:r w:rsidR="00B95DBD" w:rsidRPr="00A47A2E">
        <w:rPr>
          <w:rFonts w:cstheme="minorHAnsi"/>
          <w:b/>
          <w:color w:val="000000" w:themeColor="text1"/>
          <w:lang w:val="en-US"/>
        </w:rPr>
        <w:t xml:space="preserve"> </w:t>
      </w:r>
      <w:r w:rsidR="00F117EA" w:rsidRPr="00A47A2E">
        <w:rPr>
          <w:rFonts w:cstheme="minorHAnsi"/>
          <w:b/>
          <w:color w:val="000000" w:themeColor="text1"/>
          <w:lang w:val="en-US"/>
        </w:rPr>
        <w:t>thousand</w:t>
      </w:r>
      <w:r w:rsidRPr="00A47A2E">
        <w:rPr>
          <w:rFonts w:cstheme="minorHAnsi"/>
          <w:b/>
          <w:color w:val="000000" w:themeColor="text1"/>
          <w:lang w:val="en-US"/>
        </w:rPr>
        <w:t xml:space="preserve">. </w:t>
      </w:r>
      <w:r w:rsidR="00CE3F0A" w:rsidRPr="00A47A2E">
        <w:rPr>
          <w:rFonts w:cstheme="minorHAnsi"/>
          <w:color w:val="000000" w:themeColor="text1"/>
          <w:lang w:val="en-US"/>
        </w:rPr>
        <w:t xml:space="preserve">As of end 2016 there were 95,308 children with parents working abroad. </w:t>
      </w:r>
      <w:r w:rsidR="00F46BEF">
        <w:rPr>
          <w:rFonts w:cstheme="minorHAnsi"/>
          <w:color w:val="000000" w:themeColor="text1"/>
          <w:lang w:val="en-US"/>
        </w:rPr>
        <w:t>About</w:t>
      </w:r>
      <w:r w:rsidR="00F46BEF" w:rsidRPr="00A47A2E">
        <w:rPr>
          <w:rFonts w:cstheme="minorHAnsi"/>
          <w:color w:val="000000" w:themeColor="text1"/>
          <w:lang w:val="en-US"/>
        </w:rPr>
        <w:t xml:space="preserve"> </w:t>
      </w:r>
      <w:r w:rsidR="00CE3F0A" w:rsidRPr="00A47A2E">
        <w:rPr>
          <w:rFonts w:cstheme="minorHAnsi"/>
          <w:color w:val="000000" w:themeColor="text1"/>
          <w:lang w:val="en-US"/>
        </w:rPr>
        <w:t>34 percent</w:t>
      </w:r>
      <w:r w:rsidR="00647808" w:rsidRPr="00A47A2E">
        <w:rPr>
          <w:rFonts w:cstheme="minorHAnsi"/>
          <w:color w:val="000000" w:themeColor="text1"/>
          <w:lang w:val="en-US"/>
        </w:rPr>
        <w:t xml:space="preserve"> </w:t>
      </w:r>
      <w:r w:rsidR="00F55D5E" w:rsidRPr="00A47A2E">
        <w:rPr>
          <w:rFonts w:cstheme="minorHAnsi"/>
          <w:color w:val="000000" w:themeColor="text1"/>
          <w:lang w:val="en-US"/>
        </w:rPr>
        <w:t>have</w:t>
      </w:r>
      <w:r w:rsidR="00CE3F0A" w:rsidRPr="00A47A2E">
        <w:rPr>
          <w:rFonts w:cstheme="minorHAnsi"/>
          <w:color w:val="000000" w:themeColor="text1"/>
          <w:lang w:val="en-US"/>
        </w:rPr>
        <w:t xml:space="preserve"> both parents working abroad</w:t>
      </w:r>
      <w:r w:rsidR="00F46BEF">
        <w:rPr>
          <w:rFonts w:cstheme="minorHAnsi"/>
          <w:color w:val="000000" w:themeColor="text1"/>
          <w:lang w:val="en-US"/>
        </w:rPr>
        <w:t>,</w:t>
      </w:r>
      <w:r w:rsidR="00647808" w:rsidRPr="00A47A2E">
        <w:rPr>
          <w:rFonts w:cstheme="minorHAnsi"/>
          <w:color w:val="000000" w:themeColor="text1"/>
          <w:lang w:val="en-US"/>
        </w:rPr>
        <w:t xml:space="preserve"> which makes</w:t>
      </w:r>
      <w:r w:rsidR="00CE3F0A" w:rsidRPr="00A47A2E">
        <w:rPr>
          <w:rFonts w:cstheme="minorHAnsi"/>
          <w:color w:val="000000" w:themeColor="text1"/>
          <w:lang w:val="en-US"/>
        </w:rPr>
        <w:t xml:space="preserve"> </w:t>
      </w:r>
      <w:r w:rsidR="00CE3F0A" w:rsidRPr="00A47A2E">
        <w:rPr>
          <w:rFonts w:cstheme="minorHAnsi"/>
          <w:color w:val="000000" w:themeColor="text1"/>
          <w:lang w:val="en-US"/>
        </w:rPr>
        <w:lastRenderedPageBreak/>
        <w:t xml:space="preserve">them more vulnerable to </w:t>
      </w:r>
      <w:r w:rsidR="0017134C" w:rsidRPr="00A47A2E">
        <w:rPr>
          <w:rFonts w:cstheme="minorHAnsi"/>
          <w:color w:val="000000" w:themeColor="text1"/>
          <w:lang w:val="en-US"/>
        </w:rPr>
        <w:t xml:space="preserve">marginalization and social exclusion. </w:t>
      </w:r>
      <w:r w:rsidR="002A2A35" w:rsidRPr="00A47A2E">
        <w:rPr>
          <w:rFonts w:cstheme="minorHAnsi"/>
          <w:color w:val="000000" w:themeColor="text1"/>
          <w:lang w:val="en-US"/>
        </w:rPr>
        <w:t>Out of</w:t>
      </w:r>
      <w:r w:rsidR="00CE3F0A" w:rsidRPr="00A47A2E">
        <w:rPr>
          <w:rFonts w:cstheme="minorHAnsi"/>
          <w:color w:val="000000" w:themeColor="text1"/>
          <w:lang w:val="en-US"/>
        </w:rPr>
        <w:t xml:space="preserve"> the total number of children with parents working abroad, about 96</w:t>
      </w:r>
      <w:r w:rsidR="0017134C" w:rsidRPr="00A47A2E">
        <w:rPr>
          <w:rFonts w:cstheme="minorHAnsi"/>
          <w:color w:val="000000" w:themeColor="text1"/>
          <w:lang w:val="en-US"/>
        </w:rPr>
        <w:t xml:space="preserve"> percent </w:t>
      </w:r>
      <w:r w:rsidR="00CE3F0A" w:rsidRPr="00A47A2E">
        <w:rPr>
          <w:rFonts w:cstheme="minorHAnsi"/>
          <w:color w:val="000000" w:themeColor="text1"/>
          <w:lang w:val="en-US"/>
        </w:rPr>
        <w:t>re</w:t>
      </w:r>
      <w:r w:rsidR="001A4170">
        <w:rPr>
          <w:rFonts w:cstheme="minorHAnsi"/>
          <w:color w:val="000000" w:themeColor="text1"/>
          <w:lang w:val="en-US"/>
        </w:rPr>
        <w:t>main</w:t>
      </w:r>
      <w:r w:rsidR="00647808" w:rsidRPr="00A47A2E">
        <w:rPr>
          <w:rFonts w:cstheme="minorHAnsi"/>
          <w:color w:val="000000" w:themeColor="text1"/>
          <w:lang w:val="en-US"/>
        </w:rPr>
        <w:t xml:space="preserve"> in the care of relatives, with no</w:t>
      </w:r>
      <w:r w:rsidR="0017134C" w:rsidRPr="00A47A2E">
        <w:rPr>
          <w:rFonts w:cstheme="minorHAnsi"/>
          <w:color w:val="000000" w:themeColor="text1"/>
          <w:lang w:val="en-US"/>
        </w:rPr>
        <w:t xml:space="preserve"> special protection measure </w:t>
      </w:r>
      <w:r w:rsidR="00647808" w:rsidRPr="00A47A2E">
        <w:rPr>
          <w:rFonts w:cstheme="minorHAnsi"/>
          <w:color w:val="000000" w:themeColor="text1"/>
          <w:lang w:val="en-US"/>
        </w:rPr>
        <w:t>in place</w:t>
      </w:r>
      <w:r w:rsidR="0017134C" w:rsidRPr="00A47A2E">
        <w:rPr>
          <w:rFonts w:cstheme="minorHAnsi"/>
          <w:color w:val="000000" w:themeColor="text1"/>
          <w:lang w:val="en-US"/>
        </w:rPr>
        <w:t xml:space="preserve">. </w:t>
      </w:r>
    </w:p>
    <w:p w14:paraId="5F06AB7F" w14:textId="77777777" w:rsidR="00CC3082" w:rsidRPr="00A47A2E" w:rsidRDefault="00CC3082" w:rsidP="00CC3082">
      <w:pPr>
        <w:pStyle w:val="ListParagraph"/>
        <w:rPr>
          <w:rFonts w:cstheme="minorHAnsi"/>
          <w:b/>
          <w:color w:val="000000" w:themeColor="text1"/>
          <w:lang w:val="en-US"/>
        </w:rPr>
      </w:pPr>
    </w:p>
    <w:p w14:paraId="1DEE2372" w14:textId="6363C89E" w:rsidR="00F117EA" w:rsidRPr="00A47A2E" w:rsidRDefault="0051014E" w:rsidP="00D159E9">
      <w:pPr>
        <w:pStyle w:val="ListParagraph"/>
        <w:numPr>
          <w:ilvl w:val="2"/>
          <w:numId w:val="16"/>
        </w:numPr>
        <w:spacing w:after="240" w:line="240" w:lineRule="auto"/>
        <w:contextualSpacing w:val="0"/>
        <w:jc w:val="both"/>
        <w:rPr>
          <w:rFonts w:cstheme="minorHAnsi"/>
          <w:color w:val="000000" w:themeColor="text1"/>
          <w:lang w:val="en-US"/>
        </w:rPr>
      </w:pPr>
      <w:r w:rsidRPr="00A47A2E">
        <w:rPr>
          <w:rFonts w:cstheme="minorHAnsi"/>
          <w:b/>
          <w:color w:val="000000" w:themeColor="text1"/>
          <w:lang w:val="en-US"/>
        </w:rPr>
        <w:t xml:space="preserve">Participation in education is lower for </w:t>
      </w:r>
      <w:r w:rsidR="005620DA" w:rsidRPr="00A47A2E">
        <w:rPr>
          <w:rFonts w:cstheme="minorHAnsi"/>
          <w:b/>
          <w:color w:val="000000" w:themeColor="text1"/>
          <w:lang w:val="en-US"/>
        </w:rPr>
        <w:t xml:space="preserve">children with </w:t>
      </w:r>
      <w:r w:rsidR="00136922" w:rsidRPr="00136922">
        <w:rPr>
          <w:rFonts w:cstheme="minorHAnsi"/>
          <w:b/>
          <w:color w:val="000000" w:themeColor="text1"/>
          <w:lang w:val="en-US"/>
        </w:rPr>
        <w:t>both parents working or living abroad</w:t>
      </w:r>
      <w:r w:rsidR="00AB6CBF" w:rsidRPr="00A47A2E">
        <w:rPr>
          <w:rFonts w:cstheme="minorHAnsi"/>
          <w:b/>
          <w:color w:val="000000" w:themeColor="text1"/>
          <w:lang w:val="en-US"/>
        </w:rPr>
        <w:t>.</w:t>
      </w:r>
      <w:r w:rsidR="00960952" w:rsidRPr="00A47A2E">
        <w:rPr>
          <w:rFonts w:cstheme="minorHAnsi"/>
          <w:b/>
          <w:color w:val="000000" w:themeColor="text1"/>
          <w:lang w:val="en-US"/>
        </w:rPr>
        <w:t xml:space="preserve"> </w:t>
      </w:r>
      <w:r w:rsidR="00177997" w:rsidRPr="00A47A2E">
        <w:rPr>
          <w:rFonts w:cstheme="minorHAnsi"/>
          <w:color w:val="000000" w:themeColor="text1"/>
          <w:lang w:val="en-US"/>
        </w:rPr>
        <w:t xml:space="preserve">Age and </w:t>
      </w:r>
      <w:r w:rsidR="00960952" w:rsidRPr="00A47A2E">
        <w:rPr>
          <w:rFonts w:cstheme="minorHAnsi"/>
          <w:color w:val="000000" w:themeColor="text1"/>
          <w:lang w:val="en-US"/>
        </w:rPr>
        <w:t xml:space="preserve">having one or both parents working </w:t>
      </w:r>
      <w:r w:rsidR="002A2A35" w:rsidRPr="00A47A2E">
        <w:rPr>
          <w:rFonts w:cstheme="minorHAnsi"/>
          <w:color w:val="000000" w:themeColor="text1"/>
          <w:lang w:val="en-US"/>
        </w:rPr>
        <w:t>or li</w:t>
      </w:r>
      <w:r w:rsidR="00EC523B" w:rsidRPr="00A47A2E">
        <w:rPr>
          <w:rFonts w:cstheme="minorHAnsi"/>
          <w:color w:val="000000" w:themeColor="text1"/>
          <w:lang w:val="en-US"/>
        </w:rPr>
        <w:t xml:space="preserve">ving </w:t>
      </w:r>
      <w:r w:rsidR="00960952" w:rsidRPr="00A47A2E">
        <w:rPr>
          <w:rFonts w:cstheme="minorHAnsi"/>
          <w:color w:val="000000" w:themeColor="text1"/>
          <w:lang w:val="en-US"/>
        </w:rPr>
        <w:t xml:space="preserve">abroad are </w:t>
      </w:r>
      <w:r w:rsidR="00177997" w:rsidRPr="00A47A2E">
        <w:rPr>
          <w:rFonts w:cstheme="minorHAnsi"/>
          <w:color w:val="000000" w:themeColor="text1"/>
          <w:lang w:val="en-US"/>
        </w:rPr>
        <w:t>predictors</w:t>
      </w:r>
      <w:r w:rsidR="00960952" w:rsidRPr="00A47A2E">
        <w:rPr>
          <w:rFonts w:cstheme="minorHAnsi"/>
          <w:color w:val="000000" w:themeColor="text1"/>
          <w:lang w:val="en-US"/>
        </w:rPr>
        <w:t xml:space="preserve"> of</w:t>
      </w:r>
      <w:r w:rsidR="00647808" w:rsidRPr="00A47A2E">
        <w:rPr>
          <w:rFonts w:cstheme="minorHAnsi"/>
          <w:color w:val="000000" w:themeColor="text1"/>
          <w:lang w:val="en-US"/>
        </w:rPr>
        <w:t xml:space="preserve"> the</w:t>
      </w:r>
      <w:r w:rsidR="00960952" w:rsidRPr="00A47A2E">
        <w:rPr>
          <w:rFonts w:cstheme="minorHAnsi"/>
          <w:color w:val="000000" w:themeColor="text1"/>
          <w:lang w:val="en-US"/>
        </w:rPr>
        <w:t xml:space="preserve"> </w:t>
      </w:r>
      <w:r w:rsidR="0017134C" w:rsidRPr="00A47A2E">
        <w:rPr>
          <w:rFonts w:cstheme="minorHAnsi"/>
          <w:color w:val="000000" w:themeColor="text1"/>
          <w:lang w:val="en-US"/>
        </w:rPr>
        <w:t>participation</w:t>
      </w:r>
      <w:r w:rsidR="00647808" w:rsidRPr="00A47A2E">
        <w:rPr>
          <w:rFonts w:cstheme="minorHAnsi"/>
          <w:color w:val="000000" w:themeColor="text1"/>
          <w:lang w:val="en-US"/>
        </w:rPr>
        <w:t xml:space="preserve"> rate</w:t>
      </w:r>
      <w:r w:rsidR="0017134C" w:rsidRPr="00A47A2E">
        <w:rPr>
          <w:rFonts w:cstheme="minorHAnsi"/>
          <w:color w:val="000000" w:themeColor="text1"/>
          <w:lang w:val="en-US"/>
        </w:rPr>
        <w:t xml:space="preserve"> in education</w:t>
      </w:r>
      <w:r w:rsidR="00960952" w:rsidRPr="00A47A2E">
        <w:rPr>
          <w:rFonts w:cstheme="minorHAnsi"/>
          <w:color w:val="000000" w:themeColor="text1"/>
          <w:lang w:val="en-US"/>
        </w:rPr>
        <w:t xml:space="preserve"> (World Bank 201</w:t>
      </w:r>
      <w:r w:rsidR="00D17AF4">
        <w:rPr>
          <w:rFonts w:cstheme="minorHAnsi"/>
          <w:color w:val="000000" w:themeColor="text1"/>
          <w:lang w:val="en-US"/>
        </w:rPr>
        <w:t>5</w:t>
      </w:r>
      <w:r w:rsidR="00960952" w:rsidRPr="00A47A2E">
        <w:rPr>
          <w:rFonts w:cstheme="minorHAnsi"/>
          <w:color w:val="000000" w:themeColor="text1"/>
          <w:lang w:val="en-US"/>
        </w:rPr>
        <w:t xml:space="preserve">). Children are </w:t>
      </w:r>
      <w:r w:rsidR="00177997" w:rsidRPr="00A47A2E">
        <w:rPr>
          <w:rFonts w:cstheme="minorHAnsi"/>
          <w:color w:val="000000" w:themeColor="text1"/>
          <w:lang w:val="en-US"/>
        </w:rPr>
        <w:t>more likely to leave school i</w:t>
      </w:r>
      <w:r w:rsidR="00960952" w:rsidRPr="00A47A2E">
        <w:rPr>
          <w:rFonts w:cstheme="minorHAnsi"/>
          <w:color w:val="000000" w:themeColor="text1"/>
          <w:lang w:val="en-US"/>
        </w:rPr>
        <w:t>f they are in primary scho</w:t>
      </w:r>
      <w:r w:rsidR="0017134C" w:rsidRPr="00A47A2E">
        <w:rPr>
          <w:rFonts w:cstheme="minorHAnsi"/>
          <w:color w:val="000000" w:themeColor="text1"/>
          <w:lang w:val="en-US"/>
        </w:rPr>
        <w:t>ol or if they are older than 15, the minimum legal age for working</w:t>
      </w:r>
      <w:r w:rsidR="00F33370">
        <w:rPr>
          <w:rFonts w:cstheme="minorHAnsi"/>
          <w:color w:val="000000" w:themeColor="text1"/>
          <w:lang w:val="en-US"/>
        </w:rPr>
        <w:t xml:space="preserve"> (Table 1</w:t>
      </w:r>
      <w:r w:rsidR="00177997" w:rsidRPr="00A47A2E">
        <w:rPr>
          <w:rFonts w:cstheme="minorHAnsi"/>
          <w:color w:val="000000" w:themeColor="text1"/>
          <w:lang w:val="en-US"/>
        </w:rPr>
        <w:t>). The impact also varies</w:t>
      </w:r>
      <w:r w:rsidR="00F46BEF">
        <w:rPr>
          <w:rFonts w:cstheme="minorHAnsi"/>
          <w:color w:val="000000" w:themeColor="text1"/>
          <w:lang w:val="en-US"/>
        </w:rPr>
        <w:t>,</w:t>
      </w:r>
      <w:r w:rsidR="00177997" w:rsidRPr="00A47A2E">
        <w:rPr>
          <w:rFonts w:cstheme="minorHAnsi"/>
          <w:color w:val="000000" w:themeColor="text1"/>
          <w:lang w:val="en-US"/>
        </w:rPr>
        <w:t xml:space="preserve"> depending on the migration status.</w:t>
      </w:r>
      <w:r w:rsidR="002A2A35" w:rsidRPr="00A47A2E">
        <w:rPr>
          <w:rFonts w:cstheme="minorHAnsi"/>
          <w:color w:val="000000" w:themeColor="text1"/>
          <w:lang w:val="en-US"/>
        </w:rPr>
        <w:t xml:space="preserve"> If one parent is working or li</w:t>
      </w:r>
      <w:r w:rsidR="00EC523B" w:rsidRPr="00A47A2E">
        <w:rPr>
          <w:rFonts w:cstheme="minorHAnsi"/>
          <w:color w:val="000000" w:themeColor="text1"/>
          <w:lang w:val="en-US"/>
        </w:rPr>
        <w:t>ving abroad</w:t>
      </w:r>
      <w:r w:rsidR="00177997" w:rsidRPr="00A47A2E">
        <w:rPr>
          <w:rFonts w:cstheme="minorHAnsi"/>
          <w:color w:val="000000" w:themeColor="text1"/>
          <w:lang w:val="en-US"/>
        </w:rPr>
        <w:t xml:space="preserve"> while the other remains at home with the child, the participation rate marginally increases. </w:t>
      </w:r>
      <w:r w:rsidR="00F46BEF">
        <w:rPr>
          <w:rFonts w:cstheme="minorHAnsi"/>
          <w:color w:val="000000" w:themeColor="text1"/>
          <w:lang w:val="en-US"/>
        </w:rPr>
        <w:t>If both parents work abroad, c</w:t>
      </w:r>
      <w:r w:rsidR="00177997" w:rsidRPr="00A47A2E">
        <w:rPr>
          <w:rFonts w:cstheme="minorHAnsi"/>
          <w:color w:val="000000" w:themeColor="text1"/>
          <w:lang w:val="en-US"/>
        </w:rPr>
        <w:t>hildren</w:t>
      </w:r>
      <w:r w:rsidR="00F46BEF">
        <w:rPr>
          <w:rFonts w:cstheme="minorHAnsi"/>
          <w:color w:val="000000" w:themeColor="text1"/>
          <w:lang w:val="en-US"/>
        </w:rPr>
        <w:t>, lacking parental guidance,</w:t>
      </w:r>
      <w:r w:rsidR="00177997" w:rsidRPr="00A47A2E">
        <w:rPr>
          <w:rFonts w:cstheme="minorHAnsi"/>
          <w:color w:val="000000" w:themeColor="text1"/>
          <w:lang w:val="en-US"/>
        </w:rPr>
        <w:t xml:space="preserve"> </w:t>
      </w:r>
      <w:r w:rsidR="0017134C" w:rsidRPr="00A47A2E">
        <w:rPr>
          <w:rFonts w:cstheme="minorHAnsi"/>
          <w:color w:val="000000" w:themeColor="text1"/>
          <w:lang w:val="en-US"/>
        </w:rPr>
        <w:t>are</w:t>
      </w:r>
      <w:r w:rsidR="00177997" w:rsidRPr="00A47A2E">
        <w:rPr>
          <w:rFonts w:cstheme="minorHAnsi"/>
          <w:color w:val="000000" w:themeColor="text1"/>
          <w:lang w:val="en-US"/>
        </w:rPr>
        <w:t xml:space="preserve"> more likely to abandon school</w:t>
      </w:r>
      <w:r w:rsidR="00F46BEF">
        <w:rPr>
          <w:rFonts w:cstheme="minorHAnsi"/>
          <w:color w:val="000000" w:themeColor="text1"/>
          <w:lang w:val="en-US"/>
        </w:rPr>
        <w:t xml:space="preserve">. </w:t>
      </w:r>
      <w:r w:rsidR="001A4170">
        <w:rPr>
          <w:rFonts w:cstheme="minorHAnsi"/>
          <w:color w:val="000000" w:themeColor="text1"/>
          <w:lang w:val="en-US"/>
        </w:rPr>
        <w:t>In this case, t</w:t>
      </w:r>
      <w:r w:rsidR="0017134C" w:rsidRPr="00A47A2E">
        <w:rPr>
          <w:rFonts w:cstheme="minorHAnsi"/>
          <w:color w:val="000000" w:themeColor="text1"/>
          <w:lang w:val="en-US"/>
        </w:rPr>
        <w:t>he participation rate drops by an</w:t>
      </w:r>
      <w:r w:rsidR="008E63D2" w:rsidRPr="00A47A2E">
        <w:rPr>
          <w:rFonts w:cstheme="minorHAnsi"/>
          <w:color w:val="000000" w:themeColor="text1"/>
          <w:lang w:val="en-US"/>
        </w:rPr>
        <w:t xml:space="preserve"> average </w:t>
      </w:r>
      <w:r w:rsidR="0017134C" w:rsidRPr="00A47A2E">
        <w:rPr>
          <w:rFonts w:cstheme="minorHAnsi"/>
          <w:color w:val="000000" w:themeColor="text1"/>
          <w:lang w:val="en-US"/>
        </w:rPr>
        <w:t xml:space="preserve">of </w:t>
      </w:r>
      <w:r w:rsidR="00177997" w:rsidRPr="00A47A2E">
        <w:rPr>
          <w:rFonts w:cstheme="minorHAnsi"/>
          <w:color w:val="000000" w:themeColor="text1"/>
          <w:lang w:val="en-US"/>
        </w:rPr>
        <w:t>15 percent</w:t>
      </w:r>
      <w:r w:rsidR="00CE29DC" w:rsidRPr="00A47A2E">
        <w:rPr>
          <w:rFonts w:cstheme="minorHAnsi"/>
          <w:color w:val="000000" w:themeColor="text1"/>
          <w:lang w:val="en-US"/>
        </w:rPr>
        <w:t>,</w:t>
      </w:r>
      <w:r w:rsidR="008E63D2" w:rsidRPr="00A47A2E">
        <w:rPr>
          <w:rFonts w:cstheme="minorHAnsi"/>
          <w:color w:val="000000" w:themeColor="text1"/>
          <w:lang w:val="en-US"/>
        </w:rPr>
        <w:t xml:space="preserve"> with the highest decrease</w:t>
      </w:r>
      <w:r w:rsidR="00177997" w:rsidRPr="00A47A2E">
        <w:rPr>
          <w:rFonts w:cstheme="minorHAnsi"/>
          <w:color w:val="000000" w:themeColor="text1"/>
          <w:lang w:val="en-US"/>
        </w:rPr>
        <w:t xml:space="preserve"> registered for children older t</w:t>
      </w:r>
      <w:r w:rsidR="008E63D2" w:rsidRPr="00A47A2E">
        <w:rPr>
          <w:rFonts w:cstheme="minorHAnsi"/>
          <w:color w:val="000000" w:themeColor="text1"/>
          <w:lang w:val="en-US"/>
        </w:rPr>
        <w:t>han 15</w:t>
      </w:r>
      <w:r w:rsidR="00177997" w:rsidRPr="00A47A2E">
        <w:rPr>
          <w:rFonts w:cstheme="minorHAnsi"/>
          <w:color w:val="000000" w:themeColor="text1"/>
          <w:lang w:val="en-US"/>
        </w:rPr>
        <w:t xml:space="preserve">.     </w:t>
      </w:r>
    </w:p>
    <w:p w14:paraId="53D28D00" w14:textId="0A571216" w:rsidR="000F65C8" w:rsidRPr="00242B25" w:rsidRDefault="000F65C8" w:rsidP="000F65C8">
      <w:pPr>
        <w:pStyle w:val="Caption"/>
        <w:keepNext/>
        <w:jc w:val="center"/>
        <w:rPr>
          <w:i w:val="0"/>
          <w:sz w:val="22"/>
          <w:szCs w:val="22"/>
          <w:lang w:val="en-US"/>
        </w:rPr>
      </w:pPr>
      <w:bookmarkStart w:id="39" w:name="_Toc511308834"/>
      <w:r w:rsidRPr="00242B25">
        <w:rPr>
          <w:i w:val="0"/>
          <w:sz w:val="22"/>
          <w:szCs w:val="22"/>
          <w:lang w:val="en-US"/>
        </w:rPr>
        <w:t xml:space="preserve">Table </w:t>
      </w:r>
      <w:r w:rsidRPr="00242B25">
        <w:rPr>
          <w:i w:val="0"/>
          <w:sz w:val="22"/>
          <w:szCs w:val="22"/>
          <w:lang w:val="en-US"/>
        </w:rPr>
        <w:fldChar w:fldCharType="begin"/>
      </w:r>
      <w:r w:rsidRPr="00242B25">
        <w:rPr>
          <w:i w:val="0"/>
          <w:sz w:val="22"/>
          <w:szCs w:val="22"/>
          <w:lang w:val="en-US"/>
        </w:rPr>
        <w:instrText xml:space="preserve"> SEQ Table \* ARABIC </w:instrText>
      </w:r>
      <w:r w:rsidRPr="00242B25">
        <w:rPr>
          <w:i w:val="0"/>
          <w:sz w:val="22"/>
          <w:szCs w:val="22"/>
          <w:lang w:val="en-US"/>
        </w:rPr>
        <w:fldChar w:fldCharType="separate"/>
      </w:r>
      <w:r w:rsidR="004E4D7F">
        <w:rPr>
          <w:i w:val="0"/>
          <w:noProof/>
          <w:sz w:val="22"/>
          <w:szCs w:val="22"/>
          <w:lang w:val="en-US"/>
        </w:rPr>
        <w:t>1</w:t>
      </w:r>
      <w:r w:rsidRPr="00242B25">
        <w:rPr>
          <w:i w:val="0"/>
          <w:sz w:val="22"/>
          <w:szCs w:val="22"/>
          <w:lang w:val="en-US"/>
        </w:rPr>
        <w:fldChar w:fldCharType="end"/>
      </w:r>
      <w:r w:rsidR="007E033D">
        <w:rPr>
          <w:i w:val="0"/>
          <w:sz w:val="22"/>
          <w:szCs w:val="22"/>
          <w:lang w:val="en-US"/>
        </w:rPr>
        <w:t>.</w:t>
      </w:r>
      <w:r w:rsidR="00444DB7">
        <w:rPr>
          <w:i w:val="0"/>
          <w:sz w:val="22"/>
          <w:szCs w:val="22"/>
          <w:lang w:val="en-US"/>
        </w:rPr>
        <w:t xml:space="preserve"> </w:t>
      </w:r>
      <w:r w:rsidR="00CC3082" w:rsidRPr="00242B25">
        <w:rPr>
          <w:i w:val="0"/>
          <w:sz w:val="22"/>
          <w:szCs w:val="22"/>
          <w:lang w:val="en-US"/>
        </w:rPr>
        <w:t>Participation in education of children with migrant p</w:t>
      </w:r>
      <w:r w:rsidRPr="00242B25">
        <w:rPr>
          <w:i w:val="0"/>
          <w:sz w:val="22"/>
          <w:szCs w:val="22"/>
          <w:lang w:val="en-US"/>
        </w:rPr>
        <w:t xml:space="preserve">arents </w:t>
      </w:r>
      <w:bookmarkEnd w:id="39"/>
      <w:r w:rsidR="00F46BEF" w:rsidRPr="00242B25">
        <w:rPr>
          <w:i w:val="0"/>
          <w:sz w:val="22"/>
          <w:szCs w:val="22"/>
          <w:lang w:val="en-US"/>
        </w:rPr>
        <w:t>(</w:t>
      </w:r>
      <w:r w:rsidR="00F46BEF">
        <w:rPr>
          <w:i w:val="0"/>
          <w:sz w:val="22"/>
          <w:szCs w:val="22"/>
          <w:lang w:val="en-US"/>
        </w:rPr>
        <w:t>percent</w:t>
      </w:r>
      <w:r w:rsidR="00F46BEF" w:rsidRPr="00242B25">
        <w:rPr>
          <w:i w:val="0"/>
          <w:sz w:val="22"/>
          <w:szCs w:val="22"/>
          <w:lang w:val="en-US"/>
        </w:rPr>
        <w:t>)</w:t>
      </w:r>
    </w:p>
    <w:tbl>
      <w:tblPr>
        <w:tblW w:w="9810" w:type="dxa"/>
        <w:tblLook w:val="04A0" w:firstRow="1" w:lastRow="0" w:firstColumn="1" w:lastColumn="0" w:noHBand="0" w:noVBand="1"/>
      </w:tblPr>
      <w:tblGrid>
        <w:gridCol w:w="3960"/>
        <w:gridCol w:w="1980"/>
        <w:gridCol w:w="1890"/>
        <w:gridCol w:w="1980"/>
      </w:tblGrid>
      <w:tr w:rsidR="009C555C" w:rsidRPr="00242B25" w14:paraId="5C0787B5" w14:textId="77777777" w:rsidTr="00774638">
        <w:trPr>
          <w:trHeight w:val="660"/>
        </w:trPr>
        <w:tc>
          <w:tcPr>
            <w:tcW w:w="3960" w:type="dxa"/>
            <w:tcBorders>
              <w:bottom w:val="single" w:sz="4" w:space="0" w:color="auto"/>
            </w:tcBorders>
            <w:shd w:val="clear" w:color="000000" w:fill="FFFFFF"/>
            <w:noWrap/>
            <w:vAlign w:val="bottom"/>
            <w:hideMark/>
          </w:tcPr>
          <w:p w14:paraId="4F7828DE" w14:textId="77777777" w:rsidR="009C555C" w:rsidRPr="00A47A2E" w:rsidRDefault="009C555C" w:rsidP="009C555C">
            <w:pPr>
              <w:spacing w:after="0" w:line="240" w:lineRule="auto"/>
              <w:rPr>
                <w:rFonts w:ascii="Calibri" w:eastAsia="Times New Roman" w:hAnsi="Calibri" w:cs="Calibri"/>
                <w:color w:val="000000"/>
                <w:lang w:val="en-US"/>
              </w:rPr>
            </w:pPr>
            <w:r w:rsidRPr="00A47A2E">
              <w:rPr>
                <w:rFonts w:ascii="Calibri" w:eastAsia="Times New Roman" w:hAnsi="Calibri" w:cs="Calibri"/>
                <w:color w:val="000000"/>
                <w:lang w:val="en-US"/>
              </w:rPr>
              <w:t> </w:t>
            </w:r>
          </w:p>
        </w:tc>
        <w:tc>
          <w:tcPr>
            <w:tcW w:w="1980" w:type="dxa"/>
            <w:tcBorders>
              <w:bottom w:val="single" w:sz="4" w:space="0" w:color="auto"/>
            </w:tcBorders>
            <w:shd w:val="clear" w:color="000000" w:fill="FFFFFF"/>
            <w:vAlign w:val="bottom"/>
            <w:hideMark/>
          </w:tcPr>
          <w:p w14:paraId="4FC4ADC1" w14:textId="5368B458" w:rsidR="009C555C" w:rsidRPr="00A47A2E" w:rsidRDefault="00444DB7" w:rsidP="00444DB7">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Percent</w:t>
            </w:r>
            <w:r w:rsidRPr="00A47A2E">
              <w:rPr>
                <w:rFonts w:ascii="Calibri" w:eastAsia="Times New Roman" w:hAnsi="Calibri" w:cs="Calibri"/>
                <w:color w:val="000000"/>
                <w:lang w:val="en-US"/>
              </w:rPr>
              <w:t xml:space="preserve"> </w:t>
            </w:r>
            <w:r w:rsidR="009C555C" w:rsidRPr="00A47A2E">
              <w:rPr>
                <w:rFonts w:ascii="Calibri" w:eastAsia="Times New Roman" w:hAnsi="Calibri" w:cs="Calibri"/>
                <w:color w:val="000000"/>
                <w:lang w:val="en-US"/>
              </w:rPr>
              <w:t>of 6</w:t>
            </w:r>
            <w:r>
              <w:rPr>
                <w:rFonts w:ascii="Calibri" w:eastAsia="Times New Roman" w:hAnsi="Calibri" w:cs="Calibri"/>
                <w:color w:val="000000"/>
                <w:lang w:val="en-US"/>
              </w:rPr>
              <w:t>–</w:t>
            </w:r>
            <w:r w:rsidR="009C555C" w:rsidRPr="00A47A2E">
              <w:rPr>
                <w:rFonts w:ascii="Calibri" w:eastAsia="Times New Roman" w:hAnsi="Calibri" w:cs="Calibri"/>
                <w:color w:val="000000"/>
                <w:lang w:val="en-US"/>
              </w:rPr>
              <w:t>9 year-olds in education</w:t>
            </w:r>
          </w:p>
        </w:tc>
        <w:tc>
          <w:tcPr>
            <w:tcW w:w="1890" w:type="dxa"/>
            <w:tcBorders>
              <w:bottom w:val="single" w:sz="4" w:space="0" w:color="auto"/>
            </w:tcBorders>
            <w:shd w:val="clear" w:color="000000" w:fill="FFFFFF"/>
            <w:vAlign w:val="bottom"/>
            <w:hideMark/>
          </w:tcPr>
          <w:p w14:paraId="474AAE8A" w14:textId="66839635" w:rsidR="009C555C" w:rsidRPr="00A47A2E" w:rsidRDefault="00444DB7" w:rsidP="00444DB7">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Percent </w:t>
            </w:r>
            <w:r w:rsidR="00B90F99">
              <w:rPr>
                <w:rFonts w:ascii="Calibri" w:eastAsia="Times New Roman" w:hAnsi="Calibri" w:cs="Calibri"/>
                <w:color w:val="000000"/>
                <w:lang w:val="en-US"/>
              </w:rPr>
              <w:t>of 10</w:t>
            </w:r>
            <w:r>
              <w:rPr>
                <w:rFonts w:ascii="Calibri" w:eastAsia="Times New Roman" w:hAnsi="Calibri" w:cs="Calibri"/>
                <w:color w:val="000000"/>
                <w:lang w:val="en-US"/>
              </w:rPr>
              <w:t>–</w:t>
            </w:r>
            <w:r w:rsidR="00B90F99">
              <w:rPr>
                <w:rFonts w:ascii="Calibri" w:eastAsia="Times New Roman" w:hAnsi="Calibri" w:cs="Calibri"/>
                <w:color w:val="000000"/>
                <w:lang w:val="en-US"/>
              </w:rPr>
              <w:t>14</w:t>
            </w:r>
            <w:r w:rsidR="009C555C" w:rsidRPr="00A47A2E">
              <w:rPr>
                <w:rFonts w:ascii="Calibri" w:eastAsia="Times New Roman" w:hAnsi="Calibri" w:cs="Calibri"/>
                <w:color w:val="000000"/>
                <w:lang w:val="en-US"/>
              </w:rPr>
              <w:t xml:space="preserve"> year-olds in education</w:t>
            </w:r>
          </w:p>
        </w:tc>
        <w:tc>
          <w:tcPr>
            <w:tcW w:w="1980" w:type="dxa"/>
            <w:tcBorders>
              <w:bottom w:val="single" w:sz="4" w:space="0" w:color="auto"/>
            </w:tcBorders>
            <w:shd w:val="clear" w:color="000000" w:fill="FFFFFF"/>
            <w:vAlign w:val="bottom"/>
            <w:hideMark/>
          </w:tcPr>
          <w:p w14:paraId="1716AD6A" w14:textId="16449E95" w:rsidR="009C555C" w:rsidRPr="00A47A2E" w:rsidRDefault="00444DB7" w:rsidP="00444DB7">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Percent </w:t>
            </w:r>
            <w:r w:rsidR="00B90F99">
              <w:rPr>
                <w:rFonts w:ascii="Calibri" w:eastAsia="Times New Roman" w:hAnsi="Calibri" w:cs="Calibri"/>
                <w:color w:val="000000"/>
                <w:lang w:val="en-US"/>
              </w:rPr>
              <w:t>of 15</w:t>
            </w:r>
            <w:r>
              <w:rPr>
                <w:rFonts w:ascii="Calibri" w:eastAsia="Times New Roman" w:hAnsi="Calibri" w:cs="Calibri"/>
                <w:color w:val="000000"/>
                <w:lang w:val="en-US"/>
              </w:rPr>
              <w:t>–</w:t>
            </w:r>
            <w:r w:rsidR="00B90F99">
              <w:rPr>
                <w:rFonts w:ascii="Calibri" w:eastAsia="Times New Roman" w:hAnsi="Calibri" w:cs="Calibri"/>
                <w:color w:val="000000"/>
                <w:lang w:val="en-US"/>
              </w:rPr>
              <w:t>17</w:t>
            </w:r>
            <w:r w:rsidR="009C555C" w:rsidRPr="00A47A2E">
              <w:rPr>
                <w:rFonts w:ascii="Calibri" w:eastAsia="Times New Roman" w:hAnsi="Calibri" w:cs="Calibri"/>
                <w:color w:val="000000"/>
                <w:lang w:val="en-US"/>
              </w:rPr>
              <w:t xml:space="preserve"> year-olds in education</w:t>
            </w:r>
          </w:p>
        </w:tc>
      </w:tr>
      <w:tr w:rsidR="009C555C" w:rsidRPr="00A47A2E" w14:paraId="44DEC33E" w14:textId="77777777" w:rsidTr="00774638">
        <w:trPr>
          <w:trHeight w:val="435"/>
        </w:trPr>
        <w:tc>
          <w:tcPr>
            <w:tcW w:w="3960" w:type="dxa"/>
            <w:tcBorders>
              <w:top w:val="single" w:sz="4" w:space="0" w:color="auto"/>
            </w:tcBorders>
            <w:shd w:val="clear" w:color="000000" w:fill="FFFFFF"/>
            <w:vAlign w:val="center"/>
            <w:hideMark/>
          </w:tcPr>
          <w:p w14:paraId="27EE208B" w14:textId="77777777" w:rsidR="009C555C" w:rsidRPr="00A47A2E" w:rsidRDefault="009C555C" w:rsidP="009C555C">
            <w:pPr>
              <w:spacing w:after="0" w:line="240" w:lineRule="auto"/>
              <w:rPr>
                <w:rFonts w:ascii="Calibri" w:eastAsia="Times New Roman" w:hAnsi="Calibri" w:cs="Calibri"/>
                <w:color w:val="000000"/>
                <w:lang w:val="en-US"/>
              </w:rPr>
            </w:pPr>
            <w:r w:rsidRPr="00A47A2E">
              <w:rPr>
                <w:rFonts w:ascii="Calibri" w:eastAsia="Times New Roman" w:hAnsi="Calibri" w:cs="Calibri"/>
                <w:color w:val="000000"/>
                <w:lang w:val="en-US"/>
              </w:rPr>
              <w:t xml:space="preserve">Children with both parents at home </w:t>
            </w:r>
          </w:p>
        </w:tc>
        <w:tc>
          <w:tcPr>
            <w:tcW w:w="1980" w:type="dxa"/>
            <w:tcBorders>
              <w:top w:val="single" w:sz="4" w:space="0" w:color="auto"/>
            </w:tcBorders>
            <w:shd w:val="clear" w:color="000000" w:fill="FFFFFF"/>
            <w:noWrap/>
            <w:vAlign w:val="center"/>
            <w:hideMark/>
          </w:tcPr>
          <w:p w14:paraId="75633CA6"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75.5</w:t>
            </w:r>
          </w:p>
        </w:tc>
        <w:tc>
          <w:tcPr>
            <w:tcW w:w="1890" w:type="dxa"/>
            <w:tcBorders>
              <w:top w:val="single" w:sz="4" w:space="0" w:color="auto"/>
            </w:tcBorders>
            <w:shd w:val="clear" w:color="000000" w:fill="FFFFFF"/>
            <w:noWrap/>
            <w:vAlign w:val="center"/>
            <w:hideMark/>
          </w:tcPr>
          <w:p w14:paraId="7B1AA96F"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97.3</w:t>
            </w:r>
          </w:p>
        </w:tc>
        <w:tc>
          <w:tcPr>
            <w:tcW w:w="1980" w:type="dxa"/>
            <w:tcBorders>
              <w:top w:val="single" w:sz="4" w:space="0" w:color="auto"/>
            </w:tcBorders>
            <w:shd w:val="clear" w:color="000000" w:fill="FFFFFF"/>
            <w:noWrap/>
            <w:vAlign w:val="center"/>
            <w:hideMark/>
          </w:tcPr>
          <w:p w14:paraId="48E2EE5A"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92.8</w:t>
            </w:r>
          </w:p>
        </w:tc>
      </w:tr>
      <w:tr w:rsidR="009C555C" w:rsidRPr="00A47A2E" w14:paraId="7A69836F" w14:textId="77777777" w:rsidTr="00774638">
        <w:trPr>
          <w:trHeight w:val="675"/>
        </w:trPr>
        <w:tc>
          <w:tcPr>
            <w:tcW w:w="3960" w:type="dxa"/>
            <w:shd w:val="clear" w:color="000000" w:fill="FFFFFF"/>
            <w:vAlign w:val="center"/>
            <w:hideMark/>
          </w:tcPr>
          <w:p w14:paraId="30F5057B" w14:textId="77777777" w:rsidR="009C555C" w:rsidRPr="00A47A2E" w:rsidRDefault="009C555C" w:rsidP="009C555C">
            <w:pPr>
              <w:spacing w:after="0" w:line="240" w:lineRule="auto"/>
              <w:rPr>
                <w:rFonts w:ascii="Calibri" w:eastAsia="Times New Roman" w:hAnsi="Calibri" w:cs="Calibri"/>
                <w:color w:val="000000"/>
                <w:lang w:val="en-US"/>
              </w:rPr>
            </w:pPr>
            <w:r w:rsidRPr="00A47A2E">
              <w:rPr>
                <w:rFonts w:ascii="Calibri" w:eastAsia="Times New Roman" w:hAnsi="Calibri" w:cs="Calibri"/>
                <w:color w:val="000000"/>
                <w:lang w:val="en-US"/>
              </w:rPr>
              <w:t>Children with one parent at home and the other having migrated</w:t>
            </w:r>
          </w:p>
        </w:tc>
        <w:tc>
          <w:tcPr>
            <w:tcW w:w="1980" w:type="dxa"/>
            <w:shd w:val="clear" w:color="000000" w:fill="FFFFFF"/>
            <w:noWrap/>
            <w:vAlign w:val="center"/>
            <w:hideMark/>
          </w:tcPr>
          <w:p w14:paraId="42DFFF00"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77.1</w:t>
            </w:r>
          </w:p>
        </w:tc>
        <w:tc>
          <w:tcPr>
            <w:tcW w:w="1890" w:type="dxa"/>
            <w:shd w:val="clear" w:color="000000" w:fill="FFFFFF"/>
            <w:noWrap/>
            <w:vAlign w:val="center"/>
            <w:hideMark/>
          </w:tcPr>
          <w:p w14:paraId="26466923"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97.9</w:t>
            </w:r>
          </w:p>
        </w:tc>
        <w:tc>
          <w:tcPr>
            <w:tcW w:w="1980" w:type="dxa"/>
            <w:shd w:val="clear" w:color="000000" w:fill="FFFFFF"/>
            <w:noWrap/>
            <w:vAlign w:val="center"/>
            <w:hideMark/>
          </w:tcPr>
          <w:p w14:paraId="763C17C9"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91.3</w:t>
            </w:r>
          </w:p>
        </w:tc>
      </w:tr>
      <w:tr w:rsidR="009C555C" w:rsidRPr="00A47A2E" w14:paraId="0C321C49" w14:textId="77777777" w:rsidTr="00774638">
        <w:trPr>
          <w:trHeight w:val="495"/>
        </w:trPr>
        <w:tc>
          <w:tcPr>
            <w:tcW w:w="3960" w:type="dxa"/>
            <w:tcBorders>
              <w:bottom w:val="single" w:sz="4" w:space="0" w:color="auto"/>
            </w:tcBorders>
            <w:shd w:val="clear" w:color="000000" w:fill="FFFFFF"/>
            <w:vAlign w:val="center"/>
            <w:hideMark/>
          </w:tcPr>
          <w:p w14:paraId="3CE43E9F" w14:textId="77777777" w:rsidR="009C555C" w:rsidRPr="00A47A2E" w:rsidRDefault="009C555C" w:rsidP="009C555C">
            <w:pPr>
              <w:spacing w:after="0" w:line="240" w:lineRule="auto"/>
              <w:rPr>
                <w:rFonts w:ascii="Calibri" w:eastAsia="Times New Roman" w:hAnsi="Calibri" w:cs="Calibri"/>
                <w:color w:val="000000"/>
                <w:lang w:val="en-US"/>
              </w:rPr>
            </w:pPr>
            <w:r w:rsidRPr="00A47A2E">
              <w:rPr>
                <w:rFonts w:ascii="Calibri" w:eastAsia="Times New Roman" w:hAnsi="Calibri" w:cs="Calibri"/>
                <w:color w:val="000000"/>
                <w:lang w:val="en-US"/>
              </w:rPr>
              <w:t>Children with both parents migrated abroad</w:t>
            </w:r>
          </w:p>
        </w:tc>
        <w:tc>
          <w:tcPr>
            <w:tcW w:w="1980" w:type="dxa"/>
            <w:tcBorders>
              <w:bottom w:val="single" w:sz="4" w:space="0" w:color="auto"/>
            </w:tcBorders>
            <w:shd w:val="clear" w:color="000000" w:fill="FFFFFF"/>
            <w:noWrap/>
            <w:vAlign w:val="center"/>
            <w:hideMark/>
          </w:tcPr>
          <w:p w14:paraId="1B433900"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60.3</w:t>
            </w:r>
          </w:p>
        </w:tc>
        <w:tc>
          <w:tcPr>
            <w:tcW w:w="1890" w:type="dxa"/>
            <w:tcBorders>
              <w:bottom w:val="single" w:sz="4" w:space="0" w:color="auto"/>
            </w:tcBorders>
            <w:shd w:val="clear" w:color="000000" w:fill="FFFFFF"/>
            <w:noWrap/>
            <w:vAlign w:val="center"/>
            <w:hideMark/>
          </w:tcPr>
          <w:p w14:paraId="7CEE634D"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87.0</w:t>
            </w:r>
          </w:p>
        </w:tc>
        <w:tc>
          <w:tcPr>
            <w:tcW w:w="1980" w:type="dxa"/>
            <w:tcBorders>
              <w:bottom w:val="single" w:sz="4" w:space="0" w:color="auto"/>
            </w:tcBorders>
            <w:shd w:val="clear" w:color="000000" w:fill="FFFFFF"/>
            <w:noWrap/>
            <w:vAlign w:val="center"/>
            <w:hideMark/>
          </w:tcPr>
          <w:p w14:paraId="60648AEA" w14:textId="77777777" w:rsidR="009C555C" w:rsidRPr="00A47A2E" w:rsidRDefault="009C555C" w:rsidP="009C555C">
            <w:pPr>
              <w:spacing w:after="0" w:line="240" w:lineRule="auto"/>
              <w:jc w:val="center"/>
              <w:rPr>
                <w:rFonts w:ascii="Calibri" w:eastAsia="Times New Roman" w:hAnsi="Calibri" w:cs="Calibri"/>
                <w:color w:val="000000"/>
                <w:lang w:val="en-US"/>
              </w:rPr>
            </w:pPr>
            <w:r w:rsidRPr="00A47A2E">
              <w:rPr>
                <w:rFonts w:ascii="Calibri" w:eastAsia="Times New Roman" w:hAnsi="Calibri" w:cs="Calibri"/>
                <w:color w:val="000000"/>
                <w:lang w:val="en-US"/>
              </w:rPr>
              <w:t>73.3</w:t>
            </w:r>
          </w:p>
        </w:tc>
      </w:tr>
      <w:tr w:rsidR="009C555C" w:rsidRPr="00A47A2E" w14:paraId="6E325663" w14:textId="77777777" w:rsidTr="00774638">
        <w:trPr>
          <w:trHeight w:val="300"/>
        </w:trPr>
        <w:tc>
          <w:tcPr>
            <w:tcW w:w="3960" w:type="dxa"/>
            <w:tcBorders>
              <w:top w:val="single" w:sz="4" w:space="0" w:color="auto"/>
            </w:tcBorders>
            <w:shd w:val="clear" w:color="000000" w:fill="FFFFFF"/>
            <w:noWrap/>
            <w:vAlign w:val="bottom"/>
            <w:hideMark/>
          </w:tcPr>
          <w:p w14:paraId="7973D7DC" w14:textId="1306144A" w:rsidR="009C555C" w:rsidRPr="00242B25" w:rsidRDefault="009C555C" w:rsidP="009C555C">
            <w:pPr>
              <w:spacing w:after="0" w:line="240" w:lineRule="auto"/>
              <w:rPr>
                <w:rFonts w:ascii="Calibri" w:eastAsia="Times New Roman" w:hAnsi="Calibri" w:cs="Calibri"/>
                <w:color w:val="000000"/>
                <w:lang w:val="en-US"/>
              </w:rPr>
            </w:pPr>
            <w:r w:rsidRPr="00242B25">
              <w:rPr>
                <w:rFonts w:ascii="Calibri" w:eastAsia="Times New Roman" w:hAnsi="Calibri" w:cs="Calibri"/>
                <w:color w:val="000000"/>
                <w:lang w:val="en-US"/>
              </w:rPr>
              <w:t xml:space="preserve">Source: World Bank </w:t>
            </w:r>
            <w:r w:rsidR="004E7256" w:rsidRPr="00242B25">
              <w:rPr>
                <w:rFonts w:ascii="Calibri" w:eastAsia="Times New Roman" w:hAnsi="Calibri" w:cs="Calibri"/>
                <w:color w:val="000000"/>
                <w:lang w:val="en-US"/>
              </w:rPr>
              <w:t>(</w:t>
            </w:r>
            <w:r w:rsidRPr="00242B25">
              <w:rPr>
                <w:rFonts w:ascii="Calibri" w:eastAsia="Times New Roman" w:hAnsi="Calibri" w:cs="Calibri"/>
                <w:color w:val="000000"/>
                <w:lang w:val="en-US"/>
              </w:rPr>
              <w:t>201</w:t>
            </w:r>
            <w:r w:rsidR="00D17AF4" w:rsidRPr="00242B25">
              <w:rPr>
                <w:rFonts w:ascii="Calibri" w:eastAsia="Times New Roman" w:hAnsi="Calibri" w:cs="Calibri"/>
                <w:color w:val="000000"/>
                <w:lang w:val="en-US"/>
              </w:rPr>
              <w:t>5</w:t>
            </w:r>
            <w:r w:rsidR="004E7256" w:rsidRPr="00242B25">
              <w:rPr>
                <w:rFonts w:ascii="Calibri" w:eastAsia="Times New Roman" w:hAnsi="Calibri" w:cs="Calibri"/>
                <w:color w:val="000000"/>
                <w:lang w:val="en-US"/>
              </w:rPr>
              <w:t>)</w:t>
            </w:r>
          </w:p>
        </w:tc>
        <w:tc>
          <w:tcPr>
            <w:tcW w:w="1980" w:type="dxa"/>
            <w:tcBorders>
              <w:top w:val="single" w:sz="4" w:space="0" w:color="auto"/>
            </w:tcBorders>
            <w:shd w:val="clear" w:color="000000" w:fill="FFFFFF"/>
            <w:noWrap/>
            <w:vAlign w:val="bottom"/>
            <w:hideMark/>
          </w:tcPr>
          <w:p w14:paraId="6C2D0DBA" w14:textId="77777777" w:rsidR="009C555C" w:rsidRPr="00A47A2E" w:rsidRDefault="009C555C" w:rsidP="009C555C">
            <w:pPr>
              <w:spacing w:after="0" w:line="240" w:lineRule="auto"/>
              <w:rPr>
                <w:rFonts w:ascii="Calibri" w:eastAsia="Times New Roman" w:hAnsi="Calibri" w:cs="Calibri"/>
                <w:color w:val="000000"/>
                <w:lang w:val="en-US"/>
              </w:rPr>
            </w:pPr>
            <w:r w:rsidRPr="00A47A2E">
              <w:rPr>
                <w:rFonts w:ascii="Calibri" w:eastAsia="Times New Roman" w:hAnsi="Calibri" w:cs="Calibri"/>
                <w:color w:val="000000"/>
                <w:lang w:val="en-US"/>
              </w:rPr>
              <w:t> </w:t>
            </w:r>
          </w:p>
        </w:tc>
        <w:tc>
          <w:tcPr>
            <w:tcW w:w="1890" w:type="dxa"/>
            <w:tcBorders>
              <w:top w:val="single" w:sz="4" w:space="0" w:color="auto"/>
            </w:tcBorders>
            <w:shd w:val="clear" w:color="000000" w:fill="FFFFFF"/>
            <w:noWrap/>
            <w:vAlign w:val="bottom"/>
            <w:hideMark/>
          </w:tcPr>
          <w:p w14:paraId="17748DB0" w14:textId="77777777" w:rsidR="009C555C" w:rsidRPr="00A47A2E" w:rsidRDefault="009C555C" w:rsidP="009C555C">
            <w:pPr>
              <w:spacing w:after="0" w:line="240" w:lineRule="auto"/>
              <w:rPr>
                <w:rFonts w:ascii="Calibri" w:eastAsia="Times New Roman" w:hAnsi="Calibri" w:cs="Calibri"/>
                <w:color w:val="000000"/>
                <w:lang w:val="en-US"/>
              </w:rPr>
            </w:pPr>
            <w:r w:rsidRPr="00A47A2E">
              <w:rPr>
                <w:rFonts w:ascii="Calibri" w:eastAsia="Times New Roman" w:hAnsi="Calibri" w:cs="Calibri"/>
                <w:color w:val="000000"/>
                <w:lang w:val="en-US"/>
              </w:rPr>
              <w:t> </w:t>
            </w:r>
          </w:p>
        </w:tc>
        <w:tc>
          <w:tcPr>
            <w:tcW w:w="1980" w:type="dxa"/>
            <w:tcBorders>
              <w:top w:val="single" w:sz="4" w:space="0" w:color="auto"/>
            </w:tcBorders>
            <w:shd w:val="clear" w:color="000000" w:fill="FFFFFF"/>
            <w:noWrap/>
            <w:vAlign w:val="bottom"/>
            <w:hideMark/>
          </w:tcPr>
          <w:p w14:paraId="6D6C48D0" w14:textId="77777777" w:rsidR="009C555C" w:rsidRPr="00A47A2E" w:rsidRDefault="009C555C" w:rsidP="009C555C">
            <w:pPr>
              <w:spacing w:after="0" w:line="240" w:lineRule="auto"/>
              <w:rPr>
                <w:rFonts w:ascii="Calibri" w:eastAsia="Times New Roman" w:hAnsi="Calibri" w:cs="Calibri"/>
                <w:color w:val="000000"/>
                <w:lang w:val="en-US"/>
              </w:rPr>
            </w:pPr>
            <w:r w:rsidRPr="00A47A2E">
              <w:rPr>
                <w:rFonts w:ascii="Calibri" w:eastAsia="Times New Roman" w:hAnsi="Calibri" w:cs="Calibri"/>
                <w:color w:val="000000"/>
                <w:lang w:val="en-US"/>
              </w:rPr>
              <w:t> </w:t>
            </w:r>
          </w:p>
        </w:tc>
      </w:tr>
    </w:tbl>
    <w:p w14:paraId="66042FE7" w14:textId="05ED66FB" w:rsidR="00F626B6" w:rsidRDefault="00F626B6" w:rsidP="00774638">
      <w:pPr>
        <w:pStyle w:val="Heading1"/>
        <w:numPr>
          <w:ilvl w:val="0"/>
          <w:numId w:val="0"/>
        </w:numPr>
        <w:rPr>
          <w:rFonts w:asciiTheme="minorHAnsi" w:eastAsiaTheme="minorHAnsi" w:hAnsiTheme="minorHAnsi" w:cstheme="minorHAnsi"/>
          <w:b/>
          <w:color w:val="000000" w:themeColor="text1"/>
          <w:sz w:val="22"/>
          <w:szCs w:val="22"/>
          <w:lang w:val="en-US"/>
        </w:rPr>
      </w:pPr>
    </w:p>
    <w:p w14:paraId="7F946AB8" w14:textId="77777777" w:rsidR="00F626B6" w:rsidRPr="00774638" w:rsidRDefault="00F626B6" w:rsidP="00774638">
      <w:pPr>
        <w:rPr>
          <w:lang w:val="en-US"/>
        </w:rPr>
      </w:pPr>
    </w:p>
    <w:p w14:paraId="50D9522A" w14:textId="645BDE38" w:rsidR="00F626B6" w:rsidRDefault="00F626B6">
      <w:pPr>
        <w:rPr>
          <w:lang w:val="en-US"/>
        </w:rPr>
      </w:pPr>
    </w:p>
    <w:p w14:paraId="3368F950" w14:textId="09EB3FC1" w:rsidR="00F626B6" w:rsidRDefault="00F626B6">
      <w:pPr>
        <w:rPr>
          <w:lang w:val="en-US"/>
        </w:rPr>
      </w:pPr>
    </w:p>
    <w:p w14:paraId="20F994E0" w14:textId="0C909C6B" w:rsidR="00F626B6" w:rsidRDefault="00F626B6">
      <w:pPr>
        <w:rPr>
          <w:lang w:val="en-US"/>
        </w:rPr>
      </w:pPr>
    </w:p>
    <w:p w14:paraId="22CD7AC8" w14:textId="7E07BA9F" w:rsidR="00F626B6" w:rsidRDefault="00F626B6">
      <w:pPr>
        <w:rPr>
          <w:lang w:val="en-US"/>
        </w:rPr>
      </w:pPr>
    </w:p>
    <w:p w14:paraId="098F58A1" w14:textId="26C39AC1" w:rsidR="00F626B6" w:rsidRDefault="00F626B6">
      <w:pPr>
        <w:rPr>
          <w:lang w:val="en-US"/>
        </w:rPr>
      </w:pPr>
    </w:p>
    <w:p w14:paraId="39149509" w14:textId="59ED9253" w:rsidR="00F626B6" w:rsidRDefault="00F626B6">
      <w:pPr>
        <w:rPr>
          <w:lang w:val="en-US"/>
        </w:rPr>
      </w:pPr>
    </w:p>
    <w:p w14:paraId="0A1362D5" w14:textId="5BDEBDF9" w:rsidR="00F626B6" w:rsidRDefault="00F626B6">
      <w:pPr>
        <w:rPr>
          <w:lang w:val="en-US"/>
        </w:rPr>
      </w:pPr>
    </w:p>
    <w:p w14:paraId="0B2AF218" w14:textId="07209ADD" w:rsidR="00F626B6" w:rsidRDefault="00F626B6">
      <w:pPr>
        <w:rPr>
          <w:lang w:val="en-US"/>
        </w:rPr>
      </w:pPr>
    </w:p>
    <w:p w14:paraId="08E1B501" w14:textId="41814B25" w:rsidR="00D159E9" w:rsidRDefault="00D159E9">
      <w:pPr>
        <w:rPr>
          <w:lang w:val="en-US"/>
        </w:rPr>
      </w:pPr>
      <w:r>
        <w:rPr>
          <w:lang w:val="en-US"/>
        </w:rPr>
        <w:br w:type="page"/>
      </w:r>
    </w:p>
    <w:p w14:paraId="6E7B09EC" w14:textId="77777777" w:rsidR="00D07A30" w:rsidRPr="00B15EF0" w:rsidRDefault="00D07A30" w:rsidP="00242B25">
      <w:pPr>
        <w:pStyle w:val="Heading1"/>
        <w:numPr>
          <w:ilvl w:val="0"/>
          <w:numId w:val="0"/>
        </w:numPr>
        <w:rPr>
          <w:rFonts w:asciiTheme="minorHAnsi" w:hAnsiTheme="minorHAnsi" w:cstheme="minorHAnsi"/>
          <w:lang w:val="en-US"/>
        </w:rPr>
      </w:pPr>
      <w:bookmarkStart w:id="40" w:name="_Toc511308337"/>
      <w:r w:rsidRPr="00B15EF0">
        <w:rPr>
          <w:rFonts w:asciiTheme="minorHAnsi" w:hAnsiTheme="minorHAnsi" w:cstheme="minorHAnsi"/>
          <w:lang w:val="en-US"/>
        </w:rPr>
        <w:lastRenderedPageBreak/>
        <w:t>Conclusions</w:t>
      </w:r>
      <w:bookmarkEnd w:id="40"/>
      <w:r w:rsidR="00A258D1" w:rsidRPr="00B15EF0">
        <w:rPr>
          <w:rFonts w:asciiTheme="minorHAnsi" w:hAnsiTheme="minorHAnsi" w:cstheme="minorHAnsi"/>
          <w:lang w:val="en-US"/>
        </w:rPr>
        <w:t xml:space="preserve"> </w:t>
      </w:r>
    </w:p>
    <w:p w14:paraId="72E418F9" w14:textId="61846E81" w:rsidR="009931D4" w:rsidRPr="009931D4" w:rsidRDefault="00F626B6" w:rsidP="00D159E9">
      <w:pPr>
        <w:spacing w:after="240" w:line="240" w:lineRule="auto"/>
        <w:jc w:val="both"/>
        <w:rPr>
          <w:lang w:val="en-US"/>
        </w:rPr>
      </w:pPr>
      <w:r>
        <w:rPr>
          <w:b/>
          <w:lang w:val="en-US"/>
        </w:rPr>
        <w:t>Romania</w:t>
      </w:r>
      <w:r w:rsidR="00FF3D3A">
        <w:rPr>
          <w:b/>
          <w:lang w:val="en-US"/>
        </w:rPr>
        <w:t xml:space="preserve"> registered the highest increase </w:t>
      </w:r>
      <w:r w:rsidR="00B84FD0">
        <w:rPr>
          <w:b/>
          <w:lang w:val="en-US"/>
        </w:rPr>
        <w:t>in emigration among the EU</w:t>
      </w:r>
      <w:r w:rsidR="002D0902">
        <w:rPr>
          <w:b/>
          <w:lang w:val="en-US"/>
        </w:rPr>
        <w:t xml:space="preserve"> countries after the fall of the communist regime. </w:t>
      </w:r>
      <w:r w:rsidR="002D0902" w:rsidRPr="00774638">
        <w:rPr>
          <w:lang w:val="en-US"/>
        </w:rPr>
        <w:t>Between 1990 and 2017, Romania registered the highest increase in the migration stock, at 287 percent.</w:t>
      </w:r>
      <w:r w:rsidR="002D0902">
        <w:rPr>
          <w:lang w:val="en-US"/>
        </w:rPr>
        <w:t xml:space="preserve"> </w:t>
      </w:r>
      <w:r w:rsidR="004E5690">
        <w:rPr>
          <w:lang w:val="en-US"/>
        </w:rPr>
        <w:t>Most of the</w:t>
      </w:r>
      <w:r w:rsidR="002D0902">
        <w:rPr>
          <w:lang w:val="en-US"/>
        </w:rPr>
        <w:t xml:space="preserve"> increase was experienced </w:t>
      </w:r>
      <w:r w:rsidR="004E5690">
        <w:rPr>
          <w:lang w:val="en-US"/>
        </w:rPr>
        <w:t>after 2000</w:t>
      </w:r>
      <w:r w:rsidR="00444DB7">
        <w:rPr>
          <w:lang w:val="en-US"/>
        </w:rPr>
        <w:t>,</w:t>
      </w:r>
      <w:r w:rsidR="004E5690">
        <w:rPr>
          <w:lang w:val="en-US"/>
        </w:rPr>
        <w:t xml:space="preserve"> when more than 2.4 million persons migrated abroad.</w:t>
      </w:r>
      <w:r>
        <w:rPr>
          <w:b/>
          <w:lang w:val="en-US"/>
        </w:rPr>
        <w:t xml:space="preserve"> </w:t>
      </w:r>
      <w:r w:rsidR="004E5690">
        <w:rPr>
          <w:lang w:val="en-US"/>
        </w:rPr>
        <w:t xml:space="preserve">As </w:t>
      </w:r>
      <w:r w:rsidR="009931D4" w:rsidRPr="004A0368">
        <w:rPr>
          <w:lang w:val="en-US"/>
        </w:rPr>
        <w:t>Romania’s population fell from 22.8 million in 2000 to 19.</w:t>
      </w:r>
      <w:r w:rsidR="004E5690">
        <w:rPr>
          <w:lang w:val="en-US"/>
        </w:rPr>
        <w:t>6</w:t>
      </w:r>
      <w:r w:rsidR="009931D4" w:rsidRPr="004A0368">
        <w:rPr>
          <w:lang w:val="en-US"/>
        </w:rPr>
        <w:t xml:space="preserve"> million in 201</w:t>
      </w:r>
      <w:r w:rsidR="004E5690">
        <w:rPr>
          <w:lang w:val="en-US"/>
        </w:rPr>
        <w:t>7</w:t>
      </w:r>
      <w:r w:rsidR="009931D4" w:rsidRPr="004A0368">
        <w:rPr>
          <w:lang w:val="en-US"/>
        </w:rPr>
        <w:t xml:space="preserve">, outward migration was responsible for </w:t>
      </w:r>
      <w:r w:rsidR="00444DB7">
        <w:rPr>
          <w:lang w:val="en-US"/>
        </w:rPr>
        <w:t xml:space="preserve">more than </w:t>
      </w:r>
      <w:r w:rsidR="009931D4" w:rsidRPr="004A0368">
        <w:rPr>
          <w:lang w:val="en-US"/>
        </w:rPr>
        <w:t>75 percent of the decline.</w:t>
      </w:r>
      <w:bookmarkStart w:id="41" w:name="_Hlk511401410"/>
    </w:p>
    <w:p w14:paraId="1C6129CE" w14:textId="5DF53FAB" w:rsidR="004E5690" w:rsidRDefault="00DE1B89" w:rsidP="00D159E9">
      <w:pPr>
        <w:spacing w:after="240" w:line="240" w:lineRule="auto"/>
        <w:jc w:val="both"/>
        <w:rPr>
          <w:lang w:val="en-US"/>
        </w:rPr>
      </w:pPr>
      <w:r w:rsidRPr="005F6D65">
        <w:rPr>
          <w:b/>
          <w:lang w:val="en-US"/>
        </w:rPr>
        <w:t>The Romanian working population has been particularly affected by the large outflow.</w:t>
      </w:r>
      <w:r w:rsidRPr="005F6D65">
        <w:rPr>
          <w:lang w:val="en-US"/>
        </w:rPr>
        <w:t xml:space="preserve"> </w:t>
      </w:r>
      <w:bookmarkEnd w:id="41"/>
      <w:r w:rsidR="004E5690">
        <w:rPr>
          <w:lang w:val="en-US"/>
        </w:rPr>
        <w:t>W</w:t>
      </w:r>
      <w:r w:rsidRPr="005F6D65">
        <w:rPr>
          <w:lang w:val="en-US"/>
        </w:rPr>
        <w:t>orking</w:t>
      </w:r>
      <w:r w:rsidR="00444DB7">
        <w:rPr>
          <w:lang w:val="en-US"/>
        </w:rPr>
        <w:t>-</w:t>
      </w:r>
      <w:r w:rsidRPr="005F6D65">
        <w:rPr>
          <w:lang w:val="en-US"/>
        </w:rPr>
        <w:t>age emigrants exceed 2.6</w:t>
      </w:r>
      <w:r w:rsidR="004E5690">
        <w:rPr>
          <w:lang w:val="en-US"/>
        </w:rPr>
        <w:t>5</w:t>
      </w:r>
      <w:r w:rsidRPr="005F6D65">
        <w:rPr>
          <w:lang w:val="en-US"/>
        </w:rPr>
        <w:t xml:space="preserve"> m</w:t>
      </w:r>
      <w:r>
        <w:rPr>
          <w:lang w:val="en-US"/>
        </w:rPr>
        <w:t>illion</w:t>
      </w:r>
      <w:r w:rsidR="004E5690">
        <w:rPr>
          <w:lang w:val="en-US"/>
        </w:rPr>
        <w:t xml:space="preserve"> persons</w:t>
      </w:r>
      <w:r>
        <w:rPr>
          <w:lang w:val="en-US"/>
        </w:rPr>
        <w:t xml:space="preserve">. This is equivalent to a </w:t>
      </w:r>
      <w:r w:rsidR="004E5690">
        <w:rPr>
          <w:lang w:val="en-US"/>
        </w:rPr>
        <w:t>20</w:t>
      </w:r>
      <w:r>
        <w:rPr>
          <w:lang w:val="en-US"/>
        </w:rPr>
        <w:t>.</w:t>
      </w:r>
      <w:r w:rsidR="004E5690">
        <w:rPr>
          <w:lang w:val="en-US"/>
        </w:rPr>
        <w:t>6</w:t>
      </w:r>
      <w:r>
        <w:rPr>
          <w:lang w:val="en-US"/>
        </w:rPr>
        <w:t xml:space="preserve"> percent emigration rate</w:t>
      </w:r>
      <w:r w:rsidR="004E5690">
        <w:rPr>
          <w:lang w:val="en-US"/>
        </w:rPr>
        <w:t xml:space="preserve">. </w:t>
      </w:r>
      <w:r w:rsidR="00444DB7">
        <w:rPr>
          <w:lang w:val="en-US"/>
        </w:rPr>
        <w:t>Both the h</w:t>
      </w:r>
      <w:r w:rsidR="004E5690">
        <w:rPr>
          <w:lang w:val="en-US"/>
        </w:rPr>
        <w:t>igh-skilled and low-skilled labor force</w:t>
      </w:r>
      <w:r w:rsidR="00444DB7">
        <w:rPr>
          <w:lang w:val="en-US"/>
        </w:rPr>
        <w:t>s</w:t>
      </w:r>
      <w:r w:rsidR="004E5690">
        <w:rPr>
          <w:lang w:val="en-US"/>
        </w:rPr>
        <w:t xml:space="preserve"> </w:t>
      </w:r>
      <w:r w:rsidR="00444DB7">
        <w:rPr>
          <w:lang w:val="en-US"/>
        </w:rPr>
        <w:t xml:space="preserve">were </w:t>
      </w:r>
      <w:r w:rsidR="004E5690">
        <w:rPr>
          <w:lang w:val="en-US"/>
        </w:rPr>
        <w:t>particularly affected.</w:t>
      </w:r>
      <w:r w:rsidR="004E5690" w:rsidRPr="00242B25">
        <w:rPr>
          <w:lang w:val="en-US"/>
        </w:rPr>
        <w:t xml:space="preserve"> </w:t>
      </w:r>
      <w:r w:rsidR="00CE3BA4">
        <w:rPr>
          <w:lang w:val="en-US"/>
        </w:rPr>
        <w:t>The highest emigration rate was</w:t>
      </w:r>
      <w:r w:rsidR="004E5690" w:rsidRPr="004E5690">
        <w:rPr>
          <w:lang w:val="en-US"/>
        </w:rPr>
        <w:t xml:space="preserve"> registered for high-skilled emigrants at 26.6 percent</w:t>
      </w:r>
      <w:r w:rsidR="00444DB7">
        <w:rPr>
          <w:lang w:val="en-US"/>
        </w:rPr>
        <w:t>,</w:t>
      </w:r>
      <w:r w:rsidR="00CE3BA4">
        <w:rPr>
          <w:lang w:val="en-US"/>
        </w:rPr>
        <w:t xml:space="preserve"> and</w:t>
      </w:r>
      <w:r w:rsidR="004E5690" w:rsidRPr="004E5690">
        <w:rPr>
          <w:lang w:val="en-US"/>
        </w:rPr>
        <w:t xml:space="preserve"> low-</w:t>
      </w:r>
      <w:r w:rsidR="00CE3BA4">
        <w:rPr>
          <w:lang w:val="en-US"/>
        </w:rPr>
        <w:t>skilled emigrants at 20 percent</w:t>
      </w:r>
      <w:r w:rsidR="00444DB7">
        <w:rPr>
          <w:lang w:val="en-US"/>
        </w:rPr>
        <w:t>,</w:t>
      </w:r>
      <w:r w:rsidR="00CE3BA4">
        <w:rPr>
          <w:lang w:val="en-US"/>
        </w:rPr>
        <w:t xml:space="preserve"> leading to</w:t>
      </w:r>
      <w:r w:rsidR="00BC60CA">
        <w:rPr>
          <w:lang w:val="en-US"/>
        </w:rPr>
        <w:t xml:space="preserve"> </w:t>
      </w:r>
      <w:r w:rsidR="00BC60CA" w:rsidRPr="00416305">
        <w:rPr>
          <w:color w:val="000000" w:themeColor="text1"/>
          <w:lang w:val="en-US"/>
        </w:rPr>
        <w:t>significant</w:t>
      </w:r>
      <w:r w:rsidR="00CE3BA4" w:rsidRPr="00416305">
        <w:rPr>
          <w:color w:val="000000" w:themeColor="text1"/>
          <w:lang w:val="en-US"/>
        </w:rPr>
        <w:t xml:space="preserve"> </w:t>
      </w:r>
      <w:r w:rsidR="00747B94" w:rsidRPr="00416305">
        <w:rPr>
          <w:color w:val="000000" w:themeColor="text1"/>
          <w:lang w:val="en-US"/>
        </w:rPr>
        <w:t xml:space="preserve">labor </w:t>
      </w:r>
      <w:r w:rsidR="00CE3BA4">
        <w:rPr>
          <w:lang w:val="en-US"/>
        </w:rPr>
        <w:t>supply shortages</w:t>
      </w:r>
      <w:r w:rsidR="00CB7850" w:rsidRPr="00242B25">
        <w:rPr>
          <w:color w:val="FF0000"/>
          <w:lang w:val="en-US"/>
        </w:rPr>
        <w:t xml:space="preserve"> </w:t>
      </w:r>
      <w:r w:rsidR="00CE3BA4" w:rsidRPr="005F6D65">
        <w:rPr>
          <w:lang w:val="en-US"/>
        </w:rPr>
        <w:t>(European Commission 2014).</w:t>
      </w:r>
    </w:p>
    <w:p w14:paraId="23E28BE0" w14:textId="4E742484" w:rsidR="00B84FD0" w:rsidRPr="005F6D65" w:rsidRDefault="00CE3BA4" w:rsidP="00D159E9">
      <w:pPr>
        <w:spacing w:after="240" w:line="240" w:lineRule="auto"/>
        <w:jc w:val="both"/>
        <w:rPr>
          <w:lang w:val="en-US"/>
        </w:rPr>
      </w:pPr>
      <w:r w:rsidRPr="00774638">
        <w:rPr>
          <w:b/>
          <w:lang w:val="en-US"/>
        </w:rPr>
        <w:t xml:space="preserve">The positive impact of remittances and return migration on </w:t>
      </w:r>
      <w:r w:rsidRPr="00242B25">
        <w:rPr>
          <w:b/>
          <w:lang w:val="en-US"/>
        </w:rPr>
        <w:t xml:space="preserve">economic growth was partially offset by the </w:t>
      </w:r>
      <w:r w:rsidRPr="00774638">
        <w:rPr>
          <w:b/>
          <w:lang w:val="en-US"/>
        </w:rPr>
        <w:t>negative impact of skilled emigration.</w:t>
      </w:r>
      <w:r>
        <w:rPr>
          <w:b/>
          <w:lang w:val="en-US"/>
        </w:rPr>
        <w:t xml:space="preserve"> </w:t>
      </w:r>
      <w:r w:rsidR="00BC60CA" w:rsidRPr="00774638">
        <w:rPr>
          <w:lang w:val="en-US"/>
        </w:rPr>
        <w:t>On one hand, l</w:t>
      </w:r>
      <w:r w:rsidRPr="00774638">
        <w:rPr>
          <w:lang w:val="en-US"/>
        </w:rPr>
        <w:t>abor productivity was positively affected by the returning Romanian migrants (Léon-Ledesma and Piracha 2004, Radu and Epstein 2007, Mereuta 2012) while remittances boosted investment (Léon-Ledesma and Piracha 2004, Radu and Epstein 2007, Mereuta 2012)</w:t>
      </w:r>
      <w:r>
        <w:rPr>
          <w:b/>
          <w:lang w:val="en-US"/>
        </w:rPr>
        <w:t>.</w:t>
      </w:r>
      <w:r w:rsidR="00BC60CA">
        <w:rPr>
          <w:lang w:val="en-US"/>
        </w:rPr>
        <w:t xml:space="preserve"> On the other hand, s</w:t>
      </w:r>
      <w:r w:rsidR="00BC60CA" w:rsidRPr="004D504F">
        <w:rPr>
          <w:lang w:val="en-US"/>
        </w:rPr>
        <w:t>killed emigration played a key role in slowing output growth</w:t>
      </w:r>
      <w:r w:rsidR="00BC60CA">
        <w:rPr>
          <w:lang w:val="en-US"/>
        </w:rPr>
        <w:t>. C</w:t>
      </w:r>
      <w:r w:rsidRPr="00774638">
        <w:rPr>
          <w:lang w:val="en-US"/>
        </w:rPr>
        <w:t xml:space="preserve">umulative real GDP growth would have been around 10 percentage points higher on average in Romania in </w:t>
      </w:r>
      <w:r w:rsidR="00444DB7">
        <w:rPr>
          <w:lang w:val="en-US"/>
        </w:rPr>
        <w:t xml:space="preserve">the </w:t>
      </w:r>
      <w:r w:rsidRPr="00774638">
        <w:rPr>
          <w:lang w:val="en-US"/>
        </w:rPr>
        <w:t>absence of emigration (IMF 2016).</w:t>
      </w:r>
      <w:r>
        <w:rPr>
          <w:b/>
          <w:lang w:val="en-US"/>
        </w:rPr>
        <w:t xml:space="preserve"> </w:t>
      </w:r>
    </w:p>
    <w:p w14:paraId="536AB49F" w14:textId="0EB34E70" w:rsidR="00331A26" w:rsidRPr="00416305" w:rsidRDefault="005D2444" w:rsidP="00D159E9">
      <w:pPr>
        <w:spacing w:after="240" w:line="240" w:lineRule="auto"/>
        <w:jc w:val="both"/>
        <w:rPr>
          <w:color w:val="000000" w:themeColor="text1"/>
          <w:lang w:val="en-US"/>
        </w:rPr>
      </w:pPr>
      <w:r w:rsidRPr="005D2444">
        <w:rPr>
          <w:b/>
          <w:lang w:val="en-US"/>
        </w:rPr>
        <w:t>The social impact of emigration has been mixed</w:t>
      </w:r>
      <w:r w:rsidR="00DE1B89">
        <w:rPr>
          <w:b/>
          <w:lang w:val="en-US"/>
        </w:rPr>
        <w:t xml:space="preserve">. </w:t>
      </w:r>
      <w:r w:rsidR="00CE3BA4" w:rsidRPr="00CE3BA4">
        <w:rPr>
          <w:lang w:val="en-US"/>
        </w:rPr>
        <w:t xml:space="preserve">Remittances had a </w:t>
      </w:r>
      <w:r w:rsidR="00CE3BA4">
        <w:rPr>
          <w:lang w:val="en-US"/>
        </w:rPr>
        <w:t xml:space="preserve">positive impact on poverty </w:t>
      </w:r>
      <w:r w:rsidR="00CE3BA4" w:rsidRPr="00CE3BA4">
        <w:rPr>
          <w:lang w:val="en-US"/>
        </w:rPr>
        <w:t>reduction</w:t>
      </w:r>
      <w:r w:rsidR="00005B15">
        <w:rPr>
          <w:lang w:val="en-US"/>
        </w:rPr>
        <w:t xml:space="preserve"> </w:t>
      </w:r>
      <w:r w:rsidR="00005B15" w:rsidRPr="00005B15">
        <w:rPr>
          <w:lang w:val="en-US"/>
        </w:rPr>
        <w:t>(UNCAD 2011, Ciupurean</w:t>
      </w:r>
      <w:r w:rsidR="00005B15">
        <w:rPr>
          <w:lang w:val="en-US"/>
        </w:rPr>
        <w:t>u and Roman 2016, Pekovic 2017)</w:t>
      </w:r>
      <w:r w:rsidR="00444DB7">
        <w:rPr>
          <w:lang w:val="en-US"/>
        </w:rPr>
        <w:t>,</w:t>
      </w:r>
      <w:r w:rsidR="00005B15">
        <w:rPr>
          <w:lang w:val="en-US"/>
        </w:rPr>
        <w:t xml:space="preserve"> and </w:t>
      </w:r>
      <w:r w:rsidR="00005B15" w:rsidRPr="00005B15">
        <w:rPr>
          <w:lang w:val="en-US"/>
        </w:rPr>
        <w:t>led to a reduction of inequality within localities and between the urban and ru</w:t>
      </w:r>
      <w:r w:rsidR="00005B15">
        <w:rPr>
          <w:lang w:val="en-US"/>
        </w:rPr>
        <w:t>ral areas (Zamfir et al 2010). The positive impact of remittances was partially offset by t</w:t>
      </w:r>
      <w:r w:rsidR="00005B15" w:rsidRPr="00DE1B89">
        <w:rPr>
          <w:lang w:val="en-US"/>
        </w:rPr>
        <w:t>he disruptive effects of emigration on family structures</w:t>
      </w:r>
      <w:r w:rsidR="00BC60CA">
        <w:rPr>
          <w:lang w:val="en-US"/>
        </w:rPr>
        <w:t xml:space="preserve">. </w:t>
      </w:r>
      <w:r w:rsidRPr="005D2444">
        <w:rPr>
          <w:lang w:val="en-US"/>
        </w:rPr>
        <w:t xml:space="preserve">Children </w:t>
      </w:r>
      <w:r w:rsidR="00BC60CA">
        <w:rPr>
          <w:lang w:val="en-US"/>
        </w:rPr>
        <w:t xml:space="preserve">with </w:t>
      </w:r>
      <w:r w:rsidRPr="005D2444">
        <w:rPr>
          <w:lang w:val="en-US"/>
        </w:rPr>
        <w:t xml:space="preserve">parents working abroad </w:t>
      </w:r>
      <w:r w:rsidR="00F07918">
        <w:rPr>
          <w:lang w:val="en-US"/>
        </w:rPr>
        <w:t>were</w:t>
      </w:r>
      <w:r w:rsidRPr="005D2444">
        <w:rPr>
          <w:lang w:val="en-US"/>
        </w:rPr>
        <w:t xml:space="preserve"> more exposed to vulnerability, marginalization</w:t>
      </w:r>
      <w:r w:rsidR="00444DB7">
        <w:rPr>
          <w:lang w:val="en-US"/>
        </w:rPr>
        <w:t>,</w:t>
      </w:r>
      <w:r w:rsidRPr="005D2444">
        <w:rPr>
          <w:lang w:val="en-US"/>
        </w:rPr>
        <w:t xml:space="preserve"> </w:t>
      </w:r>
      <w:r w:rsidR="00444DB7">
        <w:rPr>
          <w:lang w:val="en-US"/>
        </w:rPr>
        <w:t>or</w:t>
      </w:r>
      <w:r w:rsidR="009931D4">
        <w:rPr>
          <w:lang w:val="en-US"/>
        </w:rPr>
        <w:t xml:space="preserve"> exclusion (UNICEF 2008). T</w:t>
      </w:r>
      <w:r w:rsidR="004B322E">
        <w:rPr>
          <w:lang w:val="en-US"/>
        </w:rPr>
        <w:t>he p</w:t>
      </w:r>
      <w:r w:rsidR="00DA6E85" w:rsidRPr="00DA6E85">
        <w:rPr>
          <w:lang w:val="en-US"/>
        </w:rPr>
        <w:t>articipation</w:t>
      </w:r>
      <w:r w:rsidR="004B322E">
        <w:rPr>
          <w:lang w:val="en-US"/>
        </w:rPr>
        <w:t xml:space="preserve"> rate</w:t>
      </w:r>
      <w:r w:rsidR="00DA6E85" w:rsidRPr="00DA6E85">
        <w:rPr>
          <w:lang w:val="en-US"/>
        </w:rPr>
        <w:t xml:space="preserve"> i</w:t>
      </w:r>
      <w:r w:rsidR="00BC60CA">
        <w:rPr>
          <w:lang w:val="en-US"/>
        </w:rPr>
        <w:t>n</w:t>
      </w:r>
      <w:r w:rsidR="00DA6E85" w:rsidRPr="00DA6E85">
        <w:rPr>
          <w:lang w:val="en-US"/>
        </w:rPr>
        <w:t xml:space="preserve"> education</w:t>
      </w:r>
      <w:r w:rsidR="00F07918">
        <w:rPr>
          <w:lang w:val="en-US"/>
        </w:rPr>
        <w:t xml:space="preserve"> was</w:t>
      </w:r>
      <w:r w:rsidR="00BC60CA">
        <w:rPr>
          <w:lang w:val="en-US"/>
        </w:rPr>
        <w:t xml:space="preserve"> also</w:t>
      </w:r>
      <w:r w:rsidR="00DA6E85" w:rsidRPr="00DA6E85">
        <w:rPr>
          <w:lang w:val="en-US"/>
        </w:rPr>
        <w:t xml:space="preserve"> lower for children with </w:t>
      </w:r>
      <w:r w:rsidR="00BC60CA">
        <w:rPr>
          <w:lang w:val="en-US"/>
        </w:rPr>
        <w:t>both parent</w:t>
      </w:r>
      <w:r w:rsidR="00444DB7">
        <w:rPr>
          <w:lang w:val="en-US"/>
        </w:rPr>
        <w:t>s</w:t>
      </w:r>
      <w:r w:rsidR="00BC60CA">
        <w:rPr>
          <w:lang w:val="en-US"/>
        </w:rPr>
        <w:t xml:space="preserve"> working abroad</w:t>
      </w:r>
      <w:r w:rsidR="00DA6E85" w:rsidRPr="00DA6E85">
        <w:rPr>
          <w:lang w:val="en-US"/>
        </w:rPr>
        <w:t xml:space="preserve"> (World Bank 201</w:t>
      </w:r>
      <w:r w:rsidR="00BC60CA">
        <w:rPr>
          <w:lang w:val="en-US"/>
        </w:rPr>
        <w:t>5</w:t>
      </w:r>
      <w:r w:rsidR="00DA6E85" w:rsidRPr="00DA6E85">
        <w:rPr>
          <w:lang w:val="en-US"/>
        </w:rPr>
        <w:t>)</w:t>
      </w:r>
      <w:r w:rsidR="006F507F">
        <w:rPr>
          <w:lang w:val="en-US"/>
        </w:rPr>
        <w:t>.</w:t>
      </w:r>
      <w:r w:rsidR="004B322E">
        <w:rPr>
          <w:lang w:val="en-US"/>
        </w:rPr>
        <w:t xml:space="preserve"> </w:t>
      </w:r>
    </w:p>
    <w:p w14:paraId="3FA00F81" w14:textId="77777777" w:rsidR="004A0368" w:rsidRPr="004A0368" w:rsidRDefault="004A0368" w:rsidP="00D159E9">
      <w:pPr>
        <w:spacing w:after="240" w:line="240" w:lineRule="auto"/>
        <w:jc w:val="both"/>
        <w:rPr>
          <w:lang w:val="en-US"/>
        </w:rPr>
      </w:pPr>
    </w:p>
    <w:p w14:paraId="7A7F963C" w14:textId="3AA2BD27" w:rsidR="004A0368" w:rsidRDefault="004A0368" w:rsidP="00D159E9">
      <w:pPr>
        <w:spacing w:after="240" w:line="240" w:lineRule="auto"/>
        <w:jc w:val="both"/>
        <w:rPr>
          <w:lang w:val="en-US"/>
        </w:rPr>
      </w:pPr>
    </w:p>
    <w:p w14:paraId="103F60A1" w14:textId="5645F64A" w:rsidR="00BB6D7C" w:rsidRDefault="00BB6D7C" w:rsidP="004A0368">
      <w:pPr>
        <w:jc w:val="both"/>
        <w:rPr>
          <w:lang w:val="en-US"/>
        </w:rPr>
      </w:pPr>
    </w:p>
    <w:p w14:paraId="55064DE6" w14:textId="7657E707" w:rsidR="00BB6D7C" w:rsidRDefault="00BB6D7C" w:rsidP="004A0368">
      <w:pPr>
        <w:jc w:val="both"/>
        <w:rPr>
          <w:lang w:val="en-US"/>
        </w:rPr>
      </w:pPr>
    </w:p>
    <w:p w14:paraId="2546ECF5" w14:textId="7433F529" w:rsidR="00BB6D7C" w:rsidRDefault="00BB6D7C" w:rsidP="004A0368">
      <w:pPr>
        <w:jc w:val="both"/>
        <w:rPr>
          <w:lang w:val="en-US"/>
        </w:rPr>
      </w:pPr>
    </w:p>
    <w:p w14:paraId="085116D1" w14:textId="039B16D5" w:rsidR="00BB6D7C" w:rsidRDefault="00BB6D7C" w:rsidP="004A0368">
      <w:pPr>
        <w:jc w:val="both"/>
        <w:rPr>
          <w:lang w:val="en-US"/>
        </w:rPr>
      </w:pPr>
    </w:p>
    <w:p w14:paraId="6FC78CAB" w14:textId="41FAFF81" w:rsidR="00BB6D7C" w:rsidRDefault="00BB6D7C" w:rsidP="004A0368">
      <w:pPr>
        <w:jc w:val="both"/>
        <w:rPr>
          <w:lang w:val="en-US"/>
        </w:rPr>
      </w:pPr>
    </w:p>
    <w:p w14:paraId="5528CF9A" w14:textId="364B9823" w:rsidR="00BB6D7C" w:rsidRDefault="00BB6D7C" w:rsidP="004A0368">
      <w:pPr>
        <w:jc w:val="both"/>
        <w:rPr>
          <w:lang w:val="en-US"/>
        </w:rPr>
      </w:pPr>
    </w:p>
    <w:p w14:paraId="0D183FEC" w14:textId="0F93067C" w:rsidR="00BB6D7C" w:rsidRDefault="00BB6D7C" w:rsidP="004A0368">
      <w:pPr>
        <w:jc w:val="both"/>
        <w:rPr>
          <w:lang w:val="en-US"/>
        </w:rPr>
      </w:pPr>
    </w:p>
    <w:p w14:paraId="2A8B920B" w14:textId="41233D2B" w:rsidR="00BB6D7C" w:rsidRDefault="00BB6D7C" w:rsidP="00774638">
      <w:pPr>
        <w:pStyle w:val="Heading1"/>
        <w:numPr>
          <w:ilvl w:val="0"/>
          <w:numId w:val="0"/>
        </w:numPr>
        <w:rPr>
          <w:rFonts w:asciiTheme="minorHAnsi" w:hAnsiTheme="minorHAnsi" w:cstheme="minorHAnsi"/>
        </w:rPr>
      </w:pPr>
      <w:bookmarkStart w:id="42" w:name="_Toc511308338"/>
      <w:bookmarkStart w:id="43" w:name="_Toc511308835"/>
      <w:r w:rsidRPr="00774638">
        <w:rPr>
          <w:rFonts w:asciiTheme="minorHAnsi" w:hAnsiTheme="minorHAnsi" w:cstheme="minorHAnsi"/>
        </w:rPr>
        <w:lastRenderedPageBreak/>
        <w:t xml:space="preserve">Annex </w:t>
      </w:r>
      <w:r w:rsidR="00444DB7">
        <w:rPr>
          <w:rFonts w:asciiTheme="minorHAnsi" w:hAnsiTheme="minorHAnsi" w:cstheme="minorHAnsi"/>
        </w:rPr>
        <w:t>1</w:t>
      </w:r>
      <w:r w:rsidRPr="00774638">
        <w:rPr>
          <w:rFonts w:asciiTheme="minorHAnsi" w:hAnsiTheme="minorHAnsi" w:cstheme="minorHAnsi"/>
        </w:rPr>
        <w:t>. Key Romanian emigration trends and patterns between 1990 and 201</w:t>
      </w:r>
      <w:r w:rsidR="00AC5BA0" w:rsidRPr="00774638">
        <w:rPr>
          <w:rFonts w:asciiTheme="minorHAnsi" w:hAnsiTheme="minorHAnsi" w:cstheme="minorHAnsi"/>
        </w:rPr>
        <w:t>7</w:t>
      </w:r>
      <w:bookmarkEnd w:id="42"/>
      <w:bookmarkEnd w:id="43"/>
    </w:p>
    <w:tbl>
      <w:tblPr>
        <w:tblStyle w:val="TableGrid"/>
        <w:tblW w:w="0" w:type="auto"/>
        <w:tblLook w:val="04A0" w:firstRow="1" w:lastRow="0" w:firstColumn="1" w:lastColumn="0" w:noHBand="0" w:noVBand="1"/>
      </w:tblPr>
      <w:tblGrid>
        <w:gridCol w:w="1142"/>
        <w:gridCol w:w="614"/>
        <w:gridCol w:w="613"/>
        <w:gridCol w:w="613"/>
        <w:gridCol w:w="613"/>
        <w:gridCol w:w="613"/>
        <w:gridCol w:w="613"/>
        <w:gridCol w:w="613"/>
        <w:gridCol w:w="613"/>
        <w:gridCol w:w="613"/>
        <w:gridCol w:w="613"/>
        <w:gridCol w:w="613"/>
        <w:gridCol w:w="613"/>
        <w:gridCol w:w="613"/>
        <w:gridCol w:w="613"/>
      </w:tblGrid>
      <w:tr w:rsidR="00B60C61" w:rsidRPr="00132E9E" w14:paraId="6A4ED9A1" w14:textId="77777777" w:rsidTr="00B60C61">
        <w:tc>
          <w:tcPr>
            <w:tcW w:w="1142" w:type="dxa"/>
          </w:tcPr>
          <w:p w14:paraId="46E244C5" w14:textId="77777777" w:rsidR="00B60C61" w:rsidRPr="00132E9E" w:rsidRDefault="00B60C61" w:rsidP="00B60C61">
            <w:pPr>
              <w:rPr>
                <w:b/>
                <w:lang w:val="en-GB"/>
              </w:rPr>
            </w:pPr>
          </w:p>
        </w:tc>
        <w:tc>
          <w:tcPr>
            <w:tcW w:w="614" w:type="dxa"/>
          </w:tcPr>
          <w:p w14:paraId="71751B58" w14:textId="6819FAB8" w:rsidR="00B60C61" w:rsidRPr="00132E9E" w:rsidRDefault="00B60C61" w:rsidP="00B60C61">
            <w:pPr>
              <w:rPr>
                <w:b/>
                <w:sz w:val="18"/>
                <w:szCs w:val="18"/>
                <w:lang w:val="en-GB"/>
              </w:rPr>
            </w:pPr>
            <w:r w:rsidRPr="00132E9E">
              <w:rPr>
                <w:b/>
                <w:sz w:val="18"/>
                <w:szCs w:val="18"/>
                <w:lang w:val="en-GB"/>
              </w:rPr>
              <w:t>1990</w:t>
            </w:r>
          </w:p>
        </w:tc>
        <w:tc>
          <w:tcPr>
            <w:tcW w:w="613" w:type="dxa"/>
          </w:tcPr>
          <w:p w14:paraId="34A700BF" w14:textId="75A48B94" w:rsidR="00B60C61" w:rsidRPr="00132E9E" w:rsidRDefault="00B60C61" w:rsidP="00B60C61">
            <w:pPr>
              <w:rPr>
                <w:b/>
                <w:sz w:val="18"/>
                <w:szCs w:val="18"/>
                <w:lang w:val="en-GB"/>
              </w:rPr>
            </w:pPr>
            <w:r w:rsidRPr="00132E9E">
              <w:rPr>
                <w:b/>
                <w:sz w:val="18"/>
                <w:szCs w:val="18"/>
                <w:lang w:val="en-GB"/>
              </w:rPr>
              <w:t>1991</w:t>
            </w:r>
          </w:p>
        </w:tc>
        <w:tc>
          <w:tcPr>
            <w:tcW w:w="613" w:type="dxa"/>
          </w:tcPr>
          <w:p w14:paraId="05D469F2" w14:textId="56BF78C6" w:rsidR="00B60C61" w:rsidRPr="00132E9E" w:rsidRDefault="00B60C61" w:rsidP="00B60C61">
            <w:pPr>
              <w:rPr>
                <w:b/>
                <w:sz w:val="18"/>
                <w:szCs w:val="18"/>
                <w:lang w:val="en-GB"/>
              </w:rPr>
            </w:pPr>
            <w:r w:rsidRPr="00132E9E">
              <w:rPr>
                <w:b/>
                <w:sz w:val="18"/>
                <w:szCs w:val="18"/>
                <w:lang w:val="en-GB"/>
              </w:rPr>
              <w:t>1992</w:t>
            </w:r>
          </w:p>
        </w:tc>
        <w:tc>
          <w:tcPr>
            <w:tcW w:w="613" w:type="dxa"/>
          </w:tcPr>
          <w:p w14:paraId="40F11220" w14:textId="60DB7D17" w:rsidR="00B60C61" w:rsidRPr="00132E9E" w:rsidRDefault="00B60C61" w:rsidP="00B60C61">
            <w:pPr>
              <w:rPr>
                <w:b/>
                <w:sz w:val="18"/>
                <w:szCs w:val="18"/>
                <w:lang w:val="en-GB"/>
              </w:rPr>
            </w:pPr>
            <w:r w:rsidRPr="00132E9E">
              <w:rPr>
                <w:b/>
                <w:sz w:val="18"/>
                <w:szCs w:val="18"/>
                <w:lang w:val="en-GB"/>
              </w:rPr>
              <w:t>1993</w:t>
            </w:r>
          </w:p>
        </w:tc>
        <w:tc>
          <w:tcPr>
            <w:tcW w:w="613" w:type="dxa"/>
          </w:tcPr>
          <w:p w14:paraId="7B512BB7" w14:textId="2747D67A" w:rsidR="00B60C61" w:rsidRPr="00132E9E" w:rsidRDefault="00B60C61" w:rsidP="00B60C61">
            <w:pPr>
              <w:rPr>
                <w:b/>
                <w:sz w:val="18"/>
                <w:szCs w:val="18"/>
                <w:lang w:val="en-GB"/>
              </w:rPr>
            </w:pPr>
            <w:r w:rsidRPr="00132E9E">
              <w:rPr>
                <w:b/>
                <w:sz w:val="18"/>
                <w:szCs w:val="18"/>
                <w:lang w:val="en-GB"/>
              </w:rPr>
              <w:t>1994</w:t>
            </w:r>
          </w:p>
        </w:tc>
        <w:tc>
          <w:tcPr>
            <w:tcW w:w="613" w:type="dxa"/>
          </w:tcPr>
          <w:p w14:paraId="7407005E" w14:textId="7B4177D3" w:rsidR="00B60C61" w:rsidRPr="00132E9E" w:rsidRDefault="00B60C61" w:rsidP="00B60C61">
            <w:pPr>
              <w:rPr>
                <w:b/>
                <w:sz w:val="18"/>
                <w:szCs w:val="18"/>
                <w:lang w:val="en-GB"/>
              </w:rPr>
            </w:pPr>
            <w:r w:rsidRPr="00132E9E">
              <w:rPr>
                <w:b/>
                <w:sz w:val="18"/>
                <w:szCs w:val="18"/>
                <w:lang w:val="en-GB"/>
              </w:rPr>
              <w:t>1995</w:t>
            </w:r>
          </w:p>
        </w:tc>
        <w:tc>
          <w:tcPr>
            <w:tcW w:w="613" w:type="dxa"/>
          </w:tcPr>
          <w:p w14:paraId="4BA5FDC6" w14:textId="2E6B9785" w:rsidR="00B60C61" w:rsidRPr="00132E9E" w:rsidRDefault="00B60C61" w:rsidP="00B60C61">
            <w:pPr>
              <w:rPr>
                <w:b/>
                <w:sz w:val="18"/>
                <w:szCs w:val="18"/>
                <w:lang w:val="en-GB"/>
              </w:rPr>
            </w:pPr>
            <w:r w:rsidRPr="00132E9E">
              <w:rPr>
                <w:b/>
                <w:sz w:val="18"/>
                <w:szCs w:val="18"/>
                <w:lang w:val="en-GB"/>
              </w:rPr>
              <w:t>1996</w:t>
            </w:r>
          </w:p>
        </w:tc>
        <w:tc>
          <w:tcPr>
            <w:tcW w:w="613" w:type="dxa"/>
          </w:tcPr>
          <w:p w14:paraId="3A0576DD" w14:textId="3C6CE300" w:rsidR="00B60C61" w:rsidRPr="00132E9E" w:rsidRDefault="00B60C61" w:rsidP="00B60C61">
            <w:pPr>
              <w:rPr>
                <w:b/>
                <w:sz w:val="18"/>
                <w:szCs w:val="18"/>
                <w:lang w:val="en-GB"/>
              </w:rPr>
            </w:pPr>
            <w:r w:rsidRPr="00132E9E">
              <w:rPr>
                <w:b/>
                <w:sz w:val="18"/>
                <w:szCs w:val="18"/>
                <w:lang w:val="en-GB"/>
              </w:rPr>
              <w:t>1997</w:t>
            </w:r>
          </w:p>
        </w:tc>
        <w:tc>
          <w:tcPr>
            <w:tcW w:w="613" w:type="dxa"/>
          </w:tcPr>
          <w:p w14:paraId="7EADBF44" w14:textId="29CDFD56" w:rsidR="00B60C61" w:rsidRPr="00132E9E" w:rsidRDefault="00B60C61" w:rsidP="00B60C61">
            <w:pPr>
              <w:rPr>
                <w:b/>
                <w:sz w:val="18"/>
                <w:szCs w:val="18"/>
                <w:lang w:val="en-GB"/>
              </w:rPr>
            </w:pPr>
            <w:r w:rsidRPr="00132E9E">
              <w:rPr>
                <w:b/>
                <w:sz w:val="18"/>
                <w:szCs w:val="18"/>
                <w:lang w:val="en-GB"/>
              </w:rPr>
              <w:t>1998</w:t>
            </w:r>
          </w:p>
        </w:tc>
        <w:tc>
          <w:tcPr>
            <w:tcW w:w="613" w:type="dxa"/>
          </w:tcPr>
          <w:p w14:paraId="6A8FA2BD" w14:textId="33C4AA16" w:rsidR="00B60C61" w:rsidRPr="00132E9E" w:rsidRDefault="00B60C61" w:rsidP="00B60C61">
            <w:pPr>
              <w:rPr>
                <w:b/>
                <w:sz w:val="18"/>
                <w:szCs w:val="18"/>
                <w:lang w:val="en-GB"/>
              </w:rPr>
            </w:pPr>
            <w:r w:rsidRPr="00132E9E">
              <w:rPr>
                <w:b/>
                <w:sz w:val="18"/>
                <w:szCs w:val="18"/>
                <w:lang w:val="en-GB"/>
              </w:rPr>
              <w:t>1999</w:t>
            </w:r>
          </w:p>
        </w:tc>
        <w:tc>
          <w:tcPr>
            <w:tcW w:w="613" w:type="dxa"/>
          </w:tcPr>
          <w:p w14:paraId="2363236C" w14:textId="5B8697B5" w:rsidR="00B60C61" w:rsidRPr="00132E9E" w:rsidRDefault="00B60C61" w:rsidP="00B60C61">
            <w:pPr>
              <w:rPr>
                <w:b/>
                <w:sz w:val="18"/>
                <w:szCs w:val="18"/>
                <w:lang w:val="en-GB"/>
              </w:rPr>
            </w:pPr>
            <w:r w:rsidRPr="00132E9E">
              <w:rPr>
                <w:b/>
                <w:sz w:val="18"/>
                <w:szCs w:val="18"/>
                <w:lang w:val="en-GB"/>
              </w:rPr>
              <w:t>2000</w:t>
            </w:r>
          </w:p>
        </w:tc>
        <w:tc>
          <w:tcPr>
            <w:tcW w:w="613" w:type="dxa"/>
          </w:tcPr>
          <w:p w14:paraId="2D52BC41" w14:textId="2E8956F4" w:rsidR="00B60C61" w:rsidRPr="00132E9E" w:rsidRDefault="00B60C61" w:rsidP="00B60C61">
            <w:pPr>
              <w:rPr>
                <w:b/>
                <w:sz w:val="18"/>
                <w:szCs w:val="18"/>
                <w:lang w:val="en-GB"/>
              </w:rPr>
            </w:pPr>
            <w:r w:rsidRPr="00132E9E">
              <w:rPr>
                <w:b/>
                <w:sz w:val="18"/>
                <w:szCs w:val="18"/>
                <w:lang w:val="en-GB"/>
              </w:rPr>
              <w:t>2001</w:t>
            </w:r>
          </w:p>
        </w:tc>
        <w:tc>
          <w:tcPr>
            <w:tcW w:w="613" w:type="dxa"/>
          </w:tcPr>
          <w:p w14:paraId="5A0CD12B" w14:textId="5A1A634E" w:rsidR="00B60C61" w:rsidRPr="00132E9E" w:rsidRDefault="00B60C61" w:rsidP="00B60C61">
            <w:pPr>
              <w:rPr>
                <w:b/>
                <w:sz w:val="18"/>
                <w:szCs w:val="18"/>
                <w:lang w:val="en-GB"/>
              </w:rPr>
            </w:pPr>
            <w:r w:rsidRPr="00132E9E">
              <w:rPr>
                <w:b/>
                <w:sz w:val="18"/>
                <w:szCs w:val="18"/>
                <w:lang w:val="en-GB"/>
              </w:rPr>
              <w:t>2002</w:t>
            </w:r>
          </w:p>
        </w:tc>
        <w:tc>
          <w:tcPr>
            <w:tcW w:w="613" w:type="dxa"/>
          </w:tcPr>
          <w:p w14:paraId="38C14A5E" w14:textId="3D59B860" w:rsidR="00B60C61" w:rsidRPr="00132E9E" w:rsidRDefault="00B60C61" w:rsidP="00B60C61">
            <w:pPr>
              <w:rPr>
                <w:b/>
                <w:sz w:val="18"/>
                <w:szCs w:val="18"/>
                <w:lang w:val="en-GB"/>
              </w:rPr>
            </w:pPr>
            <w:r w:rsidRPr="00132E9E">
              <w:rPr>
                <w:b/>
                <w:sz w:val="18"/>
                <w:szCs w:val="18"/>
                <w:lang w:val="en-GB"/>
              </w:rPr>
              <w:t>2003</w:t>
            </w:r>
          </w:p>
        </w:tc>
      </w:tr>
      <w:tr w:rsidR="00B60C61" w14:paraId="27D4BC51" w14:textId="77777777" w:rsidTr="00132E9E">
        <w:tc>
          <w:tcPr>
            <w:tcW w:w="1142" w:type="dxa"/>
            <w:vMerge w:val="restart"/>
            <w:vAlign w:val="center"/>
          </w:tcPr>
          <w:p w14:paraId="6DFFDB63" w14:textId="5D620671" w:rsidR="00B60C61" w:rsidRDefault="00B60C61" w:rsidP="00B60C61">
            <w:pPr>
              <w:rPr>
                <w:lang w:val="en-GB"/>
              </w:rPr>
            </w:pPr>
            <w:r w:rsidRPr="006F0B13">
              <w:rPr>
                <w:rFonts w:ascii="Calibri" w:eastAsia="Times New Roman" w:hAnsi="Calibri" w:cs="Calibri"/>
                <w:b/>
                <w:bCs/>
                <w:color w:val="000000"/>
                <w:sz w:val="20"/>
                <w:szCs w:val="20"/>
                <w:lang w:val="en-US"/>
              </w:rPr>
              <w:t>Permanent emigration</w:t>
            </w:r>
          </w:p>
        </w:tc>
        <w:tc>
          <w:tcPr>
            <w:tcW w:w="1840" w:type="dxa"/>
            <w:gridSpan w:val="3"/>
            <w:vAlign w:val="center"/>
          </w:tcPr>
          <w:p w14:paraId="3B6338C2" w14:textId="6791A3C9" w:rsidR="00B60C61" w:rsidRPr="00132E9E" w:rsidRDefault="00B60C61" w:rsidP="00E21E69">
            <w:pPr>
              <w:jc w:val="center"/>
              <w:rPr>
                <w:sz w:val="20"/>
                <w:szCs w:val="20"/>
                <w:lang w:val="en-GB"/>
              </w:rPr>
            </w:pPr>
            <w:r w:rsidRPr="00132E9E">
              <w:rPr>
                <w:rFonts w:ascii="Calibri" w:eastAsia="Times New Roman" w:hAnsi="Calibri" w:cs="Calibri"/>
                <w:color w:val="000000"/>
                <w:sz w:val="20"/>
                <w:szCs w:val="20"/>
                <w:lang w:val="en-US"/>
              </w:rPr>
              <w:t>High number of emigrants, between 30 and 100 thousand per year</w:t>
            </w:r>
          </w:p>
        </w:tc>
        <w:tc>
          <w:tcPr>
            <w:tcW w:w="3678" w:type="dxa"/>
            <w:gridSpan w:val="6"/>
            <w:vAlign w:val="center"/>
          </w:tcPr>
          <w:p w14:paraId="3B07B63B" w14:textId="29DB5682" w:rsidR="00B60C61" w:rsidRPr="00132E9E" w:rsidRDefault="00B60C61" w:rsidP="00E21E69">
            <w:pPr>
              <w:jc w:val="center"/>
              <w:rPr>
                <w:sz w:val="20"/>
                <w:szCs w:val="20"/>
                <w:lang w:val="en-GB"/>
              </w:rPr>
            </w:pPr>
            <w:r w:rsidRPr="00132E9E">
              <w:rPr>
                <w:rFonts w:ascii="Calibri" w:eastAsia="Times New Roman" w:hAnsi="Calibri" w:cs="Calibri"/>
                <w:color w:val="000000"/>
                <w:sz w:val="20"/>
                <w:szCs w:val="20"/>
                <w:lang w:val="en-US"/>
              </w:rPr>
              <w:t>Medium number of emigrants, about 20 thousand per year on average</w:t>
            </w:r>
          </w:p>
        </w:tc>
        <w:tc>
          <w:tcPr>
            <w:tcW w:w="3065" w:type="dxa"/>
            <w:gridSpan w:val="5"/>
            <w:vAlign w:val="center"/>
          </w:tcPr>
          <w:p w14:paraId="0B2F1211" w14:textId="07C3ADCD" w:rsidR="00B60C61" w:rsidRPr="00132E9E" w:rsidRDefault="00B60C61" w:rsidP="00E21E69">
            <w:pPr>
              <w:jc w:val="center"/>
              <w:rPr>
                <w:sz w:val="20"/>
                <w:szCs w:val="20"/>
                <w:lang w:val="en-GB"/>
              </w:rPr>
            </w:pPr>
            <w:r w:rsidRPr="00132E9E">
              <w:rPr>
                <w:rFonts w:ascii="Calibri" w:eastAsia="Times New Roman" w:hAnsi="Calibri" w:cs="Calibri"/>
                <w:color w:val="000000"/>
                <w:sz w:val="20"/>
                <w:szCs w:val="20"/>
                <w:lang w:val="en-US"/>
              </w:rPr>
              <w:t>Low number of emigrants, about 11 thousand per year on average</w:t>
            </w:r>
          </w:p>
        </w:tc>
      </w:tr>
      <w:tr w:rsidR="00B60C61" w14:paraId="0A63A875" w14:textId="77777777" w:rsidTr="00132E9E">
        <w:tc>
          <w:tcPr>
            <w:tcW w:w="1142" w:type="dxa"/>
            <w:vMerge/>
            <w:vAlign w:val="center"/>
          </w:tcPr>
          <w:p w14:paraId="2749345D" w14:textId="77777777" w:rsidR="00B60C61" w:rsidRDefault="00B60C61" w:rsidP="00B60C61">
            <w:pPr>
              <w:rPr>
                <w:lang w:val="en-GB"/>
              </w:rPr>
            </w:pPr>
          </w:p>
        </w:tc>
        <w:tc>
          <w:tcPr>
            <w:tcW w:w="1840" w:type="dxa"/>
            <w:gridSpan w:val="3"/>
            <w:vAlign w:val="center"/>
          </w:tcPr>
          <w:p w14:paraId="56B9615B" w14:textId="24C6D81D" w:rsidR="00B60C61" w:rsidRPr="00132E9E" w:rsidRDefault="00B60C61" w:rsidP="00E21E69">
            <w:pPr>
              <w:jc w:val="center"/>
              <w:rPr>
                <w:sz w:val="20"/>
                <w:szCs w:val="20"/>
                <w:lang w:val="en-GB"/>
              </w:rPr>
            </w:pPr>
            <w:r w:rsidRPr="00132E9E">
              <w:rPr>
                <w:rFonts w:ascii="Calibri" w:eastAsia="Times New Roman" w:hAnsi="Calibri" w:cs="Calibri"/>
                <w:color w:val="000000"/>
                <w:sz w:val="20"/>
                <w:szCs w:val="20"/>
                <w:lang w:val="en-US"/>
              </w:rPr>
              <w:t>High number of German emigration</w:t>
            </w:r>
          </w:p>
        </w:tc>
        <w:tc>
          <w:tcPr>
            <w:tcW w:w="3678" w:type="dxa"/>
            <w:gridSpan w:val="6"/>
            <w:vAlign w:val="center"/>
          </w:tcPr>
          <w:p w14:paraId="08C7A23E" w14:textId="6A07D405" w:rsidR="00B60C61" w:rsidRPr="00132E9E" w:rsidRDefault="00B60C61" w:rsidP="00E21E69">
            <w:pPr>
              <w:jc w:val="center"/>
              <w:rPr>
                <w:sz w:val="20"/>
                <w:szCs w:val="20"/>
                <w:lang w:val="en-GB"/>
              </w:rPr>
            </w:pPr>
            <w:r w:rsidRPr="00132E9E">
              <w:rPr>
                <w:rFonts w:ascii="Calibri" w:eastAsia="Times New Roman" w:hAnsi="Calibri" w:cs="Calibri"/>
                <w:color w:val="000000"/>
                <w:sz w:val="20"/>
                <w:szCs w:val="20"/>
                <w:lang w:val="en-US"/>
              </w:rPr>
              <w:t>Mainly German emigration</w:t>
            </w:r>
          </w:p>
        </w:tc>
        <w:tc>
          <w:tcPr>
            <w:tcW w:w="3065" w:type="dxa"/>
            <w:gridSpan w:val="5"/>
            <w:vAlign w:val="center"/>
          </w:tcPr>
          <w:p w14:paraId="6AE5BBD4" w14:textId="584B34A1" w:rsidR="00B60C61" w:rsidRPr="00132E9E" w:rsidRDefault="00B60C61" w:rsidP="00E21E69">
            <w:pPr>
              <w:jc w:val="center"/>
              <w:rPr>
                <w:sz w:val="20"/>
                <w:szCs w:val="20"/>
                <w:lang w:val="en-GB"/>
              </w:rPr>
            </w:pPr>
            <w:r w:rsidRPr="00132E9E">
              <w:rPr>
                <w:rFonts w:ascii="Calibri" w:eastAsia="Times New Roman" w:hAnsi="Calibri" w:cs="Calibri"/>
                <w:color w:val="000000"/>
                <w:sz w:val="20"/>
                <w:szCs w:val="20"/>
                <w:lang w:val="en-US"/>
              </w:rPr>
              <w:t>Prevalence of German, Italian and North America emigration</w:t>
            </w:r>
          </w:p>
        </w:tc>
      </w:tr>
      <w:tr w:rsidR="00E21E69" w:rsidRPr="00132E9E" w14:paraId="479A84B0" w14:textId="77777777" w:rsidTr="00EC7391">
        <w:tc>
          <w:tcPr>
            <w:tcW w:w="1142" w:type="dxa"/>
            <w:vAlign w:val="center"/>
          </w:tcPr>
          <w:p w14:paraId="704CA411" w14:textId="0C7BAA90" w:rsidR="00E21E69" w:rsidRPr="00132E9E" w:rsidRDefault="00E21E69" w:rsidP="00B60C61">
            <w:pPr>
              <w:rPr>
                <w:b/>
                <w:sz w:val="18"/>
                <w:szCs w:val="18"/>
                <w:lang w:val="en-GB"/>
              </w:rPr>
            </w:pPr>
            <w:r w:rsidRPr="006F0B13">
              <w:rPr>
                <w:rFonts w:ascii="Calibri" w:eastAsia="Times New Roman" w:hAnsi="Calibri" w:cs="Calibri"/>
                <w:b/>
                <w:bCs/>
                <w:color w:val="000000"/>
                <w:sz w:val="20"/>
                <w:szCs w:val="20"/>
                <w:lang w:val="en-US"/>
              </w:rPr>
              <w:t>Temporary emigration</w:t>
            </w:r>
          </w:p>
        </w:tc>
        <w:tc>
          <w:tcPr>
            <w:tcW w:w="3679" w:type="dxa"/>
            <w:gridSpan w:val="6"/>
            <w:vAlign w:val="center"/>
          </w:tcPr>
          <w:p w14:paraId="281D766F" w14:textId="719AE6D2" w:rsidR="00E21E69" w:rsidRPr="00132E9E" w:rsidRDefault="00E21E69" w:rsidP="00E21E69">
            <w:pPr>
              <w:jc w:val="center"/>
              <w:rPr>
                <w:b/>
                <w:sz w:val="18"/>
                <w:szCs w:val="18"/>
                <w:lang w:val="en-GB"/>
              </w:rPr>
            </w:pPr>
            <w:r w:rsidRPr="00132E9E">
              <w:rPr>
                <w:rFonts w:ascii="Calibri" w:eastAsia="Times New Roman" w:hAnsi="Calibri" w:cs="Calibri"/>
                <w:color w:val="000000"/>
                <w:sz w:val="20"/>
                <w:szCs w:val="20"/>
                <w:lang w:val="en-US"/>
              </w:rPr>
              <w:t>Low rate reflecting the low integration in the European labor market</w:t>
            </w:r>
          </w:p>
        </w:tc>
        <w:tc>
          <w:tcPr>
            <w:tcW w:w="3678" w:type="dxa"/>
            <w:gridSpan w:val="6"/>
            <w:vAlign w:val="center"/>
          </w:tcPr>
          <w:p w14:paraId="5C3FB237" w14:textId="4AC0D27E" w:rsidR="00E21E69" w:rsidRPr="00132E9E" w:rsidRDefault="00E21E69" w:rsidP="00E21E69">
            <w:pPr>
              <w:jc w:val="center"/>
              <w:rPr>
                <w:b/>
                <w:sz w:val="18"/>
                <w:szCs w:val="18"/>
                <w:lang w:val="en-GB"/>
              </w:rPr>
            </w:pPr>
            <w:r w:rsidRPr="00132E9E">
              <w:rPr>
                <w:rFonts w:ascii="Calibri" w:eastAsia="Times New Roman" w:hAnsi="Calibri" w:cs="Calibri"/>
                <w:color w:val="000000"/>
                <w:sz w:val="20"/>
                <w:szCs w:val="20"/>
                <w:lang w:val="en-US"/>
              </w:rPr>
              <w:t>High rate, partially legal, highest dispersion of emigration destination, high selectivity</w:t>
            </w:r>
          </w:p>
        </w:tc>
        <w:tc>
          <w:tcPr>
            <w:tcW w:w="1226" w:type="dxa"/>
            <w:gridSpan w:val="2"/>
            <w:vAlign w:val="center"/>
          </w:tcPr>
          <w:p w14:paraId="58C2E365" w14:textId="22E050CA" w:rsidR="00E21E69" w:rsidRPr="00132E9E" w:rsidRDefault="00E21E69" w:rsidP="00E21E69">
            <w:pPr>
              <w:jc w:val="center"/>
              <w:rPr>
                <w:b/>
                <w:sz w:val="18"/>
                <w:szCs w:val="18"/>
                <w:lang w:val="en-GB"/>
              </w:rPr>
            </w:pPr>
            <w:r w:rsidRPr="00132E9E">
              <w:rPr>
                <w:rFonts w:ascii="Calibri" w:eastAsia="Times New Roman" w:hAnsi="Calibri" w:cs="Calibri"/>
                <w:color w:val="000000"/>
                <w:sz w:val="20"/>
                <w:szCs w:val="20"/>
                <w:lang w:val="en-US"/>
              </w:rPr>
              <w:t>Circulation in Schengen space, more than 70% in Italy and Spain</w:t>
            </w:r>
          </w:p>
        </w:tc>
      </w:tr>
      <w:tr w:rsidR="00B60C61" w:rsidRPr="00132E9E" w14:paraId="06C8D26F" w14:textId="77777777" w:rsidTr="00132E9E">
        <w:tc>
          <w:tcPr>
            <w:tcW w:w="1142" w:type="dxa"/>
            <w:vAlign w:val="center"/>
          </w:tcPr>
          <w:p w14:paraId="46E5FD58" w14:textId="77777777" w:rsidR="00B60C61" w:rsidRPr="00132E9E" w:rsidRDefault="00B60C61" w:rsidP="00B60C61">
            <w:pPr>
              <w:rPr>
                <w:b/>
                <w:sz w:val="18"/>
                <w:szCs w:val="18"/>
                <w:lang w:val="en-GB"/>
              </w:rPr>
            </w:pPr>
          </w:p>
        </w:tc>
        <w:tc>
          <w:tcPr>
            <w:tcW w:w="614" w:type="dxa"/>
            <w:vAlign w:val="center"/>
          </w:tcPr>
          <w:p w14:paraId="0034EE04" w14:textId="2018DE78" w:rsidR="00B60C61" w:rsidRPr="00132E9E" w:rsidRDefault="00B60C61" w:rsidP="00B60C61">
            <w:pPr>
              <w:rPr>
                <w:b/>
                <w:sz w:val="18"/>
                <w:szCs w:val="18"/>
                <w:lang w:val="en-GB"/>
              </w:rPr>
            </w:pPr>
            <w:r w:rsidRPr="00132E9E">
              <w:rPr>
                <w:b/>
                <w:sz w:val="18"/>
                <w:szCs w:val="18"/>
                <w:lang w:val="en-GB"/>
              </w:rPr>
              <w:t>2004</w:t>
            </w:r>
          </w:p>
        </w:tc>
        <w:tc>
          <w:tcPr>
            <w:tcW w:w="613" w:type="dxa"/>
            <w:vAlign w:val="center"/>
          </w:tcPr>
          <w:p w14:paraId="099BC927" w14:textId="35C26358" w:rsidR="00B60C61" w:rsidRPr="00132E9E" w:rsidRDefault="00B60C61" w:rsidP="00B60C61">
            <w:pPr>
              <w:rPr>
                <w:b/>
                <w:sz w:val="18"/>
                <w:szCs w:val="18"/>
                <w:lang w:val="en-GB"/>
              </w:rPr>
            </w:pPr>
            <w:r w:rsidRPr="00132E9E">
              <w:rPr>
                <w:b/>
                <w:sz w:val="18"/>
                <w:szCs w:val="18"/>
                <w:lang w:val="en-GB"/>
              </w:rPr>
              <w:t>2005</w:t>
            </w:r>
          </w:p>
        </w:tc>
        <w:tc>
          <w:tcPr>
            <w:tcW w:w="613" w:type="dxa"/>
            <w:vAlign w:val="center"/>
          </w:tcPr>
          <w:p w14:paraId="38808B67" w14:textId="5FC4DA31" w:rsidR="00B60C61" w:rsidRPr="00132E9E" w:rsidRDefault="00B60C61" w:rsidP="00B60C61">
            <w:pPr>
              <w:rPr>
                <w:b/>
                <w:sz w:val="18"/>
                <w:szCs w:val="18"/>
                <w:lang w:val="en-GB"/>
              </w:rPr>
            </w:pPr>
            <w:r w:rsidRPr="00132E9E">
              <w:rPr>
                <w:b/>
                <w:sz w:val="18"/>
                <w:szCs w:val="18"/>
                <w:lang w:val="en-GB"/>
              </w:rPr>
              <w:t>2006</w:t>
            </w:r>
          </w:p>
        </w:tc>
        <w:tc>
          <w:tcPr>
            <w:tcW w:w="613" w:type="dxa"/>
            <w:vAlign w:val="center"/>
          </w:tcPr>
          <w:p w14:paraId="3670B30B" w14:textId="393030FC" w:rsidR="00B60C61" w:rsidRPr="00132E9E" w:rsidRDefault="00B60C61" w:rsidP="00B60C61">
            <w:pPr>
              <w:rPr>
                <w:b/>
                <w:sz w:val="18"/>
                <w:szCs w:val="18"/>
                <w:lang w:val="en-GB"/>
              </w:rPr>
            </w:pPr>
            <w:r w:rsidRPr="00132E9E">
              <w:rPr>
                <w:b/>
                <w:sz w:val="18"/>
                <w:szCs w:val="18"/>
                <w:lang w:val="en-GB"/>
              </w:rPr>
              <w:t>2007</w:t>
            </w:r>
          </w:p>
        </w:tc>
        <w:tc>
          <w:tcPr>
            <w:tcW w:w="613" w:type="dxa"/>
            <w:vAlign w:val="center"/>
          </w:tcPr>
          <w:p w14:paraId="1C91863D" w14:textId="250D007F" w:rsidR="00B60C61" w:rsidRPr="00132E9E" w:rsidRDefault="00B60C61" w:rsidP="00B60C61">
            <w:pPr>
              <w:rPr>
                <w:b/>
                <w:sz w:val="18"/>
                <w:szCs w:val="18"/>
                <w:lang w:val="en-GB"/>
              </w:rPr>
            </w:pPr>
            <w:r w:rsidRPr="00132E9E">
              <w:rPr>
                <w:b/>
                <w:sz w:val="18"/>
                <w:szCs w:val="18"/>
                <w:lang w:val="en-GB"/>
              </w:rPr>
              <w:t>2008</w:t>
            </w:r>
          </w:p>
        </w:tc>
        <w:tc>
          <w:tcPr>
            <w:tcW w:w="613" w:type="dxa"/>
            <w:vAlign w:val="center"/>
          </w:tcPr>
          <w:p w14:paraId="15D79274" w14:textId="30CC1443" w:rsidR="00B60C61" w:rsidRPr="00132E9E" w:rsidRDefault="00B60C61" w:rsidP="00B60C61">
            <w:pPr>
              <w:rPr>
                <w:b/>
                <w:sz w:val="18"/>
                <w:szCs w:val="18"/>
                <w:lang w:val="en-GB"/>
              </w:rPr>
            </w:pPr>
            <w:r w:rsidRPr="00132E9E">
              <w:rPr>
                <w:b/>
                <w:sz w:val="18"/>
                <w:szCs w:val="18"/>
                <w:lang w:val="en-GB"/>
              </w:rPr>
              <w:t>2009</w:t>
            </w:r>
          </w:p>
        </w:tc>
        <w:tc>
          <w:tcPr>
            <w:tcW w:w="613" w:type="dxa"/>
            <w:vAlign w:val="center"/>
          </w:tcPr>
          <w:p w14:paraId="0A1A19C7" w14:textId="5B4F7CB0" w:rsidR="00B60C61" w:rsidRPr="00132E9E" w:rsidRDefault="00B60C61" w:rsidP="00B60C61">
            <w:pPr>
              <w:rPr>
                <w:b/>
                <w:sz w:val="18"/>
                <w:szCs w:val="18"/>
                <w:lang w:val="en-GB"/>
              </w:rPr>
            </w:pPr>
            <w:r w:rsidRPr="00132E9E">
              <w:rPr>
                <w:b/>
                <w:sz w:val="18"/>
                <w:szCs w:val="18"/>
                <w:lang w:val="en-GB"/>
              </w:rPr>
              <w:t>2010</w:t>
            </w:r>
          </w:p>
        </w:tc>
        <w:tc>
          <w:tcPr>
            <w:tcW w:w="613" w:type="dxa"/>
            <w:vAlign w:val="center"/>
          </w:tcPr>
          <w:p w14:paraId="265B8C29" w14:textId="24F22327" w:rsidR="00B60C61" w:rsidRPr="00132E9E" w:rsidRDefault="00B60C61" w:rsidP="00B60C61">
            <w:pPr>
              <w:rPr>
                <w:b/>
                <w:sz w:val="18"/>
                <w:szCs w:val="18"/>
                <w:lang w:val="en-GB"/>
              </w:rPr>
            </w:pPr>
            <w:r w:rsidRPr="00132E9E">
              <w:rPr>
                <w:b/>
                <w:sz w:val="18"/>
                <w:szCs w:val="18"/>
                <w:lang w:val="en-GB"/>
              </w:rPr>
              <w:t>2011</w:t>
            </w:r>
          </w:p>
        </w:tc>
        <w:tc>
          <w:tcPr>
            <w:tcW w:w="613" w:type="dxa"/>
            <w:vAlign w:val="center"/>
          </w:tcPr>
          <w:p w14:paraId="211CC276" w14:textId="3F17223D" w:rsidR="00B60C61" w:rsidRPr="00132E9E" w:rsidRDefault="00B60C61" w:rsidP="00B60C61">
            <w:pPr>
              <w:rPr>
                <w:b/>
                <w:sz w:val="18"/>
                <w:szCs w:val="18"/>
                <w:lang w:val="en-GB"/>
              </w:rPr>
            </w:pPr>
            <w:r w:rsidRPr="00132E9E">
              <w:rPr>
                <w:b/>
                <w:sz w:val="18"/>
                <w:szCs w:val="18"/>
                <w:lang w:val="en-GB"/>
              </w:rPr>
              <w:t>2012</w:t>
            </w:r>
          </w:p>
        </w:tc>
        <w:tc>
          <w:tcPr>
            <w:tcW w:w="613" w:type="dxa"/>
            <w:vAlign w:val="center"/>
          </w:tcPr>
          <w:p w14:paraId="675CD9DE" w14:textId="7640FCB7" w:rsidR="00B60C61" w:rsidRPr="00132E9E" w:rsidRDefault="00B60C61" w:rsidP="00B60C61">
            <w:pPr>
              <w:rPr>
                <w:b/>
                <w:sz w:val="18"/>
                <w:szCs w:val="18"/>
                <w:lang w:val="en-GB"/>
              </w:rPr>
            </w:pPr>
            <w:r w:rsidRPr="00132E9E">
              <w:rPr>
                <w:b/>
                <w:sz w:val="18"/>
                <w:szCs w:val="18"/>
                <w:lang w:val="en-GB"/>
              </w:rPr>
              <w:t>2013</w:t>
            </w:r>
          </w:p>
        </w:tc>
        <w:tc>
          <w:tcPr>
            <w:tcW w:w="613" w:type="dxa"/>
            <w:vAlign w:val="center"/>
          </w:tcPr>
          <w:p w14:paraId="701F11E8" w14:textId="2AE2B674" w:rsidR="00B60C61" w:rsidRPr="00132E9E" w:rsidRDefault="00B60C61" w:rsidP="00B60C61">
            <w:pPr>
              <w:rPr>
                <w:b/>
                <w:sz w:val="18"/>
                <w:szCs w:val="18"/>
                <w:lang w:val="en-GB"/>
              </w:rPr>
            </w:pPr>
            <w:r w:rsidRPr="00132E9E">
              <w:rPr>
                <w:b/>
                <w:sz w:val="18"/>
                <w:szCs w:val="18"/>
                <w:lang w:val="en-GB"/>
              </w:rPr>
              <w:t>2014</w:t>
            </w:r>
          </w:p>
        </w:tc>
        <w:tc>
          <w:tcPr>
            <w:tcW w:w="613" w:type="dxa"/>
            <w:vAlign w:val="center"/>
          </w:tcPr>
          <w:p w14:paraId="72FEDF93" w14:textId="32276FE9" w:rsidR="00B60C61" w:rsidRPr="00132E9E" w:rsidRDefault="00B60C61" w:rsidP="00B60C61">
            <w:pPr>
              <w:rPr>
                <w:b/>
                <w:sz w:val="18"/>
                <w:szCs w:val="18"/>
                <w:lang w:val="en-GB"/>
              </w:rPr>
            </w:pPr>
            <w:r w:rsidRPr="00132E9E">
              <w:rPr>
                <w:b/>
                <w:sz w:val="18"/>
                <w:szCs w:val="18"/>
                <w:lang w:val="en-GB"/>
              </w:rPr>
              <w:t>2015</w:t>
            </w:r>
          </w:p>
        </w:tc>
        <w:tc>
          <w:tcPr>
            <w:tcW w:w="613" w:type="dxa"/>
            <w:vAlign w:val="center"/>
          </w:tcPr>
          <w:p w14:paraId="36D3F2A1" w14:textId="55CEB15C" w:rsidR="00B60C61" w:rsidRPr="00132E9E" w:rsidRDefault="00B60C61" w:rsidP="00B60C61">
            <w:pPr>
              <w:rPr>
                <w:b/>
                <w:sz w:val="18"/>
                <w:szCs w:val="18"/>
                <w:lang w:val="en-GB"/>
              </w:rPr>
            </w:pPr>
            <w:r w:rsidRPr="00132E9E">
              <w:rPr>
                <w:b/>
                <w:sz w:val="18"/>
                <w:szCs w:val="18"/>
                <w:lang w:val="en-GB"/>
              </w:rPr>
              <w:t>2016</w:t>
            </w:r>
          </w:p>
        </w:tc>
        <w:tc>
          <w:tcPr>
            <w:tcW w:w="613" w:type="dxa"/>
            <w:vAlign w:val="center"/>
          </w:tcPr>
          <w:p w14:paraId="7C0FD770" w14:textId="3857F30B" w:rsidR="00B60C61" w:rsidRPr="00132E9E" w:rsidRDefault="00B60C61" w:rsidP="00B60C61">
            <w:pPr>
              <w:rPr>
                <w:b/>
                <w:sz w:val="18"/>
                <w:szCs w:val="18"/>
                <w:lang w:val="en-GB"/>
              </w:rPr>
            </w:pPr>
            <w:r w:rsidRPr="00132E9E">
              <w:rPr>
                <w:b/>
                <w:sz w:val="18"/>
                <w:szCs w:val="18"/>
                <w:lang w:val="en-GB"/>
              </w:rPr>
              <w:t>2017</w:t>
            </w:r>
          </w:p>
        </w:tc>
      </w:tr>
      <w:tr w:rsidR="00132E9E" w14:paraId="28883A2B" w14:textId="77777777" w:rsidTr="00132E9E">
        <w:tc>
          <w:tcPr>
            <w:tcW w:w="1142" w:type="dxa"/>
            <w:vMerge w:val="restart"/>
            <w:vAlign w:val="center"/>
          </w:tcPr>
          <w:p w14:paraId="153965AE" w14:textId="344BFAE2" w:rsidR="00132E9E" w:rsidRDefault="00132E9E" w:rsidP="00B60C61">
            <w:pPr>
              <w:rPr>
                <w:lang w:val="en-GB"/>
              </w:rPr>
            </w:pPr>
            <w:r w:rsidRPr="006F0B13">
              <w:rPr>
                <w:rFonts w:ascii="Calibri" w:eastAsia="Times New Roman" w:hAnsi="Calibri" w:cs="Calibri"/>
                <w:b/>
                <w:bCs/>
                <w:color w:val="000000"/>
                <w:sz w:val="20"/>
                <w:szCs w:val="20"/>
                <w:lang w:val="en-US"/>
              </w:rPr>
              <w:t>Permanent emigration</w:t>
            </w:r>
          </w:p>
        </w:tc>
        <w:tc>
          <w:tcPr>
            <w:tcW w:w="1840" w:type="dxa"/>
            <w:gridSpan w:val="3"/>
            <w:vAlign w:val="center"/>
          </w:tcPr>
          <w:p w14:paraId="3B983CF7" w14:textId="7B7B7EF6"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Low number of emigrants, about 11 thousand per year</w:t>
            </w:r>
          </w:p>
        </w:tc>
        <w:tc>
          <w:tcPr>
            <w:tcW w:w="2452" w:type="dxa"/>
            <w:gridSpan w:val="4"/>
            <w:vAlign w:val="center"/>
          </w:tcPr>
          <w:p w14:paraId="1660AA04" w14:textId="58AE4547"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Low number of emigrants, about 9 thousand per year</w:t>
            </w:r>
          </w:p>
        </w:tc>
        <w:tc>
          <w:tcPr>
            <w:tcW w:w="4291" w:type="dxa"/>
            <w:gridSpan w:val="7"/>
            <w:vAlign w:val="center"/>
          </w:tcPr>
          <w:p w14:paraId="388D8731" w14:textId="0F736540"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Increased number of emigrants, about 17 thousand per year</w:t>
            </w:r>
          </w:p>
        </w:tc>
      </w:tr>
      <w:tr w:rsidR="00132E9E" w14:paraId="78548B66" w14:textId="77777777" w:rsidTr="00132E9E">
        <w:tc>
          <w:tcPr>
            <w:tcW w:w="1142" w:type="dxa"/>
            <w:vMerge/>
            <w:vAlign w:val="center"/>
          </w:tcPr>
          <w:p w14:paraId="7CCFCB28" w14:textId="77777777" w:rsidR="00132E9E" w:rsidRDefault="00132E9E" w:rsidP="00B60C61">
            <w:pPr>
              <w:rPr>
                <w:lang w:val="en-GB"/>
              </w:rPr>
            </w:pPr>
          </w:p>
        </w:tc>
        <w:tc>
          <w:tcPr>
            <w:tcW w:w="4292" w:type="dxa"/>
            <w:gridSpan w:val="7"/>
            <w:vAlign w:val="center"/>
          </w:tcPr>
          <w:p w14:paraId="63AD2FF9" w14:textId="5779D54C"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Dispersed emigration (DE)</w:t>
            </w:r>
          </w:p>
        </w:tc>
        <w:tc>
          <w:tcPr>
            <w:tcW w:w="4291" w:type="dxa"/>
            <w:gridSpan w:val="7"/>
            <w:vAlign w:val="center"/>
          </w:tcPr>
          <w:p w14:paraId="1C2CA8CD" w14:textId="2FA78E10"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Prevalence of Spanish, Italian and German emigration, accounting for about 50 percent of total emigration on average</w:t>
            </w:r>
          </w:p>
        </w:tc>
      </w:tr>
      <w:tr w:rsidR="00132E9E" w14:paraId="16E1191D" w14:textId="77777777" w:rsidTr="00132E9E">
        <w:tc>
          <w:tcPr>
            <w:tcW w:w="1142" w:type="dxa"/>
            <w:vAlign w:val="center"/>
          </w:tcPr>
          <w:p w14:paraId="6B3BCE10" w14:textId="56B0483E" w:rsidR="00132E9E" w:rsidRDefault="00132E9E" w:rsidP="00B60C61">
            <w:pPr>
              <w:rPr>
                <w:lang w:val="en-GB"/>
              </w:rPr>
            </w:pPr>
            <w:r w:rsidRPr="006F0B13">
              <w:rPr>
                <w:rFonts w:ascii="Calibri" w:eastAsia="Times New Roman" w:hAnsi="Calibri" w:cs="Calibri"/>
                <w:b/>
                <w:bCs/>
                <w:color w:val="000000"/>
                <w:sz w:val="20"/>
                <w:szCs w:val="20"/>
                <w:lang w:val="en-US"/>
              </w:rPr>
              <w:t>Temporary emigration</w:t>
            </w:r>
          </w:p>
        </w:tc>
        <w:tc>
          <w:tcPr>
            <w:tcW w:w="1840" w:type="dxa"/>
            <w:gridSpan w:val="3"/>
            <w:vAlign w:val="center"/>
          </w:tcPr>
          <w:p w14:paraId="0329BEEA" w14:textId="072E0501" w:rsidR="00132E9E" w:rsidRPr="00132E9E" w:rsidRDefault="00132E9E" w:rsidP="00E21E69">
            <w:pPr>
              <w:jc w:val="center"/>
              <w:rPr>
                <w:rFonts w:ascii="Calibri" w:eastAsia="Times New Roman" w:hAnsi="Calibri" w:cs="Calibri"/>
                <w:color w:val="000000"/>
                <w:sz w:val="20"/>
                <w:szCs w:val="20"/>
                <w:lang w:val="en-US"/>
              </w:rPr>
            </w:pPr>
            <w:r w:rsidRPr="00132E9E">
              <w:rPr>
                <w:rFonts w:ascii="Calibri" w:eastAsia="Times New Roman" w:hAnsi="Calibri" w:cs="Calibri"/>
                <w:color w:val="000000"/>
                <w:sz w:val="20"/>
                <w:szCs w:val="20"/>
                <w:lang w:val="en-US"/>
              </w:rPr>
              <w:t>Circulation in Schengen space, more than 70% in Italy and Spain</w:t>
            </w:r>
          </w:p>
        </w:tc>
        <w:tc>
          <w:tcPr>
            <w:tcW w:w="1226" w:type="dxa"/>
            <w:gridSpan w:val="2"/>
            <w:vAlign w:val="center"/>
          </w:tcPr>
          <w:p w14:paraId="22E29A1C" w14:textId="0297B982"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Post EU accession, structural changes, more than 60% in Italy and Spain</w:t>
            </w:r>
          </w:p>
        </w:tc>
        <w:tc>
          <w:tcPr>
            <w:tcW w:w="3065" w:type="dxa"/>
            <w:gridSpan w:val="5"/>
            <w:vAlign w:val="center"/>
          </w:tcPr>
          <w:p w14:paraId="72A7A616" w14:textId="7D867B4A"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Decreasing from about 300 thousand in 2008 to about 160 thousand in 2013</w:t>
            </w:r>
          </w:p>
        </w:tc>
        <w:tc>
          <w:tcPr>
            <w:tcW w:w="2452" w:type="dxa"/>
            <w:gridSpan w:val="4"/>
            <w:vAlign w:val="center"/>
          </w:tcPr>
          <w:p w14:paraId="2D43A36B" w14:textId="37438BB2" w:rsidR="00132E9E" w:rsidRPr="00132E9E" w:rsidRDefault="00132E9E" w:rsidP="00E21E69">
            <w:pPr>
              <w:jc w:val="center"/>
              <w:rPr>
                <w:sz w:val="20"/>
                <w:szCs w:val="20"/>
                <w:lang w:val="en-GB"/>
              </w:rPr>
            </w:pPr>
            <w:r w:rsidRPr="00132E9E">
              <w:rPr>
                <w:rFonts w:ascii="Calibri" w:eastAsia="Times New Roman" w:hAnsi="Calibri" w:cs="Calibri"/>
                <w:color w:val="000000"/>
                <w:sz w:val="20"/>
                <w:szCs w:val="20"/>
                <w:lang w:val="en-US"/>
              </w:rPr>
              <w:t>Increasing to about 210 thousand in 2016; 2017 data indicate a slowdown in the migration outflow*</w:t>
            </w:r>
          </w:p>
        </w:tc>
      </w:tr>
    </w:tbl>
    <w:p w14:paraId="12A8FB0F" w14:textId="420BAE0C" w:rsidR="003240FE" w:rsidRDefault="00BB6D7C" w:rsidP="00BB6D7C">
      <w:pPr>
        <w:rPr>
          <w:lang w:val="en-US"/>
        </w:rPr>
      </w:pPr>
      <w:r w:rsidRPr="00A47A2E">
        <w:rPr>
          <w:lang w:val="en-US"/>
        </w:rPr>
        <w:t>Source: National Institute of Statistics, adaptation from Sandu et al (2004) and Suciu (2010)</w:t>
      </w:r>
      <w:r w:rsidR="00327E46">
        <w:rPr>
          <w:lang w:val="en-US"/>
        </w:rPr>
        <w:t>, Eurostat data for 2017</w:t>
      </w:r>
    </w:p>
    <w:p w14:paraId="408DB74F" w14:textId="6A11D8BD" w:rsidR="00BB6D7C" w:rsidRPr="004E4D7F" w:rsidRDefault="003240FE" w:rsidP="00BB6D7C">
      <w:pPr>
        <w:rPr>
          <w:sz w:val="20"/>
          <w:szCs w:val="20"/>
          <w:lang w:val="en-US"/>
        </w:rPr>
      </w:pPr>
      <w:r w:rsidRPr="004E4D7F">
        <w:rPr>
          <w:sz w:val="20"/>
          <w:szCs w:val="20"/>
          <w:lang w:val="en-US"/>
        </w:rPr>
        <w:t xml:space="preserve">Note: </w:t>
      </w:r>
      <w:r w:rsidR="004934AF" w:rsidRPr="004E4D7F">
        <w:rPr>
          <w:sz w:val="20"/>
          <w:szCs w:val="20"/>
          <w:lang w:val="en-US"/>
        </w:rPr>
        <w:t>*</w:t>
      </w:r>
      <w:r w:rsidR="00395073" w:rsidRPr="004E4D7F">
        <w:rPr>
          <w:sz w:val="20"/>
          <w:szCs w:val="20"/>
          <w:lang w:val="en-US"/>
        </w:rPr>
        <w:t xml:space="preserve"> </w:t>
      </w:r>
      <w:r w:rsidR="00D122E4" w:rsidRPr="004E4D7F">
        <w:rPr>
          <w:sz w:val="20"/>
          <w:szCs w:val="20"/>
          <w:lang w:val="en-US"/>
        </w:rPr>
        <w:t>a distinction between perman</w:t>
      </w:r>
      <w:r w:rsidR="00F07918" w:rsidRPr="004E4D7F">
        <w:rPr>
          <w:sz w:val="20"/>
          <w:szCs w:val="20"/>
          <w:lang w:val="en-US"/>
        </w:rPr>
        <w:t>ent and temporary migration canno</w:t>
      </w:r>
      <w:r w:rsidR="00D122E4" w:rsidRPr="004E4D7F">
        <w:rPr>
          <w:sz w:val="20"/>
          <w:szCs w:val="20"/>
          <w:lang w:val="en-US"/>
        </w:rPr>
        <w:t>t be made</w:t>
      </w:r>
      <w:r w:rsidR="00E71FBB" w:rsidRPr="004E4D7F">
        <w:rPr>
          <w:sz w:val="20"/>
          <w:szCs w:val="20"/>
          <w:lang w:val="en-US"/>
        </w:rPr>
        <w:t xml:space="preserve"> based on available Eurostat data for 2017</w:t>
      </w:r>
    </w:p>
    <w:p w14:paraId="08623317" w14:textId="77777777" w:rsidR="004A5C25" w:rsidRPr="004A0368" w:rsidRDefault="004A5C25" w:rsidP="004A0368">
      <w:pPr>
        <w:jc w:val="both"/>
        <w:rPr>
          <w:lang w:val="en-US"/>
        </w:rPr>
      </w:pPr>
    </w:p>
    <w:p w14:paraId="653C7115" w14:textId="58408817" w:rsidR="00132E9E" w:rsidRDefault="00132E9E">
      <w:pPr>
        <w:rPr>
          <w:lang w:val="en-US"/>
        </w:rPr>
      </w:pPr>
      <w:r>
        <w:rPr>
          <w:lang w:val="en-US"/>
        </w:rPr>
        <w:br w:type="page"/>
      </w:r>
    </w:p>
    <w:p w14:paraId="7D6A415F" w14:textId="77777777" w:rsidR="00EE64AB" w:rsidRPr="00A47A2E" w:rsidRDefault="002208B1" w:rsidP="00EE64AB">
      <w:pPr>
        <w:pStyle w:val="Heading1"/>
        <w:numPr>
          <w:ilvl w:val="0"/>
          <w:numId w:val="0"/>
        </w:numPr>
        <w:ind w:firstLine="708"/>
        <w:rPr>
          <w:rFonts w:asciiTheme="minorHAnsi" w:hAnsiTheme="minorHAnsi" w:cstheme="minorHAnsi"/>
          <w:lang w:val="en-US"/>
        </w:rPr>
      </w:pPr>
      <w:bookmarkStart w:id="44" w:name="_Toc511308339"/>
      <w:r w:rsidRPr="00A47A2E">
        <w:rPr>
          <w:rFonts w:asciiTheme="minorHAnsi" w:hAnsiTheme="minorHAnsi" w:cstheme="minorHAnsi"/>
          <w:lang w:val="en-US"/>
        </w:rPr>
        <w:lastRenderedPageBreak/>
        <w:t>R</w:t>
      </w:r>
      <w:r w:rsidR="00E15335" w:rsidRPr="00A47A2E">
        <w:rPr>
          <w:rFonts w:asciiTheme="minorHAnsi" w:hAnsiTheme="minorHAnsi" w:cstheme="minorHAnsi"/>
          <w:lang w:val="en-US"/>
        </w:rPr>
        <w:t>eferences</w:t>
      </w:r>
      <w:bookmarkEnd w:id="44"/>
    </w:p>
    <w:p w14:paraId="67C0FA43" w14:textId="6CFF0E01" w:rsidR="00EE64AB" w:rsidRDefault="00EE64AB" w:rsidP="009669D6">
      <w:pPr>
        <w:pStyle w:val="ListParagraph"/>
        <w:numPr>
          <w:ilvl w:val="0"/>
          <w:numId w:val="2"/>
        </w:numPr>
        <w:jc w:val="both"/>
        <w:rPr>
          <w:rFonts w:cstheme="minorHAnsi"/>
          <w:lang w:val="en-US"/>
        </w:rPr>
      </w:pPr>
      <w:r w:rsidRPr="00242B25">
        <w:rPr>
          <w:rFonts w:cstheme="minorHAnsi"/>
        </w:rPr>
        <w:t xml:space="preserve">Anghel R.G., Piracha M., Randazzo T. </w:t>
      </w:r>
      <w:r w:rsidR="003F13D0" w:rsidRPr="00242B25">
        <w:rPr>
          <w:rFonts w:cstheme="minorHAnsi"/>
        </w:rPr>
        <w:t xml:space="preserve">(2015). </w:t>
      </w:r>
      <w:r w:rsidR="00680E2E" w:rsidRPr="00A47A2E">
        <w:rPr>
          <w:rFonts w:cstheme="minorHAnsi"/>
          <w:lang w:val="en-US"/>
        </w:rPr>
        <w:t>“Migrant’s</w:t>
      </w:r>
      <w:r w:rsidRPr="00A47A2E">
        <w:rPr>
          <w:rFonts w:cstheme="minorHAnsi"/>
          <w:lang w:val="en-US"/>
        </w:rPr>
        <w:t xml:space="preserve"> remittances: </w:t>
      </w:r>
      <w:r w:rsidR="00680E2E" w:rsidRPr="00A47A2E">
        <w:rPr>
          <w:rFonts w:cstheme="minorHAnsi"/>
          <w:lang w:val="en-US"/>
        </w:rPr>
        <w:t>Channeling</w:t>
      </w:r>
      <w:r w:rsidRPr="00A47A2E">
        <w:rPr>
          <w:rFonts w:cstheme="minorHAnsi"/>
          <w:lang w:val="en-US"/>
        </w:rPr>
        <w:t xml:space="preserve"> Globalization”, IZA DP No. 9516</w:t>
      </w:r>
    </w:p>
    <w:p w14:paraId="3C62D524" w14:textId="77777777" w:rsidR="00147D1A" w:rsidRDefault="00147D1A" w:rsidP="00774638">
      <w:pPr>
        <w:pStyle w:val="ListParagraph"/>
        <w:jc w:val="both"/>
        <w:rPr>
          <w:rFonts w:cstheme="minorHAnsi"/>
          <w:lang w:val="en-US"/>
        </w:rPr>
      </w:pPr>
    </w:p>
    <w:p w14:paraId="5A8E12C0" w14:textId="77777777" w:rsidR="006125AA" w:rsidRPr="004A5C25" w:rsidRDefault="00147D1A" w:rsidP="006125AA">
      <w:pPr>
        <w:pStyle w:val="ListParagraph"/>
        <w:numPr>
          <w:ilvl w:val="0"/>
          <w:numId w:val="2"/>
        </w:numPr>
        <w:jc w:val="both"/>
        <w:rPr>
          <w:rFonts w:cstheme="minorHAnsi"/>
          <w:lang w:val="en-US"/>
        </w:rPr>
      </w:pPr>
      <w:r w:rsidRPr="004A5C25">
        <w:rPr>
          <w:rFonts w:cstheme="minorHAnsi"/>
          <w:lang w:val="en-US"/>
        </w:rPr>
        <w:t xml:space="preserve">Ambrosini, J. W., K. Mayr, G. Peri and D. Radu (2012), The Selection of Migrants and </w:t>
      </w:r>
      <w:r w:rsidRPr="003B4F1B">
        <w:rPr>
          <w:rFonts w:cstheme="minorHAnsi"/>
          <w:lang w:val="en-US"/>
        </w:rPr>
        <w:t>Returnees in Romania: Evidence and Long-Run Implications, IZA Discussion Papers</w:t>
      </w:r>
      <w:r w:rsidRPr="004A5C25">
        <w:rPr>
          <w:rFonts w:cstheme="minorHAnsi"/>
          <w:lang w:val="en-US"/>
        </w:rPr>
        <w:t xml:space="preserve"> </w:t>
      </w:r>
      <w:r w:rsidRPr="003B4F1B">
        <w:rPr>
          <w:rFonts w:cstheme="minorHAnsi"/>
          <w:lang w:val="en-US"/>
        </w:rPr>
        <w:t>No. 6664, Bonn</w:t>
      </w:r>
      <w:r w:rsidR="006125AA" w:rsidRPr="00774638">
        <w:rPr>
          <w:rFonts w:cstheme="minorHAnsi"/>
          <w:lang w:val="en-US"/>
        </w:rPr>
        <w:t xml:space="preserve"> </w:t>
      </w:r>
    </w:p>
    <w:p w14:paraId="4923E410" w14:textId="77777777" w:rsidR="006125AA" w:rsidRPr="004A5C25" w:rsidRDefault="006125AA" w:rsidP="00774638">
      <w:pPr>
        <w:pStyle w:val="ListParagraph"/>
        <w:rPr>
          <w:rFonts w:cstheme="minorHAnsi"/>
          <w:lang w:val="en-US"/>
        </w:rPr>
      </w:pPr>
    </w:p>
    <w:p w14:paraId="07E8EA6F" w14:textId="06F4F092" w:rsidR="00147D1A" w:rsidRPr="00774638" w:rsidRDefault="006125AA" w:rsidP="006125AA">
      <w:pPr>
        <w:pStyle w:val="ListParagraph"/>
        <w:numPr>
          <w:ilvl w:val="0"/>
          <w:numId w:val="2"/>
        </w:numPr>
        <w:jc w:val="both"/>
        <w:rPr>
          <w:rFonts w:cstheme="minorHAnsi"/>
          <w:lang w:val="en-US"/>
        </w:rPr>
      </w:pPr>
      <w:r w:rsidRPr="004A5C25">
        <w:rPr>
          <w:rFonts w:cstheme="minorHAnsi"/>
          <w:lang w:val="en-US"/>
        </w:rPr>
        <w:t>Atoyan, M.R., Christiansen, L.E., Dizioli, A., Ebeke, M.C., Ilahi, M.N., Ilyina, M.A. and Raei, M. F., (2016). Emigration and its economic impact on Eastern Europe.</w:t>
      </w:r>
      <w:r w:rsidR="003F13D0" w:rsidRPr="00774638">
        <w:rPr>
          <w:rFonts w:cstheme="minorHAnsi"/>
          <w:lang w:val="en-US"/>
        </w:rPr>
        <w:t xml:space="preserve"> </w:t>
      </w:r>
      <w:r w:rsidRPr="004A5C25">
        <w:rPr>
          <w:rFonts w:cstheme="minorHAnsi"/>
          <w:lang w:val="en-US"/>
        </w:rPr>
        <w:t>Washington: International Monetary Fund</w:t>
      </w:r>
    </w:p>
    <w:p w14:paraId="7ADD9B7D" w14:textId="77777777" w:rsidR="00A5157E" w:rsidRPr="00774638" w:rsidRDefault="00A5157E" w:rsidP="00774638">
      <w:pPr>
        <w:pStyle w:val="ListParagraph"/>
        <w:rPr>
          <w:rFonts w:cstheme="minorHAnsi"/>
          <w:lang w:val="en-US"/>
        </w:rPr>
      </w:pPr>
    </w:p>
    <w:p w14:paraId="7DBDBB38" w14:textId="1A299AAF" w:rsidR="00A5157E" w:rsidRPr="004A5C25" w:rsidRDefault="00A5157E" w:rsidP="000F72DB">
      <w:pPr>
        <w:pStyle w:val="ListParagraph"/>
        <w:numPr>
          <w:ilvl w:val="0"/>
          <w:numId w:val="2"/>
        </w:numPr>
        <w:jc w:val="both"/>
        <w:rPr>
          <w:rFonts w:cstheme="minorHAnsi"/>
          <w:lang w:val="en-US"/>
        </w:rPr>
      </w:pPr>
      <w:r w:rsidRPr="00774638">
        <w:rPr>
          <w:rFonts w:cstheme="minorHAnsi"/>
          <w:lang w:val="en-US"/>
        </w:rPr>
        <w:t xml:space="preserve"> Barcevicus, E., Iglicka K., Repeckaite D., and Zvalionyte D. (2012), “</w:t>
      </w:r>
      <w:r w:rsidRPr="004A5C25">
        <w:rPr>
          <w:rFonts w:cstheme="minorHAnsi"/>
          <w:lang w:val="en-US"/>
        </w:rPr>
        <w:t>Labour mobility within the EU:</w:t>
      </w:r>
      <w:r w:rsidR="000F72DB" w:rsidRPr="004A5C25">
        <w:rPr>
          <w:rFonts w:cstheme="minorHAnsi"/>
          <w:lang w:val="en-US"/>
        </w:rPr>
        <w:t xml:space="preserve"> </w:t>
      </w:r>
      <w:r w:rsidRPr="004A5C25">
        <w:rPr>
          <w:rFonts w:cstheme="minorHAnsi"/>
          <w:lang w:val="en-US"/>
        </w:rPr>
        <w:t xml:space="preserve">The impact of return migration”, </w:t>
      </w:r>
      <w:r w:rsidRPr="003B4F1B">
        <w:rPr>
          <w:rFonts w:cstheme="minorHAnsi"/>
          <w:lang w:val="en-US"/>
        </w:rPr>
        <w:t>Eurofound</w:t>
      </w:r>
    </w:p>
    <w:p w14:paraId="714DD8A5" w14:textId="77777777" w:rsidR="00EE64AB" w:rsidRPr="00A47A2E" w:rsidRDefault="00EE64AB" w:rsidP="00EE64AB">
      <w:pPr>
        <w:pStyle w:val="ListParagraph"/>
        <w:jc w:val="both"/>
        <w:rPr>
          <w:rFonts w:cstheme="minorHAnsi"/>
          <w:lang w:val="en-US"/>
        </w:rPr>
      </w:pPr>
    </w:p>
    <w:p w14:paraId="527D18E4" w14:textId="77777777" w:rsidR="009669D6" w:rsidRPr="00A47A2E" w:rsidRDefault="009669D6" w:rsidP="009669D6">
      <w:pPr>
        <w:pStyle w:val="ListParagraph"/>
        <w:numPr>
          <w:ilvl w:val="0"/>
          <w:numId w:val="2"/>
        </w:numPr>
        <w:jc w:val="both"/>
        <w:rPr>
          <w:rFonts w:cstheme="minorHAnsi"/>
          <w:lang w:val="en-US"/>
        </w:rPr>
      </w:pPr>
      <w:r w:rsidRPr="00A47A2E">
        <w:rPr>
          <w:rFonts w:cstheme="minorHAnsi"/>
          <w:lang w:val="en-US"/>
        </w:rPr>
        <w:t>Beine M., Parsons C. (2015), “Climatic Factors as Determinants of International Migration”, Scandinavian Journal of Economics 117(2), 723-767</w:t>
      </w:r>
    </w:p>
    <w:p w14:paraId="2430D2D9" w14:textId="77777777" w:rsidR="009669D6" w:rsidRPr="00A47A2E" w:rsidRDefault="009669D6" w:rsidP="009669D6">
      <w:pPr>
        <w:pStyle w:val="ListParagraph"/>
        <w:jc w:val="both"/>
        <w:rPr>
          <w:rFonts w:cstheme="minorHAnsi"/>
          <w:lang w:val="en-US"/>
        </w:rPr>
      </w:pPr>
    </w:p>
    <w:p w14:paraId="00159784" w14:textId="77777777" w:rsidR="00EA4A94" w:rsidRPr="00A47A2E" w:rsidRDefault="00BD2FC5" w:rsidP="00EA4A94">
      <w:pPr>
        <w:pStyle w:val="ListParagraph"/>
        <w:numPr>
          <w:ilvl w:val="0"/>
          <w:numId w:val="2"/>
        </w:numPr>
        <w:jc w:val="both"/>
        <w:rPr>
          <w:rFonts w:cstheme="minorHAnsi"/>
          <w:lang w:val="en-US"/>
        </w:rPr>
      </w:pPr>
      <w:r w:rsidRPr="00A47A2E">
        <w:rPr>
          <w:rFonts w:cstheme="minorHAnsi"/>
          <w:lang w:val="en-US"/>
        </w:rPr>
        <w:t xml:space="preserve">Bhagwati </w:t>
      </w:r>
      <w:r w:rsidR="00E4631E" w:rsidRPr="00A47A2E">
        <w:rPr>
          <w:rFonts w:cstheme="minorHAnsi"/>
          <w:lang w:val="en-US"/>
        </w:rPr>
        <w:t>J</w:t>
      </w:r>
      <w:r w:rsidRPr="00A47A2E">
        <w:rPr>
          <w:rFonts w:cstheme="minorHAnsi"/>
          <w:lang w:val="en-US"/>
        </w:rPr>
        <w:t>., Hamada K. (1974), “The Brain Drain, International Integration of Markets for Professionals and Unemployment: a Theoretical Analysis”, Journal of De</w:t>
      </w:r>
      <w:r w:rsidR="009669D6" w:rsidRPr="00A47A2E">
        <w:rPr>
          <w:rFonts w:cstheme="minorHAnsi"/>
          <w:lang w:val="en-US"/>
        </w:rPr>
        <w:t>velopment Economics 1(1), 19-42</w:t>
      </w:r>
    </w:p>
    <w:p w14:paraId="57625DC5" w14:textId="77777777" w:rsidR="00EA4A94" w:rsidRPr="00A47A2E" w:rsidRDefault="00EA4A94" w:rsidP="00EA4A94">
      <w:pPr>
        <w:pStyle w:val="ListParagraph"/>
        <w:rPr>
          <w:sz w:val="23"/>
          <w:szCs w:val="23"/>
          <w:lang w:val="en-US"/>
        </w:rPr>
      </w:pPr>
    </w:p>
    <w:p w14:paraId="73B43EF5" w14:textId="77777777" w:rsidR="00B4481B" w:rsidRPr="00B4481B" w:rsidRDefault="00EA4A94" w:rsidP="00B4481B">
      <w:pPr>
        <w:pStyle w:val="ListParagraph"/>
        <w:numPr>
          <w:ilvl w:val="0"/>
          <w:numId w:val="2"/>
        </w:numPr>
        <w:jc w:val="both"/>
        <w:rPr>
          <w:rFonts w:cstheme="minorHAnsi"/>
          <w:lang w:val="en-US"/>
        </w:rPr>
      </w:pPr>
      <w:r w:rsidRPr="00A47A2E">
        <w:rPr>
          <w:sz w:val="23"/>
          <w:szCs w:val="23"/>
          <w:lang w:val="en-US"/>
        </w:rPr>
        <w:t>Bohning, W.R., (1987). Studies in International Migration, New York: St. Martin's Press.</w:t>
      </w:r>
    </w:p>
    <w:p w14:paraId="64E03629" w14:textId="77777777" w:rsidR="00B4481B" w:rsidRPr="00B4481B" w:rsidRDefault="00B4481B" w:rsidP="00B4481B">
      <w:pPr>
        <w:pStyle w:val="ListParagraph"/>
        <w:rPr>
          <w:rFonts w:cstheme="minorHAnsi"/>
          <w:lang w:val="en-US"/>
        </w:rPr>
      </w:pPr>
    </w:p>
    <w:p w14:paraId="088AB829" w14:textId="77777777" w:rsidR="00B4481B" w:rsidRDefault="009669D6" w:rsidP="00B4481B">
      <w:pPr>
        <w:pStyle w:val="ListParagraph"/>
        <w:numPr>
          <w:ilvl w:val="0"/>
          <w:numId w:val="2"/>
        </w:numPr>
        <w:jc w:val="both"/>
        <w:rPr>
          <w:rFonts w:cstheme="minorHAnsi"/>
          <w:lang w:val="en-US"/>
        </w:rPr>
      </w:pPr>
      <w:r w:rsidRPr="00B4481B">
        <w:rPr>
          <w:rFonts w:cstheme="minorHAnsi"/>
          <w:lang w:val="en-US"/>
        </w:rPr>
        <w:t>Botezat A., Pfeiffer F. (2014), “The Impact of Parents Migration on the Well-Being of Children Left Behind: Initial Evidence from Romania”, IZA DP 8225.</w:t>
      </w:r>
    </w:p>
    <w:p w14:paraId="4CC7BAA3" w14:textId="77777777" w:rsidR="00B4481B" w:rsidRPr="00B4481B" w:rsidRDefault="00B4481B" w:rsidP="00B4481B">
      <w:pPr>
        <w:pStyle w:val="ListParagraph"/>
        <w:rPr>
          <w:rFonts w:cstheme="minorHAnsi"/>
          <w:lang w:val="en-US"/>
        </w:rPr>
      </w:pPr>
    </w:p>
    <w:p w14:paraId="254FCC78" w14:textId="77777777" w:rsidR="00B4481B" w:rsidRDefault="009669D6" w:rsidP="00B4481B">
      <w:pPr>
        <w:pStyle w:val="ListParagraph"/>
        <w:numPr>
          <w:ilvl w:val="0"/>
          <w:numId w:val="2"/>
        </w:numPr>
        <w:jc w:val="both"/>
        <w:rPr>
          <w:rFonts w:cstheme="minorHAnsi"/>
          <w:lang w:val="en-US"/>
        </w:rPr>
      </w:pPr>
      <w:r w:rsidRPr="00B4481B">
        <w:rPr>
          <w:rFonts w:cstheme="minorHAnsi"/>
          <w:lang w:val="en-US"/>
        </w:rPr>
        <w:t xml:space="preserve">Cattaneo C., Peri G., (2016), “The Migration Response to Increasing Temperatures”, Journal of Development Economics 122, 127-146. </w:t>
      </w:r>
    </w:p>
    <w:p w14:paraId="0163D57D" w14:textId="77777777" w:rsidR="00B4481B" w:rsidRPr="00B4481B" w:rsidRDefault="00B4481B" w:rsidP="00B4481B">
      <w:pPr>
        <w:pStyle w:val="ListParagraph"/>
        <w:rPr>
          <w:rFonts w:cstheme="minorHAnsi"/>
          <w:lang w:val="en-US"/>
        </w:rPr>
      </w:pPr>
    </w:p>
    <w:p w14:paraId="6E01D13B" w14:textId="162038DC" w:rsidR="00B4481B" w:rsidRDefault="006547F2" w:rsidP="00B4481B">
      <w:pPr>
        <w:pStyle w:val="ListParagraph"/>
        <w:numPr>
          <w:ilvl w:val="0"/>
          <w:numId w:val="2"/>
        </w:numPr>
        <w:jc w:val="both"/>
        <w:rPr>
          <w:rFonts w:cstheme="minorHAnsi"/>
          <w:lang w:val="en-US"/>
        </w:rPr>
      </w:pPr>
      <w:r w:rsidRPr="00B4481B">
        <w:rPr>
          <w:rFonts w:cstheme="minorHAnsi"/>
          <w:lang w:val="en-US"/>
        </w:rPr>
        <w:t xml:space="preserve">Chiswick B., </w:t>
      </w:r>
      <w:r w:rsidR="005715D4" w:rsidRPr="00B4481B">
        <w:rPr>
          <w:rFonts w:cstheme="minorHAnsi"/>
          <w:lang w:val="en-US"/>
        </w:rPr>
        <w:t xml:space="preserve">Hatton T. (2003), “International Migration and the Integration of Labor Markets”, in </w:t>
      </w:r>
      <w:r w:rsidR="006C588B" w:rsidRPr="00B4481B">
        <w:rPr>
          <w:rFonts w:cstheme="minorHAnsi"/>
          <w:lang w:val="en-US"/>
        </w:rPr>
        <w:t xml:space="preserve">Bordo M.D., Taylor A. M., Willliamson J.G. (eds.) Globalization in Historical Perspective, University of Chicago Press, </w:t>
      </w:r>
      <w:r w:rsidR="009669D6" w:rsidRPr="00B4481B">
        <w:rPr>
          <w:rFonts w:cstheme="minorHAnsi"/>
          <w:lang w:val="en-US"/>
        </w:rPr>
        <w:t>65-120</w:t>
      </w:r>
    </w:p>
    <w:p w14:paraId="1FF21BE0" w14:textId="77777777" w:rsidR="007F468B" w:rsidRPr="00774638" w:rsidRDefault="007F468B" w:rsidP="00774638">
      <w:pPr>
        <w:pStyle w:val="ListParagraph"/>
        <w:rPr>
          <w:rFonts w:cstheme="minorHAnsi"/>
          <w:lang w:val="en-US"/>
        </w:rPr>
      </w:pPr>
    </w:p>
    <w:p w14:paraId="6D321D9F" w14:textId="66FCB253" w:rsidR="007F468B" w:rsidRDefault="007F468B" w:rsidP="007F468B">
      <w:pPr>
        <w:pStyle w:val="ListParagraph"/>
        <w:numPr>
          <w:ilvl w:val="0"/>
          <w:numId w:val="2"/>
        </w:numPr>
        <w:jc w:val="both"/>
        <w:rPr>
          <w:rFonts w:cstheme="minorHAnsi"/>
          <w:lang w:val="en-US"/>
        </w:rPr>
      </w:pPr>
      <w:r w:rsidRPr="007F468B">
        <w:rPr>
          <w:rFonts w:cstheme="minorHAnsi"/>
          <w:lang w:val="en-US"/>
        </w:rPr>
        <w:t>Ciupureanu CA., Roman M.D. (2016) Do Remittances Reduce Poverty in Developing Countries?. In: Karasavvoglou A., Aranđelović Z., Marinković S., Polychronidou P. (eds) The First Decade of Living with the Global Crisis. Contributions to Economics. Springer, Cham</w:t>
      </w:r>
    </w:p>
    <w:p w14:paraId="56C4C6CF" w14:textId="77777777" w:rsidR="00B4481B" w:rsidRPr="00B4481B" w:rsidRDefault="00B4481B" w:rsidP="00B4481B">
      <w:pPr>
        <w:pStyle w:val="ListParagraph"/>
        <w:rPr>
          <w:rFonts w:cstheme="minorHAnsi"/>
          <w:lang w:val="en-US"/>
        </w:rPr>
      </w:pPr>
    </w:p>
    <w:p w14:paraId="560BDAAD" w14:textId="77777777" w:rsidR="00B4481B" w:rsidRDefault="00650C23" w:rsidP="00B4481B">
      <w:pPr>
        <w:pStyle w:val="ListParagraph"/>
        <w:numPr>
          <w:ilvl w:val="0"/>
          <w:numId w:val="2"/>
        </w:numPr>
        <w:jc w:val="both"/>
        <w:rPr>
          <w:rFonts w:cstheme="minorHAnsi"/>
          <w:lang w:val="en-US"/>
        </w:rPr>
      </w:pPr>
      <w:r w:rsidRPr="00B4481B">
        <w:rPr>
          <w:rFonts w:cstheme="minorHAnsi"/>
          <w:lang w:val="en-US"/>
        </w:rPr>
        <w:t>Clemens M. (2011</w:t>
      </w:r>
      <w:r w:rsidR="006C588B" w:rsidRPr="00B4481B">
        <w:rPr>
          <w:rFonts w:cstheme="minorHAnsi"/>
          <w:lang w:val="en-US"/>
        </w:rPr>
        <w:t>), “A Labor Mobility Agenda For Development”,</w:t>
      </w:r>
      <w:r w:rsidR="00E70A41" w:rsidRPr="00B4481B">
        <w:rPr>
          <w:rFonts w:cstheme="minorHAnsi"/>
          <w:lang w:val="en-US"/>
        </w:rPr>
        <w:t xml:space="preserve"> </w:t>
      </w:r>
      <w:r w:rsidRPr="00B4481B">
        <w:rPr>
          <w:rFonts w:cstheme="minorHAnsi"/>
          <w:lang w:val="en-US"/>
        </w:rPr>
        <w:t>in Birdasall N., Fukuyama F. (eds), New Ideas on Development after the Financial Crisis, Johns Hopkins University Press, 260-287.</w:t>
      </w:r>
    </w:p>
    <w:p w14:paraId="1FD0F2C5" w14:textId="77777777" w:rsidR="00B4481B" w:rsidRPr="00B4481B" w:rsidRDefault="00B4481B" w:rsidP="00B4481B">
      <w:pPr>
        <w:pStyle w:val="ListParagraph"/>
        <w:rPr>
          <w:rFonts w:cstheme="minorHAnsi"/>
          <w:lang w:val="en-US"/>
        </w:rPr>
      </w:pPr>
    </w:p>
    <w:p w14:paraId="2DFE33D4" w14:textId="77777777" w:rsidR="00B4481B" w:rsidRDefault="00614431" w:rsidP="00B4481B">
      <w:pPr>
        <w:pStyle w:val="ListParagraph"/>
        <w:numPr>
          <w:ilvl w:val="0"/>
          <w:numId w:val="2"/>
        </w:numPr>
        <w:jc w:val="both"/>
        <w:rPr>
          <w:rFonts w:cstheme="minorHAnsi"/>
          <w:lang w:val="en-US"/>
        </w:rPr>
      </w:pPr>
      <w:r w:rsidRPr="00B4481B">
        <w:rPr>
          <w:rFonts w:cstheme="minorHAnsi"/>
          <w:lang w:val="en-US"/>
        </w:rPr>
        <w:t>Clemens M. (2015</w:t>
      </w:r>
      <w:r w:rsidR="006C588B" w:rsidRPr="00B4481B">
        <w:rPr>
          <w:rFonts w:cstheme="minorHAnsi"/>
          <w:lang w:val="en-US"/>
        </w:rPr>
        <w:t xml:space="preserve">), “Does Development Reduce Migration?”, </w:t>
      </w:r>
      <w:r w:rsidRPr="00B4481B">
        <w:rPr>
          <w:rFonts w:cstheme="minorHAnsi"/>
          <w:lang w:val="en-US"/>
        </w:rPr>
        <w:t>in Lucas R. E. (ed.), International Handbook of Migra</w:t>
      </w:r>
      <w:r w:rsidR="00B4481B">
        <w:rPr>
          <w:rFonts w:cstheme="minorHAnsi"/>
          <w:lang w:val="en-US"/>
        </w:rPr>
        <w:t xml:space="preserve">tion and Economic Development, </w:t>
      </w:r>
      <w:r w:rsidRPr="00B4481B">
        <w:rPr>
          <w:rFonts w:cstheme="minorHAnsi"/>
          <w:lang w:val="en-US"/>
        </w:rPr>
        <w:t>Edward Elgar Publishing</w:t>
      </w:r>
      <w:r w:rsidR="00AD0126" w:rsidRPr="00B4481B">
        <w:rPr>
          <w:rFonts w:cstheme="minorHAnsi"/>
          <w:lang w:val="en-US"/>
        </w:rPr>
        <w:t>,</w:t>
      </w:r>
      <w:r w:rsidRPr="00B4481B">
        <w:rPr>
          <w:rFonts w:cstheme="minorHAnsi"/>
          <w:lang w:val="en-US"/>
        </w:rPr>
        <w:t xml:space="preserve"> 152-185.</w:t>
      </w:r>
    </w:p>
    <w:p w14:paraId="0C1711B4" w14:textId="77777777" w:rsidR="00B4481B" w:rsidRPr="00B4481B" w:rsidRDefault="00B4481B" w:rsidP="00B4481B">
      <w:pPr>
        <w:pStyle w:val="ListParagraph"/>
        <w:rPr>
          <w:rFonts w:cstheme="minorHAnsi"/>
          <w:lang w:val="en-US"/>
        </w:rPr>
      </w:pPr>
    </w:p>
    <w:p w14:paraId="6C0ED704" w14:textId="77777777" w:rsidR="00B4481B" w:rsidRDefault="00881DFA" w:rsidP="00B4481B">
      <w:pPr>
        <w:pStyle w:val="ListParagraph"/>
        <w:numPr>
          <w:ilvl w:val="0"/>
          <w:numId w:val="2"/>
        </w:numPr>
        <w:jc w:val="both"/>
        <w:rPr>
          <w:rFonts w:cstheme="minorHAnsi"/>
          <w:lang w:val="en-US"/>
        </w:rPr>
      </w:pPr>
      <w:r w:rsidRPr="00B4481B">
        <w:rPr>
          <w:rFonts w:cstheme="minorHAnsi"/>
          <w:lang w:val="en-US"/>
        </w:rPr>
        <w:t xml:space="preserve">Clemens M., Ogden T.N. (2014), “Migration as a Strategy for Household Finance: A Research Agenda On Remittances, Payments and Development”, Center </w:t>
      </w:r>
      <w:r w:rsidR="009669D6" w:rsidRPr="00B4481B">
        <w:rPr>
          <w:rFonts w:cstheme="minorHAnsi"/>
          <w:lang w:val="en-US"/>
        </w:rPr>
        <w:t>for Global Development WP # 354</w:t>
      </w:r>
    </w:p>
    <w:p w14:paraId="105BB03D" w14:textId="77777777" w:rsidR="00B4481B" w:rsidRPr="00B4481B" w:rsidRDefault="00B4481B" w:rsidP="00B4481B">
      <w:pPr>
        <w:pStyle w:val="ListParagraph"/>
        <w:rPr>
          <w:rFonts w:cstheme="minorHAnsi"/>
          <w:lang w:val="en-US"/>
        </w:rPr>
      </w:pPr>
    </w:p>
    <w:p w14:paraId="2884CA56" w14:textId="77777777" w:rsidR="00B4481B" w:rsidRDefault="009669D6" w:rsidP="00B4481B">
      <w:pPr>
        <w:pStyle w:val="ListParagraph"/>
        <w:numPr>
          <w:ilvl w:val="0"/>
          <w:numId w:val="2"/>
        </w:numPr>
        <w:jc w:val="both"/>
        <w:rPr>
          <w:rFonts w:cstheme="minorHAnsi"/>
          <w:lang w:val="en-US"/>
        </w:rPr>
      </w:pPr>
      <w:r w:rsidRPr="00B4481B">
        <w:rPr>
          <w:rFonts w:cstheme="minorHAnsi"/>
          <w:lang w:val="en-US"/>
        </w:rPr>
        <w:lastRenderedPageBreak/>
        <w:t>Clemens M. A.; Ozden C., Rapoport H. (2014), “Migration and Development Research is Moving Far Beyond Remittances”, World Development 64, 121-124.</w:t>
      </w:r>
    </w:p>
    <w:p w14:paraId="0953053C" w14:textId="77777777" w:rsidR="00B4481B" w:rsidRPr="00B4481B" w:rsidRDefault="00B4481B" w:rsidP="00B4481B">
      <w:pPr>
        <w:pStyle w:val="ListParagraph"/>
        <w:rPr>
          <w:rFonts w:cstheme="minorHAnsi"/>
          <w:lang w:val="en-US"/>
        </w:rPr>
      </w:pPr>
    </w:p>
    <w:p w14:paraId="50FC86EB" w14:textId="77777777" w:rsidR="00B4481B" w:rsidRDefault="00B4254D" w:rsidP="00B4481B">
      <w:pPr>
        <w:pStyle w:val="ListParagraph"/>
        <w:numPr>
          <w:ilvl w:val="0"/>
          <w:numId w:val="2"/>
        </w:numPr>
        <w:jc w:val="both"/>
        <w:rPr>
          <w:rFonts w:cstheme="minorHAnsi"/>
          <w:lang w:val="en-US"/>
        </w:rPr>
      </w:pPr>
      <w:r w:rsidRPr="00B4481B">
        <w:rPr>
          <w:rFonts w:cstheme="minorHAnsi"/>
          <w:lang w:val="en-US"/>
        </w:rPr>
        <w:t xml:space="preserve">Commander S., Kangasniemi M, Winters L.A. (2004), “The Brain Drain: Curse or Boon? A Survey of the Literature”, in Baldwin L.E., Winters A.L. (eds), Challenges to Globalization: </w:t>
      </w:r>
      <w:r w:rsidR="00680E2E" w:rsidRPr="00B4481B">
        <w:rPr>
          <w:rFonts w:cstheme="minorHAnsi"/>
          <w:lang w:val="en-US"/>
        </w:rPr>
        <w:t>Analyzing</w:t>
      </w:r>
      <w:r w:rsidRPr="00B4481B">
        <w:rPr>
          <w:rFonts w:cstheme="minorHAnsi"/>
          <w:lang w:val="en-US"/>
        </w:rPr>
        <w:t xml:space="preserve"> the Economics, Universit</w:t>
      </w:r>
      <w:r w:rsidR="009669D6" w:rsidRPr="00B4481B">
        <w:rPr>
          <w:rFonts w:cstheme="minorHAnsi"/>
          <w:lang w:val="en-US"/>
        </w:rPr>
        <w:t>y of Chicago Press, 235-272</w:t>
      </w:r>
    </w:p>
    <w:p w14:paraId="02D0C116" w14:textId="77777777" w:rsidR="00B4481B" w:rsidRPr="00B4481B" w:rsidRDefault="00B4481B" w:rsidP="00B4481B">
      <w:pPr>
        <w:pStyle w:val="ListParagraph"/>
        <w:rPr>
          <w:rFonts w:cstheme="minorHAnsi"/>
          <w:lang w:val="en-US"/>
        </w:rPr>
      </w:pPr>
    </w:p>
    <w:p w14:paraId="1D8C290F" w14:textId="77777777" w:rsidR="00B4481B" w:rsidRDefault="00731FD8" w:rsidP="00B4481B">
      <w:pPr>
        <w:pStyle w:val="ListParagraph"/>
        <w:numPr>
          <w:ilvl w:val="0"/>
          <w:numId w:val="2"/>
        </w:numPr>
        <w:jc w:val="both"/>
        <w:rPr>
          <w:rFonts w:cstheme="minorHAnsi"/>
          <w:lang w:val="en-US"/>
        </w:rPr>
      </w:pPr>
      <w:r w:rsidRPr="00B4481B">
        <w:rPr>
          <w:rFonts w:cstheme="minorHAnsi"/>
          <w:lang w:val="en-US"/>
        </w:rPr>
        <w:t>Cristea, Marius; Mare, Codruța; Moldovan, Ciprian; China, Andreea-Mirela; Farole, Thomas; Vințan, Adina; Park, Jane; Garrett, Keith Patrick; Ionescu-Heroiu, Marcel. (2017). “Magnet cities : migration and commuting in Romania”,</w:t>
      </w:r>
      <w:r w:rsidR="00EE3182" w:rsidRPr="00B4481B">
        <w:rPr>
          <w:rFonts w:cstheme="minorHAnsi"/>
          <w:lang w:val="en-US"/>
        </w:rPr>
        <w:t xml:space="preserve"> </w:t>
      </w:r>
      <w:r w:rsidRPr="00B4481B">
        <w:rPr>
          <w:rFonts w:cstheme="minorHAnsi"/>
          <w:lang w:val="en-US"/>
        </w:rPr>
        <w:t>Washington, D.C. : World Bank Group</w:t>
      </w:r>
    </w:p>
    <w:p w14:paraId="250FE38B" w14:textId="77777777" w:rsidR="00B4481B" w:rsidRPr="00B4481B" w:rsidRDefault="00B4481B" w:rsidP="00B4481B">
      <w:pPr>
        <w:pStyle w:val="ListParagraph"/>
        <w:rPr>
          <w:rFonts w:cstheme="minorHAnsi"/>
          <w:lang w:val="en-US"/>
        </w:rPr>
      </w:pPr>
    </w:p>
    <w:p w14:paraId="6D9913B9" w14:textId="77777777" w:rsidR="00B4481B" w:rsidRDefault="001E07E9" w:rsidP="00B4481B">
      <w:pPr>
        <w:pStyle w:val="ListParagraph"/>
        <w:numPr>
          <w:ilvl w:val="0"/>
          <w:numId w:val="2"/>
        </w:numPr>
        <w:jc w:val="both"/>
        <w:rPr>
          <w:rFonts w:cstheme="minorHAnsi"/>
          <w:lang w:val="en-US"/>
        </w:rPr>
      </w:pPr>
      <w:r w:rsidRPr="00B4481B">
        <w:rPr>
          <w:rFonts w:cstheme="minorHAnsi"/>
          <w:lang w:val="en-US"/>
        </w:rPr>
        <w:t>Del Boca D. (2003), “Mothers, Fathers and Children After Divorce: The Role of Institutions”, Journal of Popu</w:t>
      </w:r>
      <w:r w:rsidR="009669D6" w:rsidRPr="00B4481B">
        <w:rPr>
          <w:rFonts w:cstheme="minorHAnsi"/>
          <w:lang w:val="en-US"/>
        </w:rPr>
        <w:t>lation Economics 16(3), 399-422</w:t>
      </w:r>
    </w:p>
    <w:p w14:paraId="2496A44F" w14:textId="77777777" w:rsidR="00D22F89" w:rsidRPr="00D22F89" w:rsidRDefault="00D22F89" w:rsidP="00D22F89">
      <w:pPr>
        <w:pStyle w:val="ListParagraph"/>
        <w:rPr>
          <w:rFonts w:cstheme="minorHAnsi"/>
          <w:lang w:val="en-US"/>
        </w:rPr>
      </w:pPr>
    </w:p>
    <w:p w14:paraId="422A272B" w14:textId="77777777" w:rsidR="00D22F89" w:rsidRDefault="00D22F89" w:rsidP="00B4481B">
      <w:pPr>
        <w:pStyle w:val="ListParagraph"/>
        <w:numPr>
          <w:ilvl w:val="0"/>
          <w:numId w:val="2"/>
        </w:numPr>
        <w:jc w:val="both"/>
        <w:rPr>
          <w:rFonts w:cstheme="minorHAnsi"/>
          <w:lang w:val="en-US"/>
        </w:rPr>
      </w:pPr>
      <w:r>
        <w:rPr>
          <w:rFonts w:cstheme="minorHAnsi"/>
          <w:lang w:val="en-US"/>
        </w:rPr>
        <w:t>European Commission (2014), “Mapping and Analysing Bottleneck Vacancies in EU Labour Markets”, Report</w:t>
      </w:r>
    </w:p>
    <w:p w14:paraId="662D6680" w14:textId="77777777" w:rsidR="00B4481B" w:rsidRPr="00B4481B" w:rsidRDefault="00B4481B" w:rsidP="00B4481B">
      <w:pPr>
        <w:pStyle w:val="ListParagraph"/>
        <w:rPr>
          <w:rFonts w:cstheme="minorHAnsi"/>
          <w:lang w:val="en-US"/>
        </w:rPr>
      </w:pPr>
    </w:p>
    <w:p w14:paraId="76C21A15" w14:textId="77777777" w:rsidR="00B4481B" w:rsidRDefault="009669D6" w:rsidP="00B4481B">
      <w:pPr>
        <w:pStyle w:val="ListParagraph"/>
        <w:numPr>
          <w:ilvl w:val="0"/>
          <w:numId w:val="2"/>
        </w:numPr>
        <w:jc w:val="both"/>
        <w:rPr>
          <w:rFonts w:cstheme="minorHAnsi"/>
          <w:lang w:val="en-US"/>
        </w:rPr>
      </w:pPr>
      <w:r w:rsidRPr="00B4481B">
        <w:rPr>
          <w:rFonts w:cstheme="minorHAnsi"/>
          <w:lang w:val="en-US"/>
        </w:rPr>
        <w:t>Faini Riccardo, Venturini Alessandra (2010), Development and Migration: Lessons from Southern Europe, in Epstein G.S., Gang I., (eds) Frontiers of Economics and Globalization, vol. 8, Migration and Culture, 105-136, Emerald Publishing Group.</w:t>
      </w:r>
    </w:p>
    <w:p w14:paraId="0F6F92D0" w14:textId="77777777" w:rsidR="00B4481B" w:rsidRPr="00B4481B" w:rsidRDefault="00B4481B" w:rsidP="00B4481B">
      <w:pPr>
        <w:pStyle w:val="ListParagraph"/>
        <w:rPr>
          <w:rFonts w:cstheme="minorHAnsi"/>
          <w:lang w:val="en-US"/>
        </w:rPr>
      </w:pPr>
    </w:p>
    <w:p w14:paraId="466000B7" w14:textId="77777777" w:rsidR="00B4481B" w:rsidRDefault="00E34211" w:rsidP="00B4481B">
      <w:pPr>
        <w:pStyle w:val="ListParagraph"/>
        <w:numPr>
          <w:ilvl w:val="0"/>
          <w:numId w:val="2"/>
        </w:numPr>
        <w:jc w:val="both"/>
        <w:rPr>
          <w:rFonts w:cstheme="minorHAnsi"/>
          <w:lang w:val="en-US"/>
        </w:rPr>
      </w:pPr>
      <w:r w:rsidRPr="00B4481B">
        <w:rPr>
          <w:rFonts w:cstheme="minorHAnsi"/>
          <w:lang w:val="en-US"/>
        </w:rPr>
        <w:t>Giannelli G. C., Mangiavacchi L. (2010), “Children’s Schooling and Parental Migration: Evidence on the “Left-Behind” Generation in Albania”, Labour (24)</w:t>
      </w:r>
      <w:r w:rsidR="00BD2FC5" w:rsidRPr="00B4481B">
        <w:rPr>
          <w:rFonts w:cstheme="minorHAnsi"/>
          <w:lang w:val="en-US"/>
        </w:rPr>
        <w:t>,</w:t>
      </w:r>
      <w:r w:rsidR="009669D6" w:rsidRPr="00B4481B">
        <w:rPr>
          <w:rFonts w:cstheme="minorHAnsi"/>
          <w:lang w:val="en-US"/>
        </w:rPr>
        <w:t xml:space="preserve"> 76-92</w:t>
      </w:r>
    </w:p>
    <w:p w14:paraId="6C084D6F" w14:textId="77777777" w:rsidR="00B4481B" w:rsidRPr="00C9700E" w:rsidRDefault="00B4481B" w:rsidP="00B4481B">
      <w:pPr>
        <w:pStyle w:val="ListParagraph"/>
        <w:rPr>
          <w:lang w:val="en-US"/>
        </w:rPr>
      </w:pPr>
    </w:p>
    <w:p w14:paraId="158F9D2E" w14:textId="6A171AC5" w:rsidR="00B4481B" w:rsidRPr="00C9700E" w:rsidRDefault="00EA4A94" w:rsidP="00B4481B">
      <w:pPr>
        <w:pStyle w:val="ListParagraph"/>
        <w:numPr>
          <w:ilvl w:val="0"/>
          <w:numId w:val="2"/>
        </w:numPr>
        <w:jc w:val="both"/>
        <w:rPr>
          <w:rFonts w:cstheme="minorHAnsi"/>
          <w:lang w:val="en-US"/>
        </w:rPr>
      </w:pPr>
      <w:r w:rsidRPr="00C9700E">
        <w:rPr>
          <w:lang w:val="en-US"/>
        </w:rPr>
        <w:t>Glytsos, N.P. (1988), “Remittances and Temporary Migration: A Theoretical Model and its Testing with the Greek-German Experience," Weltwirtschaftliches Archiv, 124, 524-549.</w:t>
      </w:r>
    </w:p>
    <w:p w14:paraId="418D98F2" w14:textId="77777777" w:rsidR="00B4481B" w:rsidRPr="00C9700E" w:rsidRDefault="00B4481B" w:rsidP="00B4481B">
      <w:pPr>
        <w:pStyle w:val="ListParagraph"/>
        <w:rPr>
          <w:rFonts w:cstheme="minorHAnsi"/>
          <w:lang w:val="en-US"/>
        </w:rPr>
      </w:pPr>
    </w:p>
    <w:p w14:paraId="70314E55" w14:textId="77777777" w:rsidR="00B4481B" w:rsidRPr="00C9700E" w:rsidRDefault="00A94CE0" w:rsidP="00B4481B">
      <w:pPr>
        <w:pStyle w:val="ListParagraph"/>
        <w:numPr>
          <w:ilvl w:val="0"/>
          <w:numId w:val="2"/>
        </w:numPr>
        <w:jc w:val="both"/>
        <w:rPr>
          <w:rFonts w:cstheme="minorHAnsi"/>
          <w:lang w:val="en-US"/>
        </w:rPr>
      </w:pPr>
      <w:r w:rsidRPr="00C9700E">
        <w:rPr>
          <w:rFonts w:cstheme="minorHAnsi"/>
          <w:lang w:val="en-US"/>
        </w:rPr>
        <w:t>Hildebrandt</w:t>
      </w:r>
      <w:r w:rsidR="00200076" w:rsidRPr="00C9700E">
        <w:rPr>
          <w:rFonts w:cstheme="minorHAnsi"/>
          <w:lang w:val="en-US"/>
        </w:rPr>
        <w:t xml:space="preserve"> N.,</w:t>
      </w:r>
      <w:r w:rsidR="006406A6" w:rsidRPr="00C9700E">
        <w:rPr>
          <w:rFonts w:cstheme="minorHAnsi"/>
          <w:lang w:val="en-US"/>
        </w:rPr>
        <w:t xml:space="preserve"> McK</w:t>
      </w:r>
      <w:r w:rsidRPr="00C9700E">
        <w:rPr>
          <w:rFonts w:cstheme="minorHAnsi"/>
          <w:lang w:val="en-US"/>
        </w:rPr>
        <w:t xml:space="preserve">enzie D.J. (2005), “The Effect of Migration on Child Health in Mexico”, The </w:t>
      </w:r>
      <w:r w:rsidR="009669D6" w:rsidRPr="00C9700E">
        <w:rPr>
          <w:rFonts w:cstheme="minorHAnsi"/>
          <w:lang w:val="en-US"/>
        </w:rPr>
        <w:t>World Bank, Washington D.C., 35</w:t>
      </w:r>
    </w:p>
    <w:p w14:paraId="2E970B97" w14:textId="77777777" w:rsidR="00B4481B" w:rsidRPr="00C9700E" w:rsidRDefault="00B4481B" w:rsidP="00B4481B">
      <w:pPr>
        <w:pStyle w:val="ListParagraph"/>
        <w:rPr>
          <w:lang w:val="en-US"/>
        </w:rPr>
      </w:pPr>
    </w:p>
    <w:p w14:paraId="73A46B4E" w14:textId="77777777" w:rsidR="00B4481B" w:rsidRPr="00C9700E" w:rsidRDefault="00894921" w:rsidP="00B4481B">
      <w:pPr>
        <w:pStyle w:val="ListParagraph"/>
        <w:numPr>
          <w:ilvl w:val="0"/>
          <w:numId w:val="2"/>
        </w:numPr>
        <w:jc w:val="both"/>
        <w:rPr>
          <w:rFonts w:cstheme="minorHAnsi"/>
          <w:lang w:val="en-US"/>
        </w:rPr>
      </w:pPr>
      <w:r w:rsidRPr="00C9700E">
        <w:rPr>
          <w:lang w:val="en-US"/>
        </w:rPr>
        <w:t xml:space="preserve">International Organization for Migration (1998), </w:t>
      </w:r>
      <w:r w:rsidRPr="00C9700E">
        <w:rPr>
          <w:iCs/>
          <w:lang w:val="en-US"/>
        </w:rPr>
        <w:t>Migration Potential in Central and Eastern Europe</w:t>
      </w:r>
      <w:r w:rsidRPr="00C9700E">
        <w:rPr>
          <w:i/>
          <w:iCs/>
          <w:lang w:val="en-US"/>
        </w:rPr>
        <w:t xml:space="preserve">. </w:t>
      </w:r>
      <w:r w:rsidRPr="00C9700E">
        <w:rPr>
          <w:lang w:val="en-US"/>
        </w:rPr>
        <w:t>Technical Cooperation Centre for Europe and Central Asia, International Organization for Migration (IOM), Geneva.</w:t>
      </w:r>
    </w:p>
    <w:p w14:paraId="05B58C2C" w14:textId="77777777" w:rsidR="00B4481B" w:rsidRPr="00C9700E" w:rsidRDefault="00B4481B" w:rsidP="00B4481B">
      <w:pPr>
        <w:pStyle w:val="ListParagraph"/>
        <w:rPr>
          <w:rFonts w:cstheme="minorHAnsi"/>
          <w:lang w:val="en-US"/>
        </w:rPr>
      </w:pPr>
    </w:p>
    <w:p w14:paraId="20CF18C7" w14:textId="77777777" w:rsidR="00B4481B" w:rsidRPr="00C9700E" w:rsidRDefault="00203BD9" w:rsidP="00B4481B">
      <w:pPr>
        <w:pStyle w:val="ListParagraph"/>
        <w:numPr>
          <w:ilvl w:val="0"/>
          <w:numId w:val="2"/>
        </w:numPr>
        <w:jc w:val="both"/>
        <w:rPr>
          <w:rFonts w:cstheme="minorHAnsi"/>
          <w:lang w:val="en-US"/>
        </w:rPr>
      </w:pPr>
      <w:r w:rsidRPr="00C9700E">
        <w:rPr>
          <w:rFonts w:cstheme="minorHAnsi"/>
          <w:lang w:val="en-US"/>
        </w:rPr>
        <w:t>Kiros G.E., White M.J. (2004), “Migration, Community Context and Child Immunization in Ethiopia”, Social Science</w:t>
      </w:r>
      <w:r w:rsidR="009669D6" w:rsidRPr="00C9700E">
        <w:rPr>
          <w:rFonts w:cstheme="minorHAnsi"/>
          <w:lang w:val="en-US"/>
        </w:rPr>
        <w:t xml:space="preserve"> and Medicine (59)12, 2603-2616</w:t>
      </w:r>
    </w:p>
    <w:p w14:paraId="43F644E3" w14:textId="77777777" w:rsidR="00B4481B" w:rsidRPr="00C9700E" w:rsidRDefault="00B4481B" w:rsidP="00B4481B">
      <w:pPr>
        <w:pStyle w:val="ListParagraph"/>
        <w:rPr>
          <w:rFonts w:cstheme="minorHAnsi"/>
          <w:lang w:val="en-US"/>
        </w:rPr>
      </w:pPr>
    </w:p>
    <w:p w14:paraId="420F4AB0" w14:textId="77777777" w:rsidR="00DC0AA3" w:rsidRDefault="00850638" w:rsidP="004A5C25">
      <w:pPr>
        <w:pStyle w:val="ListParagraph"/>
        <w:numPr>
          <w:ilvl w:val="0"/>
          <w:numId w:val="2"/>
        </w:numPr>
        <w:tabs>
          <w:tab w:val="left" w:pos="630"/>
          <w:tab w:val="left" w:pos="720"/>
        </w:tabs>
        <w:jc w:val="both"/>
        <w:rPr>
          <w:rFonts w:cstheme="minorHAnsi"/>
          <w:lang w:val="en-US"/>
        </w:rPr>
      </w:pPr>
      <w:r w:rsidRPr="00C9700E">
        <w:rPr>
          <w:rFonts w:cstheme="minorHAnsi"/>
          <w:lang w:val="en-US"/>
        </w:rPr>
        <w:t>Le T. (2008), “Brain Drain or Brain Circulation: Evidence from OECD’s International Migration and R&amp;D Spillovers”, Scottish Journal of Political Economy, 55(5), 618</w:t>
      </w:r>
      <w:r w:rsidR="009669D6" w:rsidRPr="00C9700E">
        <w:rPr>
          <w:rFonts w:cstheme="minorHAnsi"/>
          <w:lang w:val="en-US"/>
        </w:rPr>
        <w:t>-636</w:t>
      </w:r>
      <w:r w:rsidR="00DC0AA3">
        <w:rPr>
          <w:rFonts w:cstheme="minorHAnsi"/>
          <w:lang w:val="en-US"/>
        </w:rPr>
        <w:t xml:space="preserve"> </w:t>
      </w:r>
    </w:p>
    <w:p w14:paraId="020FB41C" w14:textId="77777777" w:rsidR="00DC0AA3" w:rsidRPr="00DC0AA3" w:rsidRDefault="00DC0AA3" w:rsidP="00774638">
      <w:pPr>
        <w:pStyle w:val="ListParagraph"/>
        <w:rPr>
          <w:rFonts w:cstheme="minorHAnsi"/>
          <w:lang w:val="en-US"/>
        </w:rPr>
      </w:pPr>
    </w:p>
    <w:p w14:paraId="59BD93F3" w14:textId="587BB638" w:rsidR="00B4481B" w:rsidRDefault="00DC0AA3" w:rsidP="00DC0AA3">
      <w:pPr>
        <w:pStyle w:val="ListParagraph"/>
        <w:numPr>
          <w:ilvl w:val="0"/>
          <w:numId w:val="2"/>
        </w:numPr>
        <w:jc w:val="both"/>
        <w:rPr>
          <w:rFonts w:cstheme="minorHAnsi"/>
          <w:lang w:val="en-US"/>
        </w:rPr>
      </w:pPr>
      <w:r w:rsidRPr="004A5C25">
        <w:rPr>
          <w:rFonts w:cstheme="minorHAnsi"/>
          <w:lang w:val="en-US"/>
        </w:rPr>
        <w:t>Léon-Ledesma, Miguel, and Matloob Piracha (2004). “International Migration and the Role of Remittances in Eastern Europe.” International Migration (42) 4: 65–83.</w:t>
      </w:r>
    </w:p>
    <w:p w14:paraId="03CBA5C0" w14:textId="77777777" w:rsidR="00412314" w:rsidRPr="00774638" w:rsidRDefault="00412314" w:rsidP="00774638">
      <w:pPr>
        <w:pStyle w:val="ListParagraph"/>
        <w:rPr>
          <w:rFonts w:cstheme="minorHAnsi"/>
          <w:lang w:val="en-US"/>
        </w:rPr>
      </w:pPr>
    </w:p>
    <w:p w14:paraId="1D0A6E8B" w14:textId="1EFB91A7" w:rsidR="00412314" w:rsidRPr="004A5C25" w:rsidRDefault="00412314" w:rsidP="00412314">
      <w:pPr>
        <w:pStyle w:val="ListParagraph"/>
        <w:numPr>
          <w:ilvl w:val="0"/>
          <w:numId w:val="2"/>
        </w:numPr>
        <w:jc w:val="both"/>
        <w:rPr>
          <w:rFonts w:cstheme="minorHAnsi"/>
          <w:lang w:val="en-US"/>
        </w:rPr>
      </w:pPr>
      <w:r>
        <w:rPr>
          <w:rFonts w:cstheme="minorHAnsi"/>
          <w:lang w:val="en-US"/>
        </w:rPr>
        <w:lastRenderedPageBreak/>
        <w:t>Mereuta C. (2013), “Mobilizing migrants’ skills and resources in Romania”, In “Coping with Emigration in Baltic and Eastern European Countries”, OECD Publishing</w:t>
      </w:r>
    </w:p>
    <w:p w14:paraId="58E1C929" w14:textId="77777777" w:rsidR="00B4481B" w:rsidRPr="00C9700E" w:rsidRDefault="00B4481B" w:rsidP="00B4481B">
      <w:pPr>
        <w:pStyle w:val="ListParagraph"/>
        <w:rPr>
          <w:rFonts w:cstheme="minorHAnsi"/>
          <w:shd w:val="clear" w:color="auto" w:fill="FFFFFF"/>
          <w:lang w:val="en-US"/>
        </w:rPr>
      </w:pPr>
    </w:p>
    <w:p w14:paraId="68EF1BB5" w14:textId="77777777" w:rsidR="00B4481B" w:rsidRPr="00B4481B" w:rsidRDefault="005715D4" w:rsidP="00B4481B">
      <w:pPr>
        <w:pStyle w:val="ListParagraph"/>
        <w:numPr>
          <w:ilvl w:val="0"/>
          <w:numId w:val="2"/>
        </w:numPr>
        <w:jc w:val="both"/>
        <w:rPr>
          <w:rFonts w:cstheme="minorHAnsi"/>
          <w:lang w:val="en-US"/>
        </w:rPr>
      </w:pPr>
      <w:r w:rsidRPr="00B4481B">
        <w:rPr>
          <w:rFonts w:cstheme="minorHAnsi"/>
          <w:shd w:val="clear" w:color="auto" w:fill="FFFFFF"/>
          <w:lang w:val="en-US"/>
        </w:rPr>
        <w:t>Mesnard A. (2004), “Temporary migration and capital market imperfections”,</w:t>
      </w:r>
      <w:r w:rsidRPr="00B4481B">
        <w:rPr>
          <w:rStyle w:val="apple-converted-space"/>
          <w:rFonts w:cstheme="minorHAnsi"/>
          <w:shd w:val="clear" w:color="auto" w:fill="FFFFFF"/>
          <w:lang w:val="en-US"/>
        </w:rPr>
        <w:t> </w:t>
      </w:r>
      <w:r w:rsidRPr="00B4481B">
        <w:rPr>
          <w:rStyle w:val="Emphasis"/>
          <w:rFonts w:cstheme="minorHAnsi"/>
          <w:bCs/>
          <w:i w:val="0"/>
          <w:iCs w:val="0"/>
          <w:shd w:val="clear" w:color="auto" w:fill="FFFFFF"/>
          <w:lang w:val="en-US"/>
        </w:rPr>
        <w:t>Oxford E</w:t>
      </w:r>
      <w:r w:rsidR="009669D6" w:rsidRPr="00B4481B">
        <w:rPr>
          <w:rFonts w:cstheme="minorHAnsi"/>
          <w:shd w:val="clear" w:color="auto" w:fill="FFFFFF"/>
          <w:lang w:val="en-US"/>
        </w:rPr>
        <w:t>conomic Papers 56, 242-262</w:t>
      </w:r>
    </w:p>
    <w:p w14:paraId="3806EB96" w14:textId="77777777" w:rsidR="00B4481B" w:rsidRPr="00B4481B" w:rsidRDefault="00B4481B" w:rsidP="00B4481B">
      <w:pPr>
        <w:pStyle w:val="ListParagraph"/>
        <w:rPr>
          <w:rFonts w:cstheme="minorHAnsi"/>
          <w:lang w:val="en-US"/>
        </w:rPr>
      </w:pPr>
    </w:p>
    <w:p w14:paraId="7C88A47E" w14:textId="77777777" w:rsidR="00B4481B" w:rsidRPr="00D22F89" w:rsidRDefault="001E07E9" w:rsidP="00B4481B">
      <w:pPr>
        <w:pStyle w:val="ListParagraph"/>
        <w:numPr>
          <w:ilvl w:val="0"/>
          <w:numId w:val="2"/>
        </w:numPr>
        <w:jc w:val="both"/>
        <w:rPr>
          <w:rFonts w:cstheme="minorHAnsi"/>
          <w:lang w:val="en-US"/>
        </w:rPr>
      </w:pPr>
      <w:r w:rsidRPr="00B4481B">
        <w:rPr>
          <w:rFonts w:cstheme="minorHAnsi"/>
          <w:lang w:val="en-US"/>
        </w:rPr>
        <w:t>McKenzie D.J., Rapoport H. (2006), “Can Migration Reduce Educational Attainment? Evidence from Mexico”</w:t>
      </w:r>
      <w:r w:rsidR="003C447C" w:rsidRPr="00B4481B">
        <w:rPr>
          <w:rFonts w:cstheme="minorHAnsi"/>
          <w:lang w:val="en-US"/>
        </w:rPr>
        <w:t xml:space="preserve">, Journal of Population Economics </w:t>
      </w:r>
      <w:r w:rsidR="003C447C" w:rsidRPr="00B4481B">
        <w:rPr>
          <w:rFonts w:cstheme="minorHAnsi"/>
          <w:color w:val="222222"/>
          <w:shd w:val="clear" w:color="auto" w:fill="FFFFFF"/>
          <w:lang w:val="en-US"/>
        </w:rPr>
        <w:t>24(4), 1331-1358.</w:t>
      </w:r>
    </w:p>
    <w:p w14:paraId="211B6F29" w14:textId="77777777" w:rsidR="00D22F89" w:rsidRPr="00D22F89" w:rsidRDefault="00D22F89" w:rsidP="00D22F89">
      <w:pPr>
        <w:pStyle w:val="ListParagraph"/>
        <w:rPr>
          <w:rFonts w:cstheme="minorHAnsi"/>
          <w:lang w:val="en-US"/>
        </w:rPr>
      </w:pPr>
    </w:p>
    <w:p w14:paraId="34843543" w14:textId="77777777" w:rsidR="00D22F89" w:rsidRDefault="00D22F89" w:rsidP="00B4481B">
      <w:pPr>
        <w:pStyle w:val="ListParagraph"/>
        <w:numPr>
          <w:ilvl w:val="0"/>
          <w:numId w:val="2"/>
        </w:numPr>
        <w:jc w:val="both"/>
        <w:rPr>
          <w:rFonts w:cstheme="minorHAnsi"/>
          <w:lang w:val="en-US"/>
        </w:rPr>
      </w:pPr>
      <w:r>
        <w:rPr>
          <w:rFonts w:cstheme="minorHAnsi"/>
          <w:lang w:val="en-US"/>
        </w:rPr>
        <w:t>OECD and UNDESA (2013), “World Migration in Figures”, Report</w:t>
      </w:r>
    </w:p>
    <w:p w14:paraId="4EFC1C1D" w14:textId="77777777" w:rsidR="00B634E1" w:rsidRPr="00B634E1" w:rsidRDefault="00B634E1" w:rsidP="00B634E1">
      <w:pPr>
        <w:pStyle w:val="ListParagraph"/>
        <w:rPr>
          <w:rFonts w:cstheme="minorHAnsi"/>
          <w:lang w:val="en-US"/>
        </w:rPr>
      </w:pPr>
    </w:p>
    <w:p w14:paraId="38CF5708" w14:textId="6A031A83" w:rsidR="00B634E1" w:rsidRDefault="00B634E1" w:rsidP="00B4481B">
      <w:pPr>
        <w:pStyle w:val="ListParagraph"/>
        <w:numPr>
          <w:ilvl w:val="0"/>
          <w:numId w:val="2"/>
        </w:numPr>
        <w:jc w:val="both"/>
        <w:rPr>
          <w:rFonts w:cstheme="minorHAnsi"/>
          <w:lang w:val="en-US"/>
        </w:rPr>
      </w:pPr>
      <w:r>
        <w:rPr>
          <w:rFonts w:cstheme="minorHAnsi"/>
          <w:lang w:val="en-US"/>
        </w:rPr>
        <w:t>OECD (2017), “</w:t>
      </w:r>
      <w:r w:rsidR="009A2853">
        <w:rPr>
          <w:rFonts w:cstheme="minorHAnsi"/>
          <w:lang w:val="en-US"/>
        </w:rPr>
        <w:t>G20 global displacement and migration trends report 2017”, Report</w:t>
      </w:r>
    </w:p>
    <w:p w14:paraId="70C21FD2" w14:textId="77777777" w:rsidR="007F468B" w:rsidRPr="00774638" w:rsidRDefault="007F468B" w:rsidP="00774638">
      <w:pPr>
        <w:pStyle w:val="ListParagraph"/>
        <w:rPr>
          <w:rFonts w:cstheme="minorHAnsi"/>
          <w:lang w:val="en-US"/>
        </w:rPr>
      </w:pPr>
    </w:p>
    <w:p w14:paraId="141D13F2" w14:textId="23CA093B" w:rsidR="007F468B" w:rsidRPr="00774638" w:rsidRDefault="007F468B">
      <w:pPr>
        <w:pStyle w:val="ListParagraph"/>
        <w:numPr>
          <w:ilvl w:val="0"/>
          <w:numId w:val="2"/>
        </w:numPr>
        <w:jc w:val="both"/>
        <w:rPr>
          <w:rFonts w:cstheme="minorHAnsi"/>
          <w:lang w:val="en-US"/>
        </w:rPr>
      </w:pPr>
      <w:r w:rsidRPr="007F468B">
        <w:rPr>
          <w:rFonts w:cstheme="minorHAnsi"/>
          <w:lang w:val="en-US"/>
        </w:rPr>
        <w:t>Peković, D. (2017). The effects of remittances on poverty alleviation in transition</w:t>
      </w:r>
      <w:r>
        <w:rPr>
          <w:rFonts w:cstheme="minorHAnsi"/>
          <w:lang w:val="en-US"/>
        </w:rPr>
        <w:t xml:space="preserve"> </w:t>
      </w:r>
      <w:r w:rsidRPr="00774638">
        <w:rPr>
          <w:rFonts w:cstheme="minorHAnsi"/>
          <w:lang w:val="en-US"/>
        </w:rPr>
        <w:t>countries. Journal of International Studies, 10(4), 37-46. doi:10.14254/2071-</w:t>
      </w:r>
      <w:r>
        <w:rPr>
          <w:rFonts w:cstheme="minorHAnsi"/>
          <w:lang w:val="en-US"/>
        </w:rPr>
        <w:t>8330.2017/10-4/2</w:t>
      </w:r>
    </w:p>
    <w:p w14:paraId="419C28EA" w14:textId="77777777" w:rsidR="009A2233" w:rsidRPr="00884B97" w:rsidRDefault="009A2233" w:rsidP="00774638">
      <w:pPr>
        <w:pStyle w:val="ListParagraph"/>
        <w:rPr>
          <w:rFonts w:cstheme="minorHAnsi"/>
          <w:lang w:val="en-US"/>
        </w:rPr>
      </w:pPr>
    </w:p>
    <w:p w14:paraId="3063590A" w14:textId="2EBCE186" w:rsidR="009A2233" w:rsidRPr="00A32ED9" w:rsidRDefault="009A2233" w:rsidP="00884B97">
      <w:pPr>
        <w:pStyle w:val="ListParagraph"/>
        <w:numPr>
          <w:ilvl w:val="0"/>
          <w:numId w:val="2"/>
        </w:numPr>
        <w:jc w:val="both"/>
        <w:rPr>
          <w:rFonts w:cstheme="minorHAnsi"/>
          <w:lang w:val="en-US"/>
        </w:rPr>
      </w:pPr>
      <w:r w:rsidRPr="004A5C25">
        <w:rPr>
          <w:rFonts w:cstheme="minorHAnsi"/>
          <w:lang w:val="en-US"/>
        </w:rPr>
        <w:t xml:space="preserve">Radu, D.C. and G. Epstein (2007), Returns to return migration and determinants of </w:t>
      </w:r>
      <w:r w:rsidRPr="003B4F1B">
        <w:rPr>
          <w:rFonts w:cstheme="minorHAnsi"/>
          <w:lang w:val="en-US"/>
        </w:rPr>
        <w:t>subsequent moves, EALE Conference Paper, EALE Annual Conference 20-22</w:t>
      </w:r>
      <w:r w:rsidRPr="004A5C25">
        <w:rPr>
          <w:rFonts w:cstheme="minorHAnsi"/>
          <w:lang w:val="en-US"/>
        </w:rPr>
        <w:t xml:space="preserve">, </w:t>
      </w:r>
      <w:r w:rsidRPr="003B4F1B">
        <w:rPr>
          <w:rFonts w:cstheme="minorHAnsi"/>
          <w:lang w:val="en-US"/>
        </w:rPr>
        <w:t>September 2007, Oslo.</w:t>
      </w:r>
    </w:p>
    <w:p w14:paraId="054AA73A" w14:textId="77777777" w:rsidR="00B4481B" w:rsidRPr="00B4481B" w:rsidRDefault="00B4481B" w:rsidP="00B4481B">
      <w:pPr>
        <w:pStyle w:val="ListParagraph"/>
        <w:rPr>
          <w:rFonts w:cstheme="minorHAnsi"/>
          <w:shd w:val="clear" w:color="auto" w:fill="FFFFFF"/>
          <w:lang w:val="en-US"/>
        </w:rPr>
      </w:pPr>
    </w:p>
    <w:p w14:paraId="1BFDFCF7" w14:textId="77777777" w:rsidR="00B4481B" w:rsidRPr="00B4481B" w:rsidRDefault="00E70A41" w:rsidP="00B4481B">
      <w:pPr>
        <w:pStyle w:val="ListParagraph"/>
        <w:numPr>
          <w:ilvl w:val="0"/>
          <w:numId w:val="2"/>
        </w:numPr>
        <w:jc w:val="both"/>
        <w:rPr>
          <w:rFonts w:cstheme="minorHAnsi"/>
          <w:lang w:val="en-US"/>
        </w:rPr>
      </w:pPr>
      <w:r w:rsidRPr="00B4481B">
        <w:rPr>
          <w:rFonts w:cstheme="minorHAnsi"/>
          <w:shd w:val="clear" w:color="auto" w:fill="FFFFFF"/>
          <w:lang w:val="en-US"/>
        </w:rPr>
        <w:t xml:space="preserve">Rapoport H. (2004), </w:t>
      </w:r>
      <w:r w:rsidR="00850638" w:rsidRPr="00B4481B">
        <w:rPr>
          <w:rFonts w:cstheme="minorHAnsi"/>
          <w:shd w:val="clear" w:color="auto" w:fill="FFFFFF"/>
          <w:lang w:val="en-US"/>
        </w:rPr>
        <w:t>“Who’s Afraid of the Brain Drain? Human Capital and Growth in the Developing Countries”, Brussel</w:t>
      </w:r>
      <w:r w:rsidR="009669D6" w:rsidRPr="00B4481B">
        <w:rPr>
          <w:rFonts w:cstheme="minorHAnsi"/>
          <w:shd w:val="clear" w:color="auto" w:fill="FFFFFF"/>
          <w:lang w:val="en-US"/>
        </w:rPr>
        <w:t>s Economic Review 47(1), 89-101</w:t>
      </w:r>
    </w:p>
    <w:p w14:paraId="7AC6852E" w14:textId="1C5AA249" w:rsidR="00412314" w:rsidRPr="00B4481B" w:rsidRDefault="00412314" w:rsidP="00B4481B">
      <w:pPr>
        <w:pStyle w:val="ListParagraph"/>
        <w:rPr>
          <w:rFonts w:cs="Arial"/>
          <w:shd w:val="clear" w:color="auto" w:fill="FFFFFF"/>
          <w:lang w:val="en-US"/>
        </w:rPr>
      </w:pPr>
    </w:p>
    <w:p w14:paraId="58E752CD" w14:textId="4D606687" w:rsidR="00B9773F" w:rsidRDefault="009669D6" w:rsidP="00774638">
      <w:pPr>
        <w:pStyle w:val="ListParagraph"/>
        <w:numPr>
          <w:ilvl w:val="0"/>
          <w:numId w:val="2"/>
        </w:numPr>
        <w:spacing w:after="0" w:line="276" w:lineRule="auto"/>
        <w:jc w:val="both"/>
        <w:rPr>
          <w:rFonts w:cs="Arial"/>
          <w:shd w:val="clear" w:color="auto" w:fill="FFFFFF"/>
          <w:lang w:val="en-US"/>
        </w:rPr>
      </w:pPr>
      <w:r w:rsidRPr="00B4481B">
        <w:rPr>
          <w:rFonts w:cs="Arial"/>
          <w:shd w:val="clear" w:color="auto" w:fill="FFFFFF"/>
          <w:lang w:val="en-US"/>
        </w:rPr>
        <w:t>Rapoport H. (2016), “Migration and Globalization: What’s in it for Developing Countries?”, International Journal of Manpower 37(7), 1209-1227</w:t>
      </w:r>
    </w:p>
    <w:p w14:paraId="064A3013" w14:textId="6B25ECF1" w:rsidR="00412314" w:rsidRPr="00774638" w:rsidRDefault="00412314" w:rsidP="00774638">
      <w:pPr>
        <w:spacing w:after="0" w:line="276" w:lineRule="auto"/>
        <w:jc w:val="both"/>
        <w:rPr>
          <w:rFonts w:cs="Arial"/>
          <w:shd w:val="clear" w:color="auto" w:fill="FFFFFF"/>
          <w:lang w:val="en-US"/>
        </w:rPr>
      </w:pPr>
    </w:p>
    <w:p w14:paraId="0CBF3720" w14:textId="77777777" w:rsidR="00B4481B" w:rsidRPr="00B4481B" w:rsidRDefault="007C4EDC" w:rsidP="00774638">
      <w:pPr>
        <w:pStyle w:val="ListParagraph"/>
        <w:numPr>
          <w:ilvl w:val="0"/>
          <w:numId w:val="2"/>
        </w:numPr>
        <w:spacing w:after="0" w:line="276" w:lineRule="auto"/>
        <w:jc w:val="both"/>
        <w:rPr>
          <w:rFonts w:cstheme="minorHAnsi"/>
          <w:lang w:val="en-US"/>
        </w:rPr>
      </w:pPr>
      <w:r w:rsidRPr="00B4481B">
        <w:rPr>
          <w:rFonts w:cs="Arial"/>
          <w:shd w:val="clear" w:color="auto" w:fill="FFFFFF"/>
          <w:lang w:val="en-US"/>
        </w:rPr>
        <w:t>Sandu, D ., (2005)</w:t>
      </w:r>
      <w:r w:rsidR="00894921" w:rsidRPr="00B4481B">
        <w:rPr>
          <w:rFonts w:cs="Arial"/>
          <w:shd w:val="clear" w:color="auto" w:fill="FFFFFF"/>
          <w:lang w:val="en-US"/>
        </w:rPr>
        <w:t>, „Emerging transnational migration from Romanian Villages” , în Cur. Sociology, vol. 53, nr. 4, pp. 555-582</w:t>
      </w:r>
    </w:p>
    <w:p w14:paraId="1EB2905B" w14:textId="77777777" w:rsidR="00B4481B" w:rsidRPr="00B4481B" w:rsidRDefault="00B4481B" w:rsidP="00B4481B">
      <w:pPr>
        <w:pStyle w:val="ListParagraph"/>
        <w:rPr>
          <w:rFonts w:cs="Arial"/>
          <w:color w:val="000000" w:themeColor="text1"/>
          <w:shd w:val="clear" w:color="auto" w:fill="FFFFFF"/>
          <w:lang w:val="en-US"/>
        </w:rPr>
      </w:pPr>
    </w:p>
    <w:p w14:paraId="4358C2B5" w14:textId="77777777" w:rsidR="00B4481B" w:rsidRPr="00242B25" w:rsidRDefault="007C4EDC" w:rsidP="00B4481B">
      <w:pPr>
        <w:pStyle w:val="ListParagraph"/>
        <w:numPr>
          <w:ilvl w:val="0"/>
          <w:numId w:val="2"/>
        </w:numPr>
        <w:jc w:val="both"/>
        <w:rPr>
          <w:rFonts w:cstheme="minorHAnsi"/>
        </w:rPr>
      </w:pPr>
      <w:r w:rsidRPr="00242B25">
        <w:rPr>
          <w:rFonts w:cs="Arial"/>
          <w:color w:val="000000" w:themeColor="text1"/>
          <w:shd w:val="clear" w:color="auto" w:fill="FFFFFF"/>
        </w:rPr>
        <w:t>Sandu, D., (2006)</w:t>
      </w:r>
      <w:r w:rsidR="00894921" w:rsidRPr="00242B25">
        <w:rPr>
          <w:rFonts w:cs="Arial"/>
          <w:color w:val="000000" w:themeColor="text1"/>
          <w:shd w:val="clear" w:color="auto" w:fill="FFFFFF"/>
        </w:rPr>
        <w:t>, Locuirea temporară în străinătate. Migraţia economică a românilor: 1990-2006, Bucureşti, Fundaţia pentru o Societate Deschisă.</w:t>
      </w:r>
    </w:p>
    <w:p w14:paraId="3F3276D1" w14:textId="77777777" w:rsidR="00B4481B" w:rsidRPr="00242B25" w:rsidRDefault="00B4481B" w:rsidP="00B4481B">
      <w:pPr>
        <w:pStyle w:val="ListParagraph"/>
        <w:rPr>
          <w:rFonts w:cs="Arial"/>
          <w:color w:val="000000" w:themeColor="text1"/>
          <w:shd w:val="clear" w:color="auto" w:fill="FFFFFF"/>
        </w:rPr>
      </w:pPr>
    </w:p>
    <w:p w14:paraId="0E04FA55" w14:textId="77777777" w:rsidR="00B4481B" w:rsidRPr="00242B25" w:rsidRDefault="00E42B74" w:rsidP="00B4481B">
      <w:pPr>
        <w:pStyle w:val="ListParagraph"/>
        <w:numPr>
          <w:ilvl w:val="0"/>
          <w:numId w:val="2"/>
        </w:numPr>
        <w:jc w:val="both"/>
        <w:rPr>
          <w:rFonts w:cstheme="minorHAnsi"/>
        </w:rPr>
      </w:pPr>
      <w:r w:rsidRPr="00242B25">
        <w:rPr>
          <w:rFonts w:cs="Arial"/>
          <w:color w:val="000000" w:themeColor="text1"/>
          <w:shd w:val="clear" w:color="auto" w:fill="FFFFFF"/>
        </w:rPr>
        <w:t>Sandu D., (2010), Lumile sociale ale migrației românești în străinătate, Polirom Publishing house</w:t>
      </w:r>
    </w:p>
    <w:p w14:paraId="70045083" w14:textId="77777777" w:rsidR="00B4481B" w:rsidRPr="00242B25" w:rsidRDefault="00B4481B" w:rsidP="00B4481B">
      <w:pPr>
        <w:pStyle w:val="ListParagraph"/>
        <w:rPr>
          <w:rFonts w:cs="Arial"/>
          <w:shd w:val="clear" w:color="auto" w:fill="FFFFFF"/>
        </w:rPr>
      </w:pPr>
    </w:p>
    <w:p w14:paraId="7091B649" w14:textId="77777777" w:rsidR="00B4481B" w:rsidRPr="00B4481B" w:rsidRDefault="009669D6" w:rsidP="00B4481B">
      <w:pPr>
        <w:pStyle w:val="ListParagraph"/>
        <w:numPr>
          <w:ilvl w:val="0"/>
          <w:numId w:val="2"/>
        </w:numPr>
        <w:jc w:val="both"/>
        <w:rPr>
          <w:rFonts w:cstheme="minorHAnsi"/>
          <w:lang w:val="en-US"/>
        </w:rPr>
      </w:pPr>
      <w:r w:rsidRPr="00B4481B">
        <w:rPr>
          <w:rFonts w:cs="Arial"/>
          <w:shd w:val="clear" w:color="auto" w:fill="FFFFFF"/>
          <w:lang w:val="en-US"/>
        </w:rPr>
        <w:t xml:space="preserve">Séchet R., Vasilcu D. (2015), “Physicians’ Migration from Romania to France: a Brain Drain into Europe?”, Cybergeo, European Journal of Geography, document 743, </w:t>
      </w:r>
      <w:r w:rsidRPr="00B4481B">
        <w:rPr>
          <w:color w:val="000000"/>
          <w:shd w:val="clear" w:color="auto" w:fill="FFFFFF"/>
          <w:lang w:val="en-US"/>
        </w:rPr>
        <w:t>DOI : 10.4000/cybergeo.27249</w:t>
      </w:r>
      <w:r w:rsidRPr="00B4481B">
        <w:rPr>
          <w:rFonts w:cs="Arial"/>
          <w:shd w:val="clear" w:color="auto" w:fill="FFFFFF"/>
          <w:lang w:val="en-US"/>
        </w:rPr>
        <w:t xml:space="preserve"> </w:t>
      </w:r>
    </w:p>
    <w:p w14:paraId="210B02BC" w14:textId="77777777" w:rsidR="00B4481B" w:rsidRPr="00B4481B" w:rsidRDefault="00B4481B" w:rsidP="00B4481B">
      <w:pPr>
        <w:pStyle w:val="ListParagraph"/>
        <w:rPr>
          <w:rFonts w:cstheme="minorHAnsi"/>
          <w:lang w:val="en-US"/>
        </w:rPr>
      </w:pPr>
    </w:p>
    <w:p w14:paraId="3E74B5A5" w14:textId="77777777" w:rsidR="00B4481B" w:rsidRDefault="009669D6" w:rsidP="00B4481B">
      <w:pPr>
        <w:pStyle w:val="ListParagraph"/>
        <w:numPr>
          <w:ilvl w:val="0"/>
          <w:numId w:val="2"/>
        </w:numPr>
        <w:jc w:val="both"/>
        <w:rPr>
          <w:rFonts w:cstheme="minorHAnsi"/>
          <w:lang w:val="en-US"/>
        </w:rPr>
      </w:pPr>
      <w:r w:rsidRPr="00B4481B">
        <w:rPr>
          <w:rFonts w:cstheme="minorHAnsi"/>
          <w:lang w:val="en-US"/>
        </w:rPr>
        <w:t>Stark O. (2004), “Rethinking the Brain Drain”, World Development 32(1), 15-22</w:t>
      </w:r>
    </w:p>
    <w:p w14:paraId="1E69627F" w14:textId="77777777" w:rsidR="00B4481B" w:rsidRPr="00B4481B" w:rsidRDefault="00B4481B" w:rsidP="00B4481B">
      <w:pPr>
        <w:pStyle w:val="ListParagraph"/>
        <w:rPr>
          <w:rFonts w:cs="Arial"/>
          <w:shd w:val="clear" w:color="auto" w:fill="FFFFFF"/>
          <w:lang w:val="en-US"/>
        </w:rPr>
      </w:pPr>
    </w:p>
    <w:p w14:paraId="4BF456A9" w14:textId="77777777" w:rsidR="00B4481B" w:rsidRPr="00B4481B" w:rsidRDefault="00B4481B" w:rsidP="00B4481B">
      <w:pPr>
        <w:pStyle w:val="ListParagraph"/>
        <w:numPr>
          <w:ilvl w:val="0"/>
          <w:numId w:val="2"/>
        </w:numPr>
        <w:jc w:val="both"/>
        <w:rPr>
          <w:rFonts w:cstheme="minorHAnsi"/>
          <w:lang w:val="en-US"/>
        </w:rPr>
      </w:pPr>
      <w:r w:rsidRPr="00242B25">
        <w:rPr>
          <w:rFonts w:cs="Arial"/>
          <w:shd w:val="clear" w:color="auto" w:fill="FFFFFF"/>
        </w:rPr>
        <w:t xml:space="preserve">Suciu O.V. (2010), “Migration in Europe. </w:t>
      </w:r>
      <w:r>
        <w:rPr>
          <w:rFonts w:cs="Arial"/>
          <w:shd w:val="clear" w:color="auto" w:fill="FFFFFF"/>
          <w:lang w:val="en-US"/>
        </w:rPr>
        <w:t>Case Studies: Bulgaria and Romania”. CRCE 2010 Colloquium</w:t>
      </w:r>
    </w:p>
    <w:p w14:paraId="77AD77E5" w14:textId="77777777" w:rsidR="00B4481B" w:rsidRPr="00B4481B" w:rsidRDefault="00B4481B" w:rsidP="00B4481B">
      <w:pPr>
        <w:pStyle w:val="ListParagraph"/>
        <w:rPr>
          <w:rFonts w:cstheme="minorHAnsi"/>
          <w:shd w:val="clear" w:color="auto" w:fill="FFFFFF"/>
          <w:lang w:val="en-US"/>
        </w:rPr>
      </w:pPr>
    </w:p>
    <w:p w14:paraId="54DD789D" w14:textId="77777777" w:rsidR="00092D44" w:rsidRPr="00092D44" w:rsidRDefault="00092D44" w:rsidP="00B4481B">
      <w:pPr>
        <w:pStyle w:val="ListParagraph"/>
        <w:numPr>
          <w:ilvl w:val="0"/>
          <w:numId w:val="2"/>
        </w:numPr>
        <w:jc w:val="both"/>
        <w:rPr>
          <w:rFonts w:cstheme="minorHAnsi"/>
          <w:lang w:val="en-US"/>
        </w:rPr>
      </w:pPr>
      <w:r>
        <w:rPr>
          <w:rFonts w:cstheme="minorHAnsi"/>
          <w:lang w:val="en-US"/>
        </w:rPr>
        <w:t>The National Authority for Child Protection and Adoption (2017), “The situation of children with parents working abroad”, Report</w:t>
      </w:r>
    </w:p>
    <w:p w14:paraId="4F68F294" w14:textId="77777777" w:rsidR="00092D44" w:rsidRPr="00092D44" w:rsidRDefault="00092D44" w:rsidP="00092D44">
      <w:pPr>
        <w:pStyle w:val="ListParagraph"/>
        <w:rPr>
          <w:rFonts w:cstheme="minorHAnsi"/>
          <w:shd w:val="clear" w:color="auto" w:fill="FFFFFF"/>
          <w:lang w:val="en-US"/>
        </w:rPr>
      </w:pPr>
    </w:p>
    <w:p w14:paraId="082F05EA" w14:textId="1EF8DEF2" w:rsidR="00B4481B" w:rsidRPr="00774638" w:rsidRDefault="00EE3182" w:rsidP="00B4481B">
      <w:pPr>
        <w:pStyle w:val="ListParagraph"/>
        <w:numPr>
          <w:ilvl w:val="0"/>
          <w:numId w:val="2"/>
        </w:numPr>
        <w:jc w:val="both"/>
        <w:rPr>
          <w:rFonts w:cstheme="minorHAnsi"/>
          <w:lang w:val="en-US"/>
        </w:rPr>
      </w:pPr>
      <w:r w:rsidRPr="00242B25">
        <w:rPr>
          <w:rFonts w:cstheme="minorHAnsi"/>
          <w:shd w:val="clear" w:color="auto" w:fill="FFFFFF"/>
        </w:rPr>
        <w:lastRenderedPageBreak/>
        <w:t xml:space="preserve">Tesliuc, Emil Daniel; Grigoras, Vlad Alexandru; Stanculescu, Manuela Sofia. </w:t>
      </w:r>
      <w:r w:rsidRPr="00C9700E">
        <w:rPr>
          <w:rFonts w:cstheme="minorHAnsi"/>
          <w:shd w:val="clear" w:color="auto" w:fill="FFFFFF"/>
          <w:lang w:val="en-US"/>
        </w:rPr>
        <w:t xml:space="preserve">2015. “Background study for the national strategy on social inclusion and poverty </w:t>
      </w:r>
      <w:r w:rsidR="00B4481B" w:rsidRPr="00C9700E">
        <w:rPr>
          <w:rFonts w:cstheme="minorHAnsi"/>
          <w:shd w:val="clear" w:color="auto" w:fill="FFFFFF"/>
          <w:lang w:val="en-US"/>
        </w:rPr>
        <w:t>reduction:</w:t>
      </w:r>
      <w:r w:rsidRPr="00C9700E">
        <w:rPr>
          <w:rFonts w:cstheme="minorHAnsi"/>
          <w:shd w:val="clear" w:color="auto" w:fill="FFFFFF"/>
          <w:lang w:val="en-US"/>
        </w:rPr>
        <w:t xml:space="preserve"> 2015-2020”, Washington, D.C. : World Bank Group</w:t>
      </w:r>
    </w:p>
    <w:p w14:paraId="7190EE0E" w14:textId="77777777" w:rsidR="007F468B" w:rsidRPr="00774638" w:rsidRDefault="007F468B" w:rsidP="00774638">
      <w:pPr>
        <w:pStyle w:val="ListParagraph"/>
        <w:rPr>
          <w:rFonts w:cstheme="minorHAnsi"/>
          <w:lang w:val="en-US"/>
        </w:rPr>
      </w:pPr>
    </w:p>
    <w:p w14:paraId="4C8DB751" w14:textId="1EBFD5CC" w:rsidR="007F468B" w:rsidRPr="00C9700E" w:rsidRDefault="007F468B" w:rsidP="00B4481B">
      <w:pPr>
        <w:pStyle w:val="ListParagraph"/>
        <w:numPr>
          <w:ilvl w:val="0"/>
          <w:numId w:val="2"/>
        </w:numPr>
        <w:jc w:val="both"/>
        <w:rPr>
          <w:rFonts w:cstheme="minorHAnsi"/>
          <w:lang w:val="en-US"/>
        </w:rPr>
      </w:pPr>
      <w:r w:rsidRPr="00242B25">
        <w:rPr>
          <w:lang w:val="en-US"/>
        </w:rPr>
        <w:t xml:space="preserve">UNCTAD. (2011). Impact of Remittances on Poverty in Developing Countries. </w:t>
      </w:r>
      <w:r>
        <w:t>United Nations Conference on Trade and Development, Geneva</w:t>
      </w:r>
    </w:p>
    <w:p w14:paraId="0F0295F0" w14:textId="77777777" w:rsidR="00B4481B" w:rsidRPr="00C9700E" w:rsidRDefault="00B4481B" w:rsidP="00B4481B">
      <w:pPr>
        <w:pStyle w:val="ListParagraph"/>
        <w:rPr>
          <w:rFonts w:cstheme="minorHAnsi"/>
          <w:shd w:val="clear" w:color="auto" w:fill="FFFFFF"/>
          <w:lang w:val="en-US"/>
        </w:rPr>
      </w:pPr>
    </w:p>
    <w:p w14:paraId="713EC6F1" w14:textId="77777777" w:rsidR="00B4481B" w:rsidRPr="00C9700E" w:rsidRDefault="00B4481B" w:rsidP="00B4481B">
      <w:pPr>
        <w:pStyle w:val="ListParagraph"/>
        <w:numPr>
          <w:ilvl w:val="0"/>
          <w:numId w:val="2"/>
        </w:numPr>
        <w:jc w:val="both"/>
        <w:rPr>
          <w:rFonts w:cstheme="minorHAnsi"/>
          <w:lang w:val="en-US"/>
        </w:rPr>
      </w:pPr>
      <w:r w:rsidRPr="00C9700E">
        <w:rPr>
          <w:rFonts w:cstheme="minorHAnsi"/>
          <w:shd w:val="clear" w:color="auto" w:fill="FFFFFF"/>
          <w:lang w:val="en-US"/>
        </w:rPr>
        <w:t>UNICEF (2008), “</w:t>
      </w:r>
      <w:r w:rsidR="00731FD8" w:rsidRPr="00C9700E">
        <w:rPr>
          <w:rFonts w:cstheme="minorHAnsi"/>
          <w:shd w:val="clear" w:color="auto" w:fill="FFFFFF"/>
          <w:lang w:val="en-US"/>
        </w:rPr>
        <w:t xml:space="preserve">National analysis of the phenomenon of children left home by their parents who </w:t>
      </w:r>
      <w:r w:rsidR="00D22F89" w:rsidRPr="00C9700E">
        <w:rPr>
          <w:rFonts w:cstheme="minorHAnsi"/>
          <w:shd w:val="clear" w:color="auto" w:fill="FFFFFF"/>
          <w:lang w:val="en-US"/>
        </w:rPr>
        <w:t>migrate abroad for employment”, Report</w:t>
      </w:r>
    </w:p>
    <w:p w14:paraId="1062F295" w14:textId="77777777" w:rsidR="00B4481B" w:rsidRPr="00C9700E" w:rsidRDefault="00B4481B" w:rsidP="00B4481B">
      <w:pPr>
        <w:pStyle w:val="ListParagraph"/>
        <w:rPr>
          <w:rFonts w:cstheme="minorHAnsi"/>
          <w:shd w:val="clear" w:color="auto" w:fill="FFFFFF"/>
          <w:lang w:val="en-US"/>
        </w:rPr>
      </w:pPr>
    </w:p>
    <w:p w14:paraId="3F00E850" w14:textId="7BFB1025" w:rsidR="00B4481B" w:rsidRPr="00C9700E" w:rsidRDefault="00DA3559" w:rsidP="00B4481B">
      <w:pPr>
        <w:pStyle w:val="ListParagraph"/>
        <w:numPr>
          <w:ilvl w:val="0"/>
          <w:numId w:val="2"/>
        </w:numPr>
        <w:jc w:val="both"/>
        <w:rPr>
          <w:rFonts w:cstheme="minorHAnsi"/>
          <w:lang w:val="en-US"/>
        </w:rPr>
      </w:pPr>
      <w:r>
        <w:rPr>
          <w:rFonts w:cstheme="minorHAnsi"/>
          <w:shd w:val="clear" w:color="auto" w:fill="FFFFFF"/>
          <w:lang w:val="en-US"/>
        </w:rPr>
        <w:t>United Nations (2017</w:t>
      </w:r>
      <w:r w:rsidR="009669D6" w:rsidRPr="00C9700E">
        <w:rPr>
          <w:rFonts w:cstheme="minorHAnsi"/>
          <w:shd w:val="clear" w:color="auto" w:fill="FFFFFF"/>
          <w:lang w:val="en-US"/>
        </w:rPr>
        <w:t>)</w:t>
      </w:r>
      <w:r w:rsidR="00EA4A94" w:rsidRPr="00C9700E">
        <w:rPr>
          <w:rFonts w:cstheme="minorHAnsi"/>
          <w:shd w:val="clear" w:color="auto" w:fill="FFFFFF"/>
          <w:lang w:val="en-US"/>
        </w:rPr>
        <w:t>, “Inter</w:t>
      </w:r>
      <w:r>
        <w:rPr>
          <w:rFonts w:cstheme="minorHAnsi"/>
          <w:shd w:val="clear" w:color="auto" w:fill="FFFFFF"/>
          <w:lang w:val="en-US"/>
        </w:rPr>
        <w:t>national Migration Report 2017</w:t>
      </w:r>
      <w:r w:rsidR="00D22F89" w:rsidRPr="00C9700E">
        <w:rPr>
          <w:rFonts w:cstheme="minorHAnsi"/>
          <w:shd w:val="clear" w:color="auto" w:fill="FFFFFF"/>
          <w:lang w:val="en-US"/>
        </w:rPr>
        <w:t>”, Report</w:t>
      </w:r>
    </w:p>
    <w:p w14:paraId="20DD2905" w14:textId="77777777" w:rsidR="00B4481B" w:rsidRPr="00C9700E" w:rsidRDefault="00B4481B" w:rsidP="00B4481B">
      <w:pPr>
        <w:pStyle w:val="ListParagraph"/>
        <w:rPr>
          <w:rFonts w:cstheme="minorHAnsi"/>
          <w:shd w:val="clear" w:color="auto" w:fill="FFFFFF"/>
          <w:lang w:val="en-US"/>
        </w:rPr>
      </w:pPr>
    </w:p>
    <w:p w14:paraId="5F7B6421" w14:textId="77777777" w:rsidR="00B4481B" w:rsidRPr="00C9700E" w:rsidRDefault="00E42B74" w:rsidP="00B4481B">
      <w:pPr>
        <w:pStyle w:val="ListParagraph"/>
        <w:numPr>
          <w:ilvl w:val="0"/>
          <w:numId w:val="2"/>
        </w:numPr>
        <w:jc w:val="both"/>
        <w:rPr>
          <w:rFonts w:cstheme="minorHAnsi"/>
          <w:lang w:val="en-US"/>
        </w:rPr>
      </w:pPr>
      <w:r w:rsidRPr="00C9700E">
        <w:rPr>
          <w:rFonts w:cstheme="minorHAnsi"/>
          <w:shd w:val="clear" w:color="auto" w:fill="FFFFFF"/>
          <w:lang w:val="en-US"/>
        </w:rPr>
        <w:t xml:space="preserve">Vasile, V. (2013), “Labour mobility impact on sending countries. Romania EU workers case study”, </w:t>
      </w:r>
      <w:r w:rsidRPr="00C9700E">
        <w:rPr>
          <w:rFonts w:cstheme="minorHAnsi"/>
          <w:lang w:val="en-US"/>
        </w:rPr>
        <w:t>Procedia Economics and Finance 8, 737 – 746</w:t>
      </w:r>
    </w:p>
    <w:p w14:paraId="1BBD327D" w14:textId="77777777" w:rsidR="00B4481B" w:rsidRPr="00C9700E" w:rsidRDefault="00B4481B" w:rsidP="00B4481B">
      <w:pPr>
        <w:pStyle w:val="ListParagraph"/>
        <w:rPr>
          <w:rFonts w:cstheme="minorHAnsi"/>
          <w:lang w:val="en-US"/>
        </w:rPr>
      </w:pPr>
    </w:p>
    <w:p w14:paraId="4446997C" w14:textId="507570C5" w:rsidR="00B4481B" w:rsidRDefault="009669D6" w:rsidP="00B4481B">
      <w:pPr>
        <w:pStyle w:val="ListParagraph"/>
        <w:numPr>
          <w:ilvl w:val="0"/>
          <w:numId w:val="2"/>
        </w:numPr>
        <w:jc w:val="both"/>
        <w:rPr>
          <w:rFonts w:cstheme="minorHAnsi"/>
          <w:lang w:val="en-US"/>
        </w:rPr>
      </w:pPr>
      <w:r w:rsidRPr="00C9700E">
        <w:rPr>
          <w:rFonts w:cstheme="minorHAnsi"/>
          <w:lang w:val="en-US"/>
        </w:rPr>
        <w:t>Venturini</w:t>
      </w:r>
      <w:r w:rsidR="00EB011F" w:rsidRPr="00C9700E">
        <w:rPr>
          <w:rFonts w:cstheme="minorHAnsi"/>
          <w:lang w:val="en-US"/>
        </w:rPr>
        <w:t>,</w:t>
      </w:r>
      <w:r w:rsidRPr="00C9700E">
        <w:rPr>
          <w:rFonts w:cstheme="minorHAnsi"/>
          <w:lang w:val="en-US"/>
        </w:rPr>
        <w:t xml:space="preserve"> A</w:t>
      </w:r>
      <w:r w:rsidR="00EB011F" w:rsidRPr="00C9700E">
        <w:rPr>
          <w:rFonts w:cstheme="minorHAnsi"/>
          <w:lang w:val="en-US"/>
        </w:rPr>
        <w:t>. (</w:t>
      </w:r>
      <w:r w:rsidRPr="00C9700E">
        <w:rPr>
          <w:rFonts w:cstheme="minorHAnsi"/>
          <w:lang w:val="en-US"/>
        </w:rPr>
        <w:t>2004), Postwar Migration in Southern Europe 1950-2000, Cambridge University Press.</w:t>
      </w:r>
    </w:p>
    <w:p w14:paraId="757AEC04" w14:textId="77777777" w:rsidR="00830F73" w:rsidRPr="00A32ED9" w:rsidRDefault="00830F73" w:rsidP="00774638">
      <w:pPr>
        <w:pStyle w:val="ListParagraph"/>
        <w:rPr>
          <w:rFonts w:cstheme="minorHAnsi"/>
          <w:lang w:val="en-US"/>
        </w:rPr>
      </w:pPr>
    </w:p>
    <w:p w14:paraId="447420DD" w14:textId="0E487CDF" w:rsidR="00830F73" w:rsidRPr="00774638" w:rsidRDefault="00830F73">
      <w:pPr>
        <w:pStyle w:val="ListParagraph"/>
        <w:numPr>
          <w:ilvl w:val="0"/>
          <w:numId w:val="2"/>
        </w:numPr>
        <w:jc w:val="both"/>
      </w:pPr>
      <w:bookmarkStart w:id="45" w:name="_Hlk508800949"/>
      <w:r w:rsidRPr="00A66BBA">
        <w:t>Zamfir, Ana Maria, Mocanu</w:t>
      </w:r>
      <w:r w:rsidRPr="004D1D32">
        <w:t xml:space="preserve"> </w:t>
      </w:r>
      <w:r w:rsidRPr="00A66BBA">
        <w:t>Cristina</w:t>
      </w:r>
      <w:r>
        <w:t>, Militaru Eva</w:t>
      </w:r>
      <w:r w:rsidRPr="00A66BBA">
        <w:t xml:space="preserve"> and </w:t>
      </w:r>
      <w:r>
        <w:t xml:space="preserve">Speranta Parciog. </w:t>
      </w:r>
      <w:r w:rsidRPr="00242B25">
        <w:rPr>
          <w:lang w:val="en-US"/>
        </w:rPr>
        <w:t xml:space="preserve">2010. “Impact of Remittances on Income Inequalities in Romania”, In </w:t>
      </w:r>
      <w:r w:rsidRPr="00242B25">
        <w:rPr>
          <w:i/>
          <w:lang w:val="en-US"/>
        </w:rPr>
        <w:t>Globalization and Transformation of Social Inequality</w:t>
      </w:r>
      <w:r w:rsidRPr="00242B25">
        <w:rPr>
          <w:lang w:val="en-US"/>
        </w:rPr>
        <w:t xml:space="preserve">, edited by U. Schuerkens, 58-75. </w:t>
      </w:r>
      <w:r>
        <w:t>Oxford:</w:t>
      </w:r>
      <w:r w:rsidRPr="00A66BBA">
        <w:t>Taylor &amp; Francis Publishing House</w:t>
      </w:r>
      <w:bookmarkEnd w:id="45"/>
    </w:p>
    <w:p w14:paraId="637B0D1A" w14:textId="77777777" w:rsidR="00B4481B" w:rsidRPr="00C9700E" w:rsidRDefault="00B4481B" w:rsidP="00B4481B">
      <w:pPr>
        <w:pStyle w:val="ListParagraph"/>
        <w:rPr>
          <w:rFonts w:cstheme="minorHAnsi"/>
          <w:lang w:val="en-US"/>
        </w:rPr>
      </w:pPr>
    </w:p>
    <w:p w14:paraId="02B27D3C" w14:textId="77777777" w:rsidR="00B4481B" w:rsidRPr="00C9700E" w:rsidRDefault="009669D6" w:rsidP="00B4481B">
      <w:pPr>
        <w:pStyle w:val="ListParagraph"/>
        <w:numPr>
          <w:ilvl w:val="0"/>
          <w:numId w:val="2"/>
        </w:numPr>
        <w:jc w:val="both"/>
        <w:rPr>
          <w:rFonts w:cstheme="minorHAnsi"/>
          <w:lang w:val="en-US"/>
        </w:rPr>
      </w:pPr>
      <w:r w:rsidRPr="00C9700E">
        <w:rPr>
          <w:rFonts w:cstheme="minorHAnsi"/>
          <w:lang w:val="en-US"/>
        </w:rPr>
        <w:t>Zimmermann K. (2014), “Circular Migration”, IZA World of Labor (1) doi: 10.15185/izawol.1</w:t>
      </w:r>
    </w:p>
    <w:p w14:paraId="147B11A9" w14:textId="77777777" w:rsidR="00B4481B" w:rsidRPr="00C9700E" w:rsidRDefault="00B4481B" w:rsidP="00B4481B">
      <w:pPr>
        <w:pStyle w:val="ListParagraph"/>
        <w:rPr>
          <w:lang w:val="en-US"/>
        </w:rPr>
      </w:pPr>
    </w:p>
    <w:p w14:paraId="50612FFA" w14:textId="77777777" w:rsidR="00EA4A94" w:rsidRPr="00C9700E" w:rsidRDefault="00EA4A94" w:rsidP="00B4481B">
      <w:pPr>
        <w:pStyle w:val="ListParagraph"/>
        <w:numPr>
          <w:ilvl w:val="0"/>
          <w:numId w:val="2"/>
        </w:numPr>
        <w:jc w:val="both"/>
        <w:rPr>
          <w:rFonts w:cstheme="minorHAnsi"/>
          <w:lang w:val="en-US"/>
        </w:rPr>
      </w:pPr>
      <w:r w:rsidRPr="00C9700E">
        <w:rPr>
          <w:lang w:val="en-US"/>
        </w:rPr>
        <w:t>Zimmermann, K.F., (1995), “Tackling the European Migration Problem”, Journal of Economic Perspectives</w:t>
      </w:r>
    </w:p>
    <w:p w14:paraId="3B7A6169" w14:textId="77777777" w:rsidR="00D278BE" w:rsidRPr="00C9700E" w:rsidRDefault="00D278BE" w:rsidP="00D278BE">
      <w:pPr>
        <w:pStyle w:val="ListParagraph"/>
        <w:rPr>
          <w:rFonts w:cstheme="minorHAnsi"/>
          <w:lang w:val="en-US"/>
        </w:rPr>
      </w:pPr>
    </w:p>
    <w:p w14:paraId="60F7DFF2" w14:textId="77777777" w:rsidR="009669D6" w:rsidRPr="009931D4" w:rsidRDefault="00AE2A7A" w:rsidP="003D65E1">
      <w:pPr>
        <w:pStyle w:val="ListParagraph"/>
        <w:numPr>
          <w:ilvl w:val="0"/>
          <w:numId w:val="2"/>
        </w:numPr>
        <w:jc w:val="both"/>
        <w:rPr>
          <w:rFonts w:cstheme="minorHAnsi"/>
          <w:lang w:val="en-US"/>
        </w:rPr>
      </w:pPr>
      <w:hyperlink r:id="rId32" w:history="1">
        <w:r w:rsidR="00D278BE" w:rsidRPr="009931D4">
          <w:rPr>
            <w:rStyle w:val="Hyperlink"/>
            <w:rFonts w:cstheme="minorHAnsi"/>
            <w:color w:val="000000" w:themeColor="text1"/>
            <w:u w:val="none"/>
            <w:lang w:val="en-US"/>
          </w:rPr>
          <w:t>http://www.un.org/en/development/desa/population/migration/data/estimates2/estimates15.shtml</w:t>
        </w:r>
      </w:hyperlink>
      <w:r w:rsidR="00D278BE" w:rsidRPr="009931D4">
        <w:rPr>
          <w:rFonts w:cstheme="minorHAnsi"/>
          <w:color w:val="000000" w:themeColor="text1"/>
          <w:lang w:val="en-US"/>
        </w:rPr>
        <w:t xml:space="preserve"> [Accessed on October 10th, 2017]</w:t>
      </w:r>
      <w:bookmarkEnd w:id="4"/>
    </w:p>
    <w:sectPr w:rsidR="009669D6" w:rsidRPr="009931D4" w:rsidSect="0014036C">
      <w:footerReference w:type="default" r:id="rId33"/>
      <w:pgSz w:w="12240" w:h="15840" w:code="1"/>
      <w:pgMar w:top="1411" w:right="1094"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A54B" w14:textId="77777777" w:rsidR="00923EB3" w:rsidRDefault="00923EB3" w:rsidP="006676BD">
      <w:pPr>
        <w:spacing w:after="0" w:line="240" w:lineRule="auto"/>
      </w:pPr>
      <w:r>
        <w:separator/>
      </w:r>
    </w:p>
  </w:endnote>
  <w:endnote w:type="continuationSeparator" w:id="0">
    <w:p w14:paraId="18FF7364" w14:textId="77777777" w:rsidR="00923EB3" w:rsidRDefault="00923EB3" w:rsidP="0066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D7A7" w14:textId="77777777" w:rsidR="006F0B13" w:rsidRDefault="006F0B13">
    <w:pPr>
      <w:pStyle w:val="Footer"/>
      <w:jc w:val="center"/>
    </w:pPr>
  </w:p>
  <w:p w14:paraId="3C90F6A3" w14:textId="77777777" w:rsidR="006F0B13" w:rsidRDefault="006F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331255"/>
      <w:docPartObj>
        <w:docPartGallery w:val="Page Numbers (Bottom of Page)"/>
        <w:docPartUnique/>
      </w:docPartObj>
    </w:sdtPr>
    <w:sdtEndPr>
      <w:rPr>
        <w:noProof/>
      </w:rPr>
    </w:sdtEndPr>
    <w:sdtContent>
      <w:p w14:paraId="100FA51D" w14:textId="27CBA116" w:rsidR="006F0B13" w:rsidRDefault="006F0B13">
        <w:pPr>
          <w:pStyle w:val="Footer"/>
          <w:jc w:val="right"/>
        </w:pPr>
        <w:r>
          <w:fldChar w:fldCharType="begin"/>
        </w:r>
        <w:r>
          <w:instrText xml:space="preserve"> PAGE   \* MERGEFORMAT </w:instrText>
        </w:r>
        <w:r>
          <w:fldChar w:fldCharType="separate"/>
        </w:r>
        <w:r w:rsidR="00AE2A7A">
          <w:rPr>
            <w:noProof/>
          </w:rPr>
          <w:t>21</w:t>
        </w:r>
        <w:r>
          <w:rPr>
            <w:noProof/>
          </w:rPr>
          <w:fldChar w:fldCharType="end"/>
        </w:r>
      </w:p>
    </w:sdtContent>
  </w:sdt>
  <w:p w14:paraId="433DF3DF" w14:textId="77777777" w:rsidR="006F0B13" w:rsidRDefault="006F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F920" w14:textId="77777777" w:rsidR="00923EB3" w:rsidRDefault="00923EB3" w:rsidP="006676BD">
      <w:pPr>
        <w:spacing w:after="0" w:line="240" w:lineRule="auto"/>
      </w:pPr>
      <w:r>
        <w:separator/>
      </w:r>
    </w:p>
  </w:footnote>
  <w:footnote w:type="continuationSeparator" w:id="0">
    <w:p w14:paraId="5F59BA95" w14:textId="77777777" w:rsidR="00923EB3" w:rsidRDefault="00923EB3" w:rsidP="006676BD">
      <w:pPr>
        <w:spacing w:after="0" w:line="240" w:lineRule="auto"/>
      </w:pPr>
      <w:r>
        <w:continuationSeparator/>
      </w:r>
    </w:p>
  </w:footnote>
  <w:footnote w:id="1">
    <w:p w14:paraId="6F10C857" w14:textId="3F8192FE" w:rsidR="006F0B13" w:rsidRPr="00E61311" w:rsidRDefault="006F0B13" w:rsidP="00E61311">
      <w:pPr>
        <w:pStyle w:val="FootnoteText"/>
        <w:jc w:val="both"/>
        <w:rPr>
          <w:color w:val="000000" w:themeColor="text1"/>
          <w:lang w:val="en-US"/>
        </w:rPr>
      </w:pPr>
      <w:r>
        <w:rPr>
          <w:rStyle w:val="FootnoteReference"/>
        </w:rPr>
        <w:footnoteRef/>
      </w:r>
      <w:r w:rsidRPr="00242B25">
        <w:rPr>
          <w:lang w:val="en-US"/>
        </w:rPr>
        <w:t xml:space="preserve"> </w:t>
      </w:r>
      <w:r w:rsidRPr="00242B25">
        <w:rPr>
          <w:color w:val="000000" w:themeColor="text1"/>
          <w:lang w:val="en-US"/>
        </w:rPr>
        <w:t>United Nations Population Division (UN 2017) estimated the total number of Romanian emigrants to 3.58 million as of 2017.</w:t>
      </w:r>
    </w:p>
  </w:footnote>
  <w:footnote w:id="2">
    <w:p w14:paraId="77E31FC9" w14:textId="77777777" w:rsidR="006F0B13" w:rsidRPr="00242B25" w:rsidRDefault="006F0B13" w:rsidP="00E61311">
      <w:pPr>
        <w:pStyle w:val="FootnoteText"/>
        <w:jc w:val="both"/>
        <w:rPr>
          <w:color w:val="000000" w:themeColor="text1"/>
          <w:lang w:val="en-US"/>
        </w:rPr>
      </w:pPr>
      <w:r w:rsidRPr="00E61311">
        <w:rPr>
          <w:rStyle w:val="FootnoteReference"/>
          <w:color w:val="000000" w:themeColor="text1"/>
        </w:rPr>
        <w:footnoteRef/>
      </w:r>
      <w:r w:rsidRPr="00242B25">
        <w:rPr>
          <w:color w:val="000000" w:themeColor="text1"/>
          <w:lang w:val="en-US"/>
        </w:rPr>
        <w:t xml:space="preserve"> The emigration rate of a given origin country i in a given year is defined as the share of the native population of</w:t>
      </w:r>
    </w:p>
    <w:p w14:paraId="5F475808" w14:textId="77777777" w:rsidR="006F0B13" w:rsidRPr="00242B25" w:rsidRDefault="006F0B13" w:rsidP="00E61311">
      <w:pPr>
        <w:pStyle w:val="FootnoteText"/>
        <w:jc w:val="both"/>
        <w:rPr>
          <w:color w:val="000000" w:themeColor="text1"/>
          <w:lang w:val="en-US"/>
        </w:rPr>
      </w:pPr>
      <w:r w:rsidRPr="00242B25">
        <w:rPr>
          <w:color w:val="000000" w:themeColor="text1"/>
          <w:lang w:val="en-US"/>
        </w:rPr>
        <w:t>country i residing abroad at this time: mi = Mi/(Mi+Ni), where Mi is the emigrant population from country i</w:t>
      </w:r>
    </w:p>
    <w:p w14:paraId="18F63B03" w14:textId="4F09080B" w:rsidR="006F0B13" w:rsidRPr="00E61311" w:rsidRDefault="006F0B13" w:rsidP="00E61311">
      <w:pPr>
        <w:pStyle w:val="FootnoteText"/>
        <w:jc w:val="both"/>
        <w:rPr>
          <w:color w:val="000000" w:themeColor="text1"/>
          <w:lang w:val="en-US"/>
        </w:rPr>
      </w:pPr>
      <w:r w:rsidRPr="00242B25">
        <w:rPr>
          <w:color w:val="000000" w:themeColor="text1"/>
          <w:lang w:val="en-US"/>
        </w:rPr>
        <w:t>living abroad, and Ni is the native non-migrant population of country i , https://www.oecd.org/migration/46561284.pdf</w:t>
      </w:r>
    </w:p>
  </w:footnote>
  <w:footnote w:id="3">
    <w:p w14:paraId="5F62EB72" w14:textId="325A21D9" w:rsidR="006F0B13" w:rsidRPr="00E61311" w:rsidRDefault="006F0B13" w:rsidP="00E61311">
      <w:pPr>
        <w:pStyle w:val="FootnoteText"/>
        <w:jc w:val="both"/>
        <w:rPr>
          <w:rFonts w:cstheme="minorHAnsi"/>
          <w:color w:val="000000" w:themeColor="text1"/>
          <w:lang w:val="en-US"/>
        </w:rPr>
      </w:pPr>
      <w:r w:rsidRPr="00E61311">
        <w:rPr>
          <w:rStyle w:val="FootnoteReference"/>
          <w:rFonts w:cstheme="minorHAnsi"/>
          <w:color w:val="000000" w:themeColor="text1"/>
        </w:rPr>
        <w:footnoteRef/>
      </w:r>
      <w:r w:rsidRPr="00242B25">
        <w:rPr>
          <w:rFonts w:cstheme="minorHAnsi"/>
          <w:color w:val="000000" w:themeColor="text1"/>
          <w:lang w:val="en-US"/>
        </w:rPr>
        <w:t xml:space="preserve"> </w:t>
      </w:r>
      <w:r w:rsidRPr="00E61311">
        <w:rPr>
          <w:rFonts w:cstheme="minorHAnsi"/>
          <w:color w:val="000000" w:themeColor="text1"/>
          <w:lang w:val="en-US"/>
        </w:rPr>
        <w:t>According to Eurostat and United Nations data as of 2017.</w:t>
      </w:r>
    </w:p>
  </w:footnote>
  <w:footnote w:id="4">
    <w:p w14:paraId="38694942" w14:textId="0A24802C" w:rsidR="006F0B13" w:rsidRPr="00E61311" w:rsidRDefault="006F0B13" w:rsidP="00E61311">
      <w:pPr>
        <w:pStyle w:val="FootnoteText"/>
        <w:jc w:val="both"/>
        <w:rPr>
          <w:color w:val="000000" w:themeColor="text1"/>
          <w:lang w:val="en-US"/>
        </w:rPr>
      </w:pPr>
      <w:r w:rsidRPr="00E61311">
        <w:rPr>
          <w:rStyle w:val="FootnoteReference"/>
          <w:color w:val="000000" w:themeColor="text1"/>
        </w:rPr>
        <w:footnoteRef/>
      </w:r>
      <w:r w:rsidRPr="00242B25">
        <w:rPr>
          <w:color w:val="000000" w:themeColor="text1"/>
          <w:lang w:val="en-US"/>
        </w:rPr>
        <w:t xml:space="preserve"> </w:t>
      </w:r>
      <w:r w:rsidRPr="00E61311">
        <w:rPr>
          <w:rFonts w:cstheme="minorHAnsi"/>
          <w:color w:val="000000" w:themeColor="text1"/>
          <w:lang w:val="en-US"/>
        </w:rPr>
        <w:t>Regional comparators Bulgaria, Croatia, Czech Republic, Hungary, Poland, Slovakia, Slovenia.</w:t>
      </w:r>
    </w:p>
  </w:footnote>
  <w:footnote w:id="5">
    <w:p w14:paraId="5DF800B6" w14:textId="6C021D9D" w:rsidR="006F0B13" w:rsidRPr="00E61311" w:rsidRDefault="006F0B13" w:rsidP="00E61311">
      <w:pPr>
        <w:pStyle w:val="FootnoteText"/>
        <w:jc w:val="both"/>
        <w:rPr>
          <w:color w:val="000000" w:themeColor="text1"/>
          <w:lang w:val="en-US"/>
        </w:rPr>
      </w:pPr>
      <w:r w:rsidRPr="00E61311">
        <w:rPr>
          <w:rStyle w:val="FootnoteReference"/>
          <w:color w:val="000000" w:themeColor="text1"/>
        </w:rPr>
        <w:footnoteRef/>
      </w:r>
      <w:r w:rsidRPr="00242B25">
        <w:rPr>
          <w:color w:val="000000" w:themeColor="text1"/>
          <w:lang w:val="en-US"/>
        </w:rPr>
        <w:t xml:space="preserve"> High-skilled emigrants</w:t>
      </w:r>
      <w:r w:rsidRPr="00242B25">
        <w:rPr>
          <w:rFonts w:cstheme="minorHAnsi"/>
          <w:color w:val="000000" w:themeColor="text1"/>
          <w:lang w:val="en-US"/>
        </w:rPr>
        <w:t>—</w:t>
      </w:r>
      <w:r w:rsidRPr="00242B25">
        <w:rPr>
          <w:color w:val="000000" w:themeColor="text1"/>
          <w:lang w:val="en-US"/>
        </w:rPr>
        <w:t>emigrants with tertiary education attainment, Medium-skilled emigrants</w:t>
      </w:r>
      <w:r w:rsidRPr="00242B25">
        <w:rPr>
          <w:rFonts w:cstheme="minorHAnsi"/>
          <w:color w:val="000000" w:themeColor="text1"/>
          <w:lang w:val="en-US"/>
        </w:rPr>
        <w:t>—</w:t>
      </w:r>
      <w:r w:rsidRPr="00242B25">
        <w:rPr>
          <w:color w:val="000000" w:themeColor="text1"/>
          <w:lang w:val="en-US"/>
        </w:rPr>
        <w:t>emigrants with upper secondary and post-secondary non-tertiary education attainment, Low-skilled emigrants</w:t>
      </w:r>
      <w:r w:rsidRPr="00242B25">
        <w:rPr>
          <w:rFonts w:cstheme="minorHAnsi"/>
          <w:color w:val="000000" w:themeColor="text1"/>
          <w:lang w:val="en-US"/>
        </w:rPr>
        <w:t>—</w:t>
      </w:r>
      <w:r w:rsidRPr="00242B25">
        <w:rPr>
          <w:color w:val="000000" w:themeColor="text1"/>
          <w:lang w:val="en-US"/>
        </w:rPr>
        <w:t xml:space="preserve">emigrants with less than primary, primary and lower secondary education attainment, see also OECD (2013) and </w:t>
      </w:r>
      <w:hyperlink r:id="rId1" w:history="1">
        <w:r w:rsidRPr="00242B25">
          <w:rPr>
            <w:rStyle w:val="Hyperlink"/>
            <w:color w:val="000000" w:themeColor="text1"/>
            <w:u w:val="none"/>
            <w:lang w:val="en-US"/>
          </w:rPr>
          <w:t>http://www.oecd.org/els</w:t>
        </w:r>
      </w:hyperlink>
      <w:r w:rsidRPr="00242B25">
        <w:rPr>
          <w:color w:val="000000" w:themeColor="text1"/>
          <w:lang w:val="en-US"/>
        </w:rPr>
        <w:t xml:space="preserve"> /mig/ methodology-DIOC-2010-11.pdf</w:t>
      </w:r>
    </w:p>
  </w:footnote>
  <w:footnote w:id="6">
    <w:p w14:paraId="68238CA0" w14:textId="21FA3B4F" w:rsidR="006F0B13" w:rsidRPr="005E31DF" w:rsidRDefault="006F0B13" w:rsidP="00E61311">
      <w:pPr>
        <w:pStyle w:val="FootnoteText"/>
        <w:jc w:val="both"/>
        <w:rPr>
          <w:rFonts w:cstheme="minorHAnsi"/>
          <w:lang w:val="en-US"/>
        </w:rPr>
      </w:pPr>
      <w:r w:rsidRPr="00D62F0D">
        <w:rPr>
          <w:rStyle w:val="FootnoteReference"/>
          <w:rFonts w:cstheme="minorHAnsi"/>
        </w:rPr>
        <w:footnoteRef/>
      </w:r>
      <w:r w:rsidRPr="00242B25">
        <w:rPr>
          <w:rFonts w:cstheme="minorHAnsi"/>
          <w:lang w:val="en-US"/>
        </w:rPr>
        <w:t xml:space="preserve"> </w:t>
      </w:r>
      <w:r w:rsidRPr="00D62F0D">
        <w:rPr>
          <w:rFonts w:cstheme="minorHAnsi"/>
          <w:lang w:val="en-US"/>
        </w:rPr>
        <w:t>According to Eurostat data for 2017 in the case of EU destination countries, and the latest OECD data, 2011, for</w:t>
      </w:r>
      <w:r>
        <w:rPr>
          <w:rFonts w:cstheme="minorHAnsi"/>
          <w:lang w:val="en-US"/>
        </w:rPr>
        <w:t xml:space="preserve"> </w:t>
      </w:r>
      <w:r w:rsidRPr="00D62F0D">
        <w:rPr>
          <w:rFonts w:cstheme="minorHAnsi"/>
          <w:lang w:val="en-US"/>
        </w:rPr>
        <w:t xml:space="preserve">non-EU destination countries. Migration to EU accounts for around </w:t>
      </w:r>
      <w:r>
        <w:rPr>
          <w:rFonts w:cstheme="minorHAnsi"/>
          <w:lang w:val="en-US"/>
        </w:rPr>
        <w:t>88</w:t>
      </w:r>
      <w:r w:rsidRPr="00D62F0D">
        <w:rPr>
          <w:rFonts w:cstheme="minorHAnsi"/>
          <w:lang w:val="en-US"/>
        </w:rPr>
        <w:t xml:space="preserve"> percent of the Romanian emigration stock.  </w:t>
      </w:r>
    </w:p>
  </w:footnote>
  <w:footnote w:id="7">
    <w:p w14:paraId="0D873485" w14:textId="10CE0816" w:rsidR="006F0B13" w:rsidRPr="00774638" w:rsidRDefault="006F0B13" w:rsidP="00E61311">
      <w:pPr>
        <w:pStyle w:val="FootnoteText"/>
        <w:jc w:val="both"/>
        <w:rPr>
          <w:lang w:val="en-US"/>
        </w:rPr>
      </w:pPr>
      <w:r>
        <w:rPr>
          <w:rStyle w:val="FootnoteReference"/>
        </w:rPr>
        <w:footnoteRef/>
      </w:r>
      <w:r w:rsidRPr="00242B25">
        <w:rPr>
          <w:lang w:val="en-US"/>
        </w:rPr>
        <w:t xml:space="preserve"> </w:t>
      </w:r>
      <w:r>
        <w:rPr>
          <w:lang w:val="en-US"/>
        </w:rPr>
        <w:t xml:space="preserve">Poverty headcount represents </w:t>
      </w:r>
      <w:r w:rsidRPr="002D0F3A">
        <w:rPr>
          <w:lang w:val="en-US"/>
        </w:rPr>
        <w:t>the proportion of a population that exists, or lives, below the poverty line</w:t>
      </w:r>
      <w:r>
        <w:rPr>
          <w:lang w:val="en-US"/>
        </w:rPr>
        <w:t>.</w:t>
      </w:r>
    </w:p>
  </w:footnote>
  <w:footnote w:id="8">
    <w:p w14:paraId="2F284BEC" w14:textId="26A77E38" w:rsidR="006F0B13" w:rsidRPr="00067534" w:rsidRDefault="006F0B13" w:rsidP="00F14388">
      <w:pPr>
        <w:pStyle w:val="FootnoteText"/>
        <w:jc w:val="both"/>
        <w:rPr>
          <w:lang w:val="en-US"/>
        </w:rPr>
      </w:pPr>
      <w:r>
        <w:rPr>
          <w:rStyle w:val="FootnoteReference"/>
        </w:rPr>
        <w:footnoteRef/>
      </w:r>
      <w:r w:rsidRPr="00242B25">
        <w:rPr>
          <w:lang w:val="en-US"/>
        </w:rPr>
        <w:t xml:space="preserve"> </w:t>
      </w:r>
      <w:r w:rsidRPr="00067534">
        <w:rPr>
          <w:lang w:val="en-US"/>
        </w:rPr>
        <w:t>United Nations Population Division estimate</w:t>
      </w:r>
      <w:r>
        <w:rPr>
          <w:lang w:val="en-US"/>
        </w:rPr>
        <w:t>d</w:t>
      </w:r>
      <w:r w:rsidRPr="00067534">
        <w:rPr>
          <w:lang w:val="en-US"/>
        </w:rPr>
        <w:t xml:space="preserve"> th</w:t>
      </w:r>
      <w:r>
        <w:rPr>
          <w:lang w:val="en-US"/>
        </w:rPr>
        <w:t xml:space="preserve">e total number of emigrants to </w:t>
      </w:r>
      <w:r w:rsidRPr="00067534">
        <w:rPr>
          <w:lang w:val="en-US"/>
        </w:rPr>
        <w:t>3.</w:t>
      </w:r>
      <w:r>
        <w:rPr>
          <w:lang w:val="en-US"/>
        </w:rPr>
        <w:t>58</w:t>
      </w:r>
      <w:r w:rsidRPr="00067534">
        <w:rPr>
          <w:lang w:val="en-US"/>
        </w:rPr>
        <w:t xml:space="preserve"> million</w:t>
      </w:r>
      <w:r>
        <w:rPr>
          <w:lang w:val="en-US"/>
        </w:rPr>
        <w:t xml:space="preserve"> as of 2017</w:t>
      </w:r>
      <w:r w:rsidRPr="00067534">
        <w:rPr>
          <w:lang w:val="en-US"/>
        </w:rPr>
        <w:t xml:space="preserve">, the authors of this report estimate a higher figure of just above 4 million. The calculation is based on Eurostat and national census data of the top Non-European countries in terms of the number of Romanian migrants, namely United States, Canada, Israel and Ukraine. </w:t>
      </w:r>
    </w:p>
  </w:footnote>
  <w:footnote w:id="9">
    <w:p w14:paraId="37F57021" w14:textId="66AEC731" w:rsidR="006F0B13" w:rsidRPr="00161ECF" w:rsidRDefault="006F0B13" w:rsidP="00B908AE">
      <w:pPr>
        <w:pStyle w:val="FootnoteText"/>
        <w:jc w:val="both"/>
        <w:rPr>
          <w:lang w:val="en-US"/>
        </w:rPr>
      </w:pPr>
      <w:r w:rsidRPr="00067534">
        <w:rPr>
          <w:rStyle w:val="FootnoteReference"/>
          <w:lang w:val="en-US"/>
        </w:rPr>
        <w:footnoteRef/>
      </w:r>
      <w:r w:rsidRPr="00067534">
        <w:rPr>
          <w:lang w:val="en-US"/>
        </w:rPr>
        <w:t xml:space="preserve"> According to </w:t>
      </w:r>
      <w:r>
        <w:rPr>
          <w:lang w:val="en-US"/>
        </w:rPr>
        <w:t>UN</w:t>
      </w:r>
      <w:r w:rsidRPr="00067534">
        <w:rPr>
          <w:lang w:val="en-US"/>
        </w:rPr>
        <w:t xml:space="preserve"> (201</w:t>
      </w:r>
      <w:r>
        <w:rPr>
          <w:lang w:val="en-US"/>
        </w:rPr>
        <w:t>7</w:t>
      </w:r>
      <w:r w:rsidRPr="00067534">
        <w:rPr>
          <w:lang w:val="en-US"/>
        </w:rPr>
        <w:t xml:space="preserve">) </w:t>
      </w:r>
      <w:r w:rsidRPr="00067534">
        <w:rPr>
          <w:rFonts w:cstheme="minorHAnsi"/>
          <w:color w:val="000000"/>
          <w:lang w:val="en-US"/>
        </w:rPr>
        <w:t>the net migration outflow between 2000 and 201</w:t>
      </w:r>
      <w:r>
        <w:rPr>
          <w:rFonts w:cstheme="minorHAnsi"/>
          <w:color w:val="000000"/>
          <w:lang w:val="en-US"/>
        </w:rPr>
        <w:t>7</w:t>
      </w:r>
      <w:r w:rsidRPr="00067534">
        <w:rPr>
          <w:rFonts w:cstheme="minorHAnsi"/>
          <w:color w:val="000000"/>
          <w:lang w:val="en-US"/>
        </w:rPr>
        <w:t xml:space="preserve"> </w:t>
      </w:r>
      <w:r>
        <w:rPr>
          <w:rFonts w:cstheme="minorHAnsi"/>
          <w:color w:val="000000"/>
          <w:lang w:val="en-US"/>
        </w:rPr>
        <w:t xml:space="preserve">was </w:t>
      </w:r>
      <w:r w:rsidRPr="00067534">
        <w:rPr>
          <w:rFonts w:cstheme="minorHAnsi"/>
          <w:color w:val="000000"/>
          <w:lang w:val="en-US"/>
        </w:rPr>
        <w:t>around 2.</w:t>
      </w:r>
      <w:r>
        <w:rPr>
          <w:rFonts w:cstheme="minorHAnsi"/>
          <w:color w:val="000000"/>
          <w:lang w:val="en-US"/>
        </w:rPr>
        <w:t>44</w:t>
      </w:r>
      <w:r w:rsidRPr="00067534">
        <w:rPr>
          <w:rFonts w:cstheme="minorHAnsi"/>
          <w:color w:val="000000"/>
          <w:lang w:val="en-US"/>
        </w:rPr>
        <w:t xml:space="preserve"> million</w:t>
      </w:r>
      <w:r>
        <w:rPr>
          <w:rFonts w:cstheme="minorHAnsi"/>
          <w:color w:val="000000"/>
          <w:lang w:val="en-US"/>
        </w:rPr>
        <w:t xml:space="preserve"> (calculated as the difference between the migration stock in 2017 and 2000).</w:t>
      </w:r>
    </w:p>
  </w:footnote>
  <w:footnote w:id="10">
    <w:p w14:paraId="5DDB8232" w14:textId="77777777" w:rsidR="006F0B13" w:rsidRPr="00C41D5F" w:rsidRDefault="006F0B13" w:rsidP="00C41D5F">
      <w:pPr>
        <w:pStyle w:val="FootnoteText"/>
        <w:rPr>
          <w:rFonts w:cstheme="minorHAnsi"/>
          <w:lang w:val="en-US"/>
        </w:rPr>
      </w:pPr>
      <w:r w:rsidRPr="00C41D5F">
        <w:rPr>
          <w:rStyle w:val="FootnoteReference"/>
          <w:rFonts w:cstheme="minorHAnsi"/>
        </w:rPr>
        <w:footnoteRef/>
      </w:r>
      <w:r w:rsidRPr="00242B25">
        <w:rPr>
          <w:rFonts w:cstheme="minorHAnsi"/>
          <w:color w:val="000000" w:themeColor="text1"/>
          <w:lang w:val="en-US"/>
        </w:rPr>
        <w:t xml:space="preserve"> </w:t>
      </w:r>
      <w:hyperlink r:id="rId2" w:history="1">
        <w:r w:rsidRPr="00242B25">
          <w:rPr>
            <w:rStyle w:val="Hyperlink"/>
            <w:rFonts w:eastAsia="Times New Roman" w:cstheme="minorHAnsi"/>
            <w:color w:val="000000" w:themeColor="text1"/>
            <w:u w:val="none"/>
            <w:lang w:val="en-US"/>
          </w:rPr>
          <w:t>https://www.oecd.org/g20/topics/employment-and-social-policy/G20-OECD-migration.pdf</w:t>
        </w:r>
      </w:hyperlink>
    </w:p>
  </w:footnote>
  <w:footnote w:id="11">
    <w:p w14:paraId="491E9AB2" w14:textId="034AEE16" w:rsidR="006F0B13" w:rsidRPr="005F2A61" w:rsidRDefault="006F0B13" w:rsidP="005F2A61">
      <w:pPr>
        <w:pStyle w:val="FootnoteText"/>
        <w:jc w:val="both"/>
        <w:rPr>
          <w:lang w:val="en-US"/>
        </w:rPr>
      </w:pPr>
      <w:r>
        <w:rPr>
          <w:rStyle w:val="FootnoteReference"/>
        </w:rPr>
        <w:footnoteRef/>
      </w:r>
      <w:r w:rsidRPr="00242B25">
        <w:rPr>
          <w:lang w:val="en-US"/>
        </w:rPr>
        <w:t xml:space="preserve"> The figures are based on the definition introduced in the Balance of Payments and International Investment Position Manual (BPM6) according to which personal remittances are the sum of two main components: compensation of employees an</w:t>
      </w:r>
      <w:r>
        <w:rPr>
          <w:lang w:val="en-US"/>
        </w:rPr>
        <w:t xml:space="preserve">d personal transfers. The data </w:t>
      </w:r>
      <w:r w:rsidRPr="00242B25">
        <w:rPr>
          <w:lang w:val="en-US"/>
        </w:rPr>
        <w:t>reflects heterogeneous sources, mainly the central banks of the destination countries. It should also be noted that there are shortcomings in the data, s</w:t>
      </w:r>
      <w:r>
        <w:rPr>
          <w:lang w:val="en-US"/>
        </w:rPr>
        <w:t xml:space="preserve">temming from the difficulty of </w:t>
      </w:r>
      <w:r w:rsidRPr="00242B25">
        <w:rPr>
          <w:lang w:val="en-US"/>
        </w:rPr>
        <w:t>observing informal flows; and the official data most probably underestimate the true amount of remittances (Anghel et al.,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FF3"/>
    <w:multiLevelType w:val="hybridMultilevel"/>
    <w:tmpl w:val="BFEC4A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526AD9"/>
    <w:multiLevelType w:val="hybridMultilevel"/>
    <w:tmpl w:val="BFEC4A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722C58"/>
    <w:multiLevelType w:val="hybridMultilevel"/>
    <w:tmpl w:val="4120B5C2"/>
    <w:lvl w:ilvl="0" w:tplc="187E1912">
      <w:start w:val="1"/>
      <w:numFmt w:val="decimal"/>
      <w:lvlText w:val="%1."/>
      <w:lvlJc w:val="left"/>
      <w:pPr>
        <w:ind w:left="360" w:hanging="360"/>
      </w:pPr>
      <w:rPr>
        <w:rFonts w:asciiTheme="minorHAnsi" w:hAnsiTheme="minorHAnsi" w:hint="default"/>
        <w:b w:val="0"/>
        <w:color w:val="auto"/>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AB5480"/>
    <w:multiLevelType w:val="hybridMultilevel"/>
    <w:tmpl w:val="BA96A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D5792"/>
    <w:multiLevelType w:val="hybridMultilevel"/>
    <w:tmpl w:val="E130816E"/>
    <w:lvl w:ilvl="0" w:tplc="32E63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36FF2"/>
    <w:multiLevelType w:val="hybridMultilevel"/>
    <w:tmpl w:val="BFEC4A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353295"/>
    <w:multiLevelType w:val="multilevel"/>
    <w:tmpl w:val="CF18746A"/>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rPr>
    </w:lvl>
    <w:lvl w:ilvl="2">
      <w:start w:val="1"/>
      <w:numFmt w:val="decimal"/>
      <w:lvlText w:val="%3."/>
      <w:lvlJc w:val="left"/>
      <w:pPr>
        <w:ind w:left="0" w:firstLine="0"/>
      </w:pPr>
      <w:rPr>
        <w:b/>
        <w:sz w:val="22"/>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6587F7C"/>
    <w:multiLevelType w:val="hybridMultilevel"/>
    <w:tmpl w:val="7E9246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DC49D7"/>
    <w:multiLevelType w:val="hybridMultilevel"/>
    <w:tmpl w:val="BFEC4A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321E3F"/>
    <w:multiLevelType w:val="hybridMultilevel"/>
    <w:tmpl w:val="EDF2FE2A"/>
    <w:lvl w:ilvl="0" w:tplc="B652046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start w:val="1"/>
      <w:numFmt w:val="decimal"/>
      <w:lvlText w:val="%7."/>
      <w:lvlJc w:val="left"/>
      <w:pPr>
        <w:ind w:left="2160" w:hanging="360"/>
      </w:pPr>
    </w:lvl>
    <w:lvl w:ilvl="7" w:tplc="04090019">
      <w:start w:val="1"/>
      <w:numFmt w:val="lowerLetter"/>
      <w:lvlText w:val="%8."/>
      <w:lvlJc w:val="left"/>
      <w:pPr>
        <w:ind w:left="2880" w:hanging="360"/>
      </w:pPr>
    </w:lvl>
    <w:lvl w:ilvl="8" w:tplc="0409001B">
      <w:start w:val="1"/>
      <w:numFmt w:val="lowerRoman"/>
      <w:lvlText w:val="%9."/>
      <w:lvlJc w:val="right"/>
      <w:pPr>
        <w:ind w:left="3600" w:hanging="180"/>
      </w:pPr>
    </w:lvl>
  </w:abstractNum>
  <w:abstractNum w:abstractNumId="10" w15:restartNumberingAfterBreak="0">
    <w:nsid w:val="79730B31"/>
    <w:multiLevelType w:val="hybridMultilevel"/>
    <w:tmpl w:val="87A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6"/>
  </w:num>
  <w:num w:numId="12">
    <w:abstractNumId w:val="1"/>
  </w:num>
  <w:num w:numId="13">
    <w:abstractNumId w:val="8"/>
  </w:num>
  <w:num w:numId="14">
    <w:abstractNumId w:val="5"/>
  </w:num>
  <w:num w:numId="15">
    <w:abstractNumId w:val="6"/>
    <w:lvlOverride w:ilvl="0">
      <w:startOverride w:val="1"/>
    </w:lvlOverride>
    <w:lvlOverride w:ilvl="1">
      <w:startOverride w:val="1"/>
    </w:lvlOverride>
    <w:lvlOverride w:ilvl="2">
      <w:startOverride w:val="16"/>
    </w:lvlOverride>
  </w:num>
  <w:num w:numId="16">
    <w:abstractNumId w:val="6"/>
    <w:lvlOverride w:ilvl="0">
      <w:startOverride w:val="1"/>
    </w:lvlOverride>
    <w:lvlOverride w:ilvl="1">
      <w:startOverride w:val="1"/>
    </w:lvlOverride>
    <w:lvlOverride w:ilvl="2">
      <w:startOverride w:val="2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7F"/>
    <w:rsid w:val="00001235"/>
    <w:rsid w:val="00001A6B"/>
    <w:rsid w:val="00005B15"/>
    <w:rsid w:val="00011FCF"/>
    <w:rsid w:val="00013258"/>
    <w:rsid w:val="0001689C"/>
    <w:rsid w:val="00021AA1"/>
    <w:rsid w:val="0002349C"/>
    <w:rsid w:val="000238E8"/>
    <w:rsid w:val="00023E00"/>
    <w:rsid w:val="000251C5"/>
    <w:rsid w:val="00025CDC"/>
    <w:rsid w:val="0002631A"/>
    <w:rsid w:val="00032CF8"/>
    <w:rsid w:val="000342EC"/>
    <w:rsid w:val="00035336"/>
    <w:rsid w:val="00036BBA"/>
    <w:rsid w:val="000444C6"/>
    <w:rsid w:val="00044ED2"/>
    <w:rsid w:val="00044F58"/>
    <w:rsid w:val="00046198"/>
    <w:rsid w:val="00047D2E"/>
    <w:rsid w:val="000513AF"/>
    <w:rsid w:val="000529E3"/>
    <w:rsid w:val="00055528"/>
    <w:rsid w:val="00056AB3"/>
    <w:rsid w:val="00060647"/>
    <w:rsid w:val="00061091"/>
    <w:rsid w:val="0006252E"/>
    <w:rsid w:val="0006490C"/>
    <w:rsid w:val="00067534"/>
    <w:rsid w:val="000701FE"/>
    <w:rsid w:val="0007058B"/>
    <w:rsid w:val="00071E98"/>
    <w:rsid w:val="000722C3"/>
    <w:rsid w:val="000748B2"/>
    <w:rsid w:val="00077509"/>
    <w:rsid w:val="00077CBF"/>
    <w:rsid w:val="000801CF"/>
    <w:rsid w:val="000828CA"/>
    <w:rsid w:val="0009294C"/>
    <w:rsid w:val="00092D44"/>
    <w:rsid w:val="0009484F"/>
    <w:rsid w:val="00096055"/>
    <w:rsid w:val="000974DF"/>
    <w:rsid w:val="000A49D4"/>
    <w:rsid w:val="000A6F11"/>
    <w:rsid w:val="000B20A6"/>
    <w:rsid w:val="000B32C3"/>
    <w:rsid w:val="000B768F"/>
    <w:rsid w:val="000C0DBC"/>
    <w:rsid w:val="000C34EC"/>
    <w:rsid w:val="000C5301"/>
    <w:rsid w:val="000D0FC6"/>
    <w:rsid w:val="000D3DD6"/>
    <w:rsid w:val="000D49CE"/>
    <w:rsid w:val="000D6C3A"/>
    <w:rsid w:val="000D6E89"/>
    <w:rsid w:val="000D7940"/>
    <w:rsid w:val="000E0041"/>
    <w:rsid w:val="000E07E0"/>
    <w:rsid w:val="000F3F2B"/>
    <w:rsid w:val="000F49B6"/>
    <w:rsid w:val="000F65C8"/>
    <w:rsid w:val="000F72DB"/>
    <w:rsid w:val="00104D51"/>
    <w:rsid w:val="001117A9"/>
    <w:rsid w:val="0011239B"/>
    <w:rsid w:val="00115B18"/>
    <w:rsid w:val="00121FC1"/>
    <w:rsid w:val="00122A5D"/>
    <w:rsid w:val="001235DE"/>
    <w:rsid w:val="00124B1C"/>
    <w:rsid w:val="001257DA"/>
    <w:rsid w:val="00132E9E"/>
    <w:rsid w:val="00136024"/>
    <w:rsid w:val="00136922"/>
    <w:rsid w:val="00137B7A"/>
    <w:rsid w:val="00137CAB"/>
    <w:rsid w:val="0014036C"/>
    <w:rsid w:val="00147D1A"/>
    <w:rsid w:val="00151B47"/>
    <w:rsid w:val="001526C3"/>
    <w:rsid w:val="00153DC2"/>
    <w:rsid w:val="00156FD7"/>
    <w:rsid w:val="00157CA3"/>
    <w:rsid w:val="001613D2"/>
    <w:rsid w:val="0016153F"/>
    <w:rsid w:val="00161B24"/>
    <w:rsid w:val="00161C42"/>
    <w:rsid w:val="00161ECF"/>
    <w:rsid w:val="00163D38"/>
    <w:rsid w:val="00164EE7"/>
    <w:rsid w:val="0017134C"/>
    <w:rsid w:val="00171492"/>
    <w:rsid w:val="00171649"/>
    <w:rsid w:val="001727D6"/>
    <w:rsid w:val="00174786"/>
    <w:rsid w:val="0017615C"/>
    <w:rsid w:val="0017638C"/>
    <w:rsid w:val="00177997"/>
    <w:rsid w:val="00181A9C"/>
    <w:rsid w:val="001830DA"/>
    <w:rsid w:val="0019237E"/>
    <w:rsid w:val="00193867"/>
    <w:rsid w:val="00193F22"/>
    <w:rsid w:val="00195297"/>
    <w:rsid w:val="00196E1C"/>
    <w:rsid w:val="0019754E"/>
    <w:rsid w:val="001A19D9"/>
    <w:rsid w:val="001A303F"/>
    <w:rsid w:val="001A3EB0"/>
    <w:rsid w:val="001A4170"/>
    <w:rsid w:val="001A4EBF"/>
    <w:rsid w:val="001A6427"/>
    <w:rsid w:val="001B064A"/>
    <w:rsid w:val="001B0742"/>
    <w:rsid w:val="001B0E9E"/>
    <w:rsid w:val="001B1E72"/>
    <w:rsid w:val="001B4A99"/>
    <w:rsid w:val="001C1AF3"/>
    <w:rsid w:val="001D1523"/>
    <w:rsid w:val="001D4FD1"/>
    <w:rsid w:val="001E07E9"/>
    <w:rsid w:val="001E4E6C"/>
    <w:rsid w:val="001E5125"/>
    <w:rsid w:val="001E69DE"/>
    <w:rsid w:val="001E6A09"/>
    <w:rsid w:val="001F02B4"/>
    <w:rsid w:val="001F58AD"/>
    <w:rsid w:val="001F5C02"/>
    <w:rsid w:val="00200076"/>
    <w:rsid w:val="002005B8"/>
    <w:rsid w:val="00201D53"/>
    <w:rsid w:val="00203BD9"/>
    <w:rsid w:val="00204148"/>
    <w:rsid w:val="00206D60"/>
    <w:rsid w:val="002115D4"/>
    <w:rsid w:val="002157CE"/>
    <w:rsid w:val="00217A57"/>
    <w:rsid w:val="002208B1"/>
    <w:rsid w:val="00226053"/>
    <w:rsid w:val="00230AE3"/>
    <w:rsid w:val="00233238"/>
    <w:rsid w:val="002337BF"/>
    <w:rsid w:val="00242B25"/>
    <w:rsid w:val="00244DE2"/>
    <w:rsid w:val="00246A93"/>
    <w:rsid w:val="00247A02"/>
    <w:rsid w:val="002500B0"/>
    <w:rsid w:val="00250638"/>
    <w:rsid w:val="00251FAF"/>
    <w:rsid w:val="0025343B"/>
    <w:rsid w:val="002548A3"/>
    <w:rsid w:val="0026091C"/>
    <w:rsid w:val="00262A0D"/>
    <w:rsid w:val="00263908"/>
    <w:rsid w:val="00264104"/>
    <w:rsid w:val="002653CE"/>
    <w:rsid w:val="00271D57"/>
    <w:rsid w:val="00275B04"/>
    <w:rsid w:val="0027651F"/>
    <w:rsid w:val="00276B8A"/>
    <w:rsid w:val="00276BCB"/>
    <w:rsid w:val="0028016C"/>
    <w:rsid w:val="0028077A"/>
    <w:rsid w:val="002815F2"/>
    <w:rsid w:val="00283E8F"/>
    <w:rsid w:val="002854B3"/>
    <w:rsid w:val="00286709"/>
    <w:rsid w:val="00295789"/>
    <w:rsid w:val="002963AC"/>
    <w:rsid w:val="002A2A35"/>
    <w:rsid w:val="002A403E"/>
    <w:rsid w:val="002A5574"/>
    <w:rsid w:val="002B3481"/>
    <w:rsid w:val="002B69ED"/>
    <w:rsid w:val="002C2B96"/>
    <w:rsid w:val="002C7394"/>
    <w:rsid w:val="002D0902"/>
    <w:rsid w:val="002D0EB2"/>
    <w:rsid w:val="002D0F3A"/>
    <w:rsid w:val="002D2ACA"/>
    <w:rsid w:val="002D3492"/>
    <w:rsid w:val="002D34AD"/>
    <w:rsid w:val="002D4AEE"/>
    <w:rsid w:val="002D5F9B"/>
    <w:rsid w:val="002E2C55"/>
    <w:rsid w:val="002E2E01"/>
    <w:rsid w:val="002E437E"/>
    <w:rsid w:val="002F11FC"/>
    <w:rsid w:val="002F2F06"/>
    <w:rsid w:val="002F3865"/>
    <w:rsid w:val="002F48A5"/>
    <w:rsid w:val="00306B15"/>
    <w:rsid w:val="00307167"/>
    <w:rsid w:val="00307BDF"/>
    <w:rsid w:val="00307FDF"/>
    <w:rsid w:val="00311FD2"/>
    <w:rsid w:val="003202EE"/>
    <w:rsid w:val="003240FE"/>
    <w:rsid w:val="0032716B"/>
    <w:rsid w:val="00327E46"/>
    <w:rsid w:val="00330809"/>
    <w:rsid w:val="00331A26"/>
    <w:rsid w:val="00331DD9"/>
    <w:rsid w:val="0033545C"/>
    <w:rsid w:val="00335F20"/>
    <w:rsid w:val="00341894"/>
    <w:rsid w:val="00341BBA"/>
    <w:rsid w:val="00342BFC"/>
    <w:rsid w:val="003445E8"/>
    <w:rsid w:val="0034757C"/>
    <w:rsid w:val="00354EAE"/>
    <w:rsid w:val="00357EF0"/>
    <w:rsid w:val="003611C1"/>
    <w:rsid w:val="00363C0B"/>
    <w:rsid w:val="003656CC"/>
    <w:rsid w:val="00366D8B"/>
    <w:rsid w:val="003710FF"/>
    <w:rsid w:val="003756FD"/>
    <w:rsid w:val="0037743A"/>
    <w:rsid w:val="00386E0D"/>
    <w:rsid w:val="00387EB6"/>
    <w:rsid w:val="00395073"/>
    <w:rsid w:val="00396352"/>
    <w:rsid w:val="003963A5"/>
    <w:rsid w:val="003A13FC"/>
    <w:rsid w:val="003B0305"/>
    <w:rsid w:val="003B0640"/>
    <w:rsid w:val="003B1C31"/>
    <w:rsid w:val="003B4F1B"/>
    <w:rsid w:val="003B7942"/>
    <w:rsid w:val="003C11E2"/>
    <w:rsid w:val="003C3D1A"/>
    <w:rsid w:val="003C447C"/>
    <w:rsid w:val="003C45DB"/>
    <w:rsid w:val="003D1087"/>
    <w:rsid w:val="003D6316"/>
    <w:rsid w:val="003D65E1"/>
    <w:rsid w:val="003E460B"/>
    <w:rsid w:val="003F13D0"/>
    <w:rsid w:val="003F319F"/>
    <w:rsid w:val="003F6441"/>
    <w:rsid w:val="003F7452"/>
    <w:rsid w:val="0040156F"/>
    <w:rsid w:val="00404B15"/>
    <w:rsid w:val="00405EE6"/>
    <w:rsid w:val="004068F9"/>
    <w:rsid w:val="00412314"/>
    <w:rsid w:val="00412F25"/>
    <w:rsid w:val="0041412A"/>
    <w:rsid w:val="0041473B"/>
    <w:rsid w:val="00416305"/>
    <w:rsid w:val="0042482C"/>
    <w:rsid w:val="004372E8"/>
    <w:rsid w:val="00444DB7"/>
    <w:rsid w:val="00447819"/>
    <w:rsid w:val="0045376B"/>
    <w:rsid w:val="004551BA"/>
    <w:rsid w:val="00470628"/>
    <w:rsid w:val="0047507D"/>
    <w:rsid w:val="004755C6"/>
    <w:rsid w:val="00481DF3"/>
    <w:rsid w:val="004856A6"/>
    <w:rsid w:val="00486918"/>
    <w:rsid w:val="00486EFA"/>
    <w:rsid w:val="0048767E"/>
    <w:rsid w:val="00487FF7"/>
    <w:rsid w:val="00490E57"/>
    <w:rsid w:val="004934AF"/>
    <w:rsid w:val="004A0368"/>
    <w:rsid w:val="004A11AF"/>
    <w:rsid w:val="004A2501"/>
    <w:rsid w:val="004A5C25"/>
    <w:rsid w:val="004A73B1"/>
    <w:rsid w:val="004A7D49"/>
    <w:rsid w:val="004B1A35"/>
    <w:rsid w:val="004B322E"/>
    <w:rsid w:val="004B6CAB"/>
    <w:rsid w:val="004C4D37"/>
    <w:rsid w:val="004D30D6"/>
    <w:rsid w:val="004D3DE2"/>
    <w:rsid w:val="004D5CC5"/>
    <w:rsid w:val="004D756F"/>
    <w:rsid w:val="004E1ABF"/>
    <w:rsid w:val="004E210A"/>
    <w:rsid w:val="004E2A87"/>
    <w:rsid w:val="004E4D7F"/>
    <w:rsid w:val="004E5481"/>
    <w:rsid w:val="004E5690"/>
    <w:rsid w:val="004E5D4D"/>
    <w:rsid w:val="004E7256"/>
    <w:rsid w:val="004F11AC"/>
    <w:rsid w:val="004F1DBA"/>
    <w:rsid w:val="004F444C"/>
    <w:rsid w:val="004F44EC"/>
    <w:rsid w:val="004F49EC"/>
    <w:rsid w:val="004F6349"/>
    <w:rsid w:val="0050168F"/>
    <w:rsid w:val="00501B67"/>
    <w:rsid w:val="00503A1D"/>
    <w:rsid w:val="0050676A"/>
    <w:rsid w:val="0050772A"/>
    <w:rsid w:val="0051014E"/>
    <w:rsid w:val="00510996"/>
    <w:rsid w:val="005109DD"/>
    <w:rsid w:val="00515302"/>
    <w:rsid w:val="00515AAF"/>
    <w:rsid w:val="005176B4"/>
    <w:rsid w:val="00525652"/>
    <w:rsid w:val="00537D2F"/>
    <w:rsid w:val="00543117"/>
    <w:rsid w:val="005442AB"/>
    <w:rsid w:val="0055096A"/>
    <w:rsid w:val="005530A1"/>
    <w:rsid w:val="005549CD"/>
    <w:rsid w:val="005553E5"/>
    <w:rsid w:val="005620DA"/>
    <w:rsid w:val="0056395B"/>
    <w:rsid w:val="00565523"/>
    <w:rsid w:val="005715D4"/>
    <w:rsid w:val="00574111"/>
    <w:rsid w:val="00574B16"/>
    <w:rsid w:val="005773D6"/>
    <w:rsid w:val="005776FC"/>
    <w:rsid w:val="00581DEF"/>
    <w:rsid w:val="00586245"/>
    <w:rsid w:val="00596854"/>
    <w:rsid w:val="005A0E34"/>
    <w:rsid w:val="005A3017"/>
    <w:rsid w:val="005A348A"/>
    <w:rsid w:val="005A3A3F"/>
    <w:rsid w:val="005A4FCF"/>
    <w:rsid w:val="005A5693"/>
    <w:rsid w:val="005B234D"/>
    <w:rsid w:val="005B30FD"/>
    <w:rsid w:val="005B5BEB"/>
    <w:rsid w:val="005B6089"/>
    <w:rsid w:val="005B6F0D"/>
    <w:rsid w:val="005B77F4"/>
    <w:rsid w:val="005C0205"/>
    <w:rsid w:val="005C0E6D"/>
    <w:rsid w:val="005C5747"/>
    <w:rsid w:val="005C663A"/>
    <w:rsid w:val="005C79AD"/>
    <w:rsid w:val="005D1819"/>
    <w:rsid w:val="005D1BE4"/>
    <w:rsid w:val="005D1D18"/>
    <w:rsid w:val="005D2444"/>
    <w:rsid w:val="005D604D"/>
    <w:rsid w:val="005D607D"/>
    <w:rsid w:val="005E1DA9"/>
    <w:rsid w:val="005E2EA4"/>
    <w:rsid w:val="005E3930"/>
    <w:rsid w:val="005E6CB4"/>
    <w:rsid w:val="005F2A61"/>
    <w:rsid w:val="005F4252"/>
    <w:rsid w:val="005F513C"/>
    <w:rsid w:val="005F6D65"/>
    <w:rsid w:val="00601905"/>
    <w:rsid w:val="00601C86"/>
    <w:rsid w:val="0060643F"/>
    <w:rsid w:val="00611DEE"/>
    <w:rsid w:val="006124A4"/>
    <w:rsid w:val="006125AA"/>
    <w:rsid w:val="00612D38"/>
    <w:rsid w:val="00613801"/>
    <w:rsid w:val="00614431"/>
    <w:rsid w:val="0061482F"/>
    <w:rsid w:val="0061678B"/>
    <w:rsid w:val="006212AE"/>
    <w:rsid w:val="00623B44"/>
    <w:rsid w:val="00627A8B"/>
    <w:rsid w:val="00632351"/>
    <w:rsid w:val="00632E21"/>
    <w:rsid w:val="006373D5"/>
    <w:rsid w:val="006406A6"/>
    <w:rsid w:val="0064487B"/>
    <w:rsid w:val="00647808"/>
    <w:rsid w:val="00650C23"/>
    <w:rsid w:val="00650C75"/>
    <w:rsid w:val="00652C80"/>
    <w:rsid w:val="006547F2"/>
    <w:rsid w:val="00655E37"/>
    <w:rsid w:val="006621F1"/>
    <w:rsid w:val="00662AB5"/>
    <w:rsid w:val="006658FC"/>
    <w:rsid w:val="006676BD"/>
    <w:rsid w:val="00667A06"/>
    <w:rsid w:val="006729C6"/>
    <w:rsid w:val="00673EB0"/>
    <w:rsid w:val="00674168"/>
    <w:rsid w:val="00675446"/>
    <w:rsid w:val="006808A3"/>
    <w:rsid w:val="00680E2E"/>
    <w:rsid w:val="00682E51"/>
    <w:rsid w:val="006830A3"/>
    <w:rsid w:val="006832F6"/>
    <w:rsid w:val="0068341C"/>
    <w:rsid w:val="00684192"/>
    <w:rsid w:val="00684A68"/>
    <w:rsid w:val="00697B56"/>
    <w:rsid w:val="006A3F47"/>
    <w:rsid w:val="006C2C40"/>
    <w:rsid w:val="006C4833"/>
    <w:rsid w:val="006C588B"/>
    <w:rsid w:val="006C68D6"/>
    <w:rsid w:val="006C6DA9"/>
    <w:rsid w:val="006C714F"/>
    <w:rsid w:val="006C7F96"/>
    <w:rsid w:val="006D1108"/>
    <w:rsid w:val="006D551C"/>
    <w:rsid w:val="006E0395"/>
    <w:rsid w:val="006E26A4"/>
    <w:rsid w:val="006E3C41"/>
    <w:rsid w:val="006E40A6"/>
    <w:rsid w:val="006E6EA4"/>
    <w:rsid w:val="006F0B13"/>
    <w:rsid w:val="006F4640"/>
    <w:rsid w:val="006F496C"/>
    <w:rsid w:val="006F507F"/>
    <w:rsid w:val="006F7B30"/>
    <w:rsid w:val="007014EA"/>
    <w:rsid w:val="007018DA"/>
    <w:rsid w:val="007027B7"/>
    <w:rsid w:val="007040CF"/>
    <w:rsid w:val="00704834"/>
    <w:rsid w:val="00706AB5"/>
    <w:rsid w:val="00706C63"/>
    <w:rsid w:val="00710D41"/>
    <w:rsid w:val="00717CD6"/>
    <w:rsid w:val="0072339C"/>
    <w:rsid w:val="007256FB"/>
    <w:rsid w:val="00725C01"/>
    <w:rsid w:val="00725CA2"/>
    <w:rsid w:val="00731FD8"/>
    <w:rsid w:val="00733C08"/>
    <w:rsid w:val="00733FCB"/>
    <w:rsid w:val="0073544C"/>
    <w:rsid w:val="007403BD"/>
    <w:rsid w:val="00743AB2"/>
    <w:rsid w:val="00745368"/>
    <w:rsid w:val="00746920"/>
    <w:rsid w:val="00746DA0"/>
    <w:rsid w:val="00747B94"/>
    <w:rsid w:val="0075268D"/>
    <w:rsid w:val="0075400D"/>
    <w:rsid w:val="00757751"/>
    <w:rsid w:val="00763881"/>
    <w:rsid w:val="00764595"/>
    <w:rsid w:val="007664CC"/>
    <w:rsid w:val="00774638"/>
    <w:rsid w:val="00776608"/>
    <w:rsid w:val="00776DA7"/>
    <w:rsid w:val="0078239A"/>
    <w:rsid w:val="007840B8"/>
    <w:rsid w:val="0078483C"/>
    <w:rsid w:val="007851AF"/>
    <w:rsid w:val="00787A2D"/>
    <w:rsid w:val="00790803"/>
    <w:rsid w:val="00792527"/>
    <w:rsid w:val="007A0A0B"/>
    <w:rsid w:val="007A2AE0"/>
    <w:rsid w:val="007A3325"/>
    <w:rsid w:val="007A3618"/>
    <w:rsid w:val="007A7838"/>
    <w:rsid w:val="007C1F02"/>
    <w:rsid w:val="007C4DEC"/>
    <w:rsid w:val="007C4EDC"/>
    <w:rsid w:val="007E033D"/>
    <w:rsid w:val="007E03EB"/>
    <w:rsid w:val="007E0B55"/>
    <w:rsid w:val="007E0F86"/>
    <w:rsid w:val="007E0FCD"/>
    <w:rsid w:val="007E4F3B"/>
    <w:rsid w:val="007E770F"/>
    <w:rsid w:val="007F1C8C"/>
    <w:rsid w:val="007F468B"/>
    <w:rsid w:val="00810BC5"/>
    <w:rsid w:val="008124D5"/>
    <w:rsid w:val="00813D9C"/>
    <w:rsid w:val="00815882"/>
    <w:rsid w:val="008215C3"/>
    <w:rsid w:val="00822ED5"/>
    <w:rsid w:val="008233D5"/>
    <w:rsid w:val="00823FEF"/>
    <w:rsid w:val="00824D8C"/>
    <w:rsid w:val="00825021"/>
    <w:rsid w:val="0082799E"/>
    <w:rsid w:val="00830F73"/>
    <w:rsid w:val="008310C9"/>
    <w:rsid w:val="00835AC3"/>
    <w:rsid w:val="00836234"/>
    <w:rsid w:val="0084200A"/>
    <w:rsid w:val="008425CB"/>
    <w:rsid w:val="008444C1"/>
    <w:rsid w:val="00844527"/>
    <w:rsid w:val="0084537F"/>
    <w:rsid w:val="00850638"/>
    <w:rsid w:val="008511B6"/>
    <w:rsid w:val="00862720"/>
    <w:rsid w:val="00863AAF"/>
    <w:rsid w:val="00863DB1"/>
    <w:rsid w:val="00866339"/>
    <w:rsid w:val="0086797B"/>
    <w:rsid w:val="008754E7"/>
    <w:rsid w:val="008811E0"/>
    <w:rsid w:val="00881824"/>
    <w:rsid w:val="00881DFA"/>
    <w:rsid w:val="00884B97"/>
    <w:rsid w:val="0088721D"/>
    <w:rsid w:val="008929DC"/>
    <w:rsid w:val="00894921"/>
    <w:rsid w:val="00894E85"/>
    <w:rsid w:val="008A3184"/>
    <w:rsid w:val="008A36BC"/>
    <w:rsid w:val="008B13A9"/>
    <w:rsid w:val="008B4FCC"/>
    <w:rsid w:val="008B5994"/>
    <w:rsid w:val="008C5D13"/>
    <w:rsid w:val="008D2D2B"/>
    <w:rsid w:val="008D35AE"/>
    <w:rsid w:val="008D47FF"/>
    <w:rsid w:val="008D6AD9"/>
    <w:rsid w:val="008E2910"/>
    <w:rsid w:val="008E3C6A"/>
    <w:rsid w:val="008E51B3"/>
    <w:rsid w:val="008E63D2"/>
    <w:rsid w:val="008E7652"/>
    <w:rsid w:val="008F0F02"/>
    <w:rsid w:val="008F2929"/>
    <w:rsid w:val="008F7682"/>
    <w:rsid w:val="00900EEF"/>
    <w:rsid w:val="00904671"/>
    <w:rsid w:val="00904798"/>
    <w:rsid w:val="00905F65"/>
    <w:rsid w:val="009107F5"/>
    <w:rsid w:val="00911DA1"/>
    <w:rsid w:val="00914510"/>
    <w:rsid w:val="009159CE"/>
    <w:rsid w:val="00917079"/>
    <w:rsid w:val="00917187"/>
    <w:rsid w:val="00920888"/>
    <w:rsid w:val="00922F71"/>
    <w:rsid w:val="00923EB3"/>
    <w:rsid w:val="00924862"/>
    <w:rsid w:val="00934623"/>
    <w:rsid w:val="0093594F"/>
    <w:rsid w:val="00936FB9"/>
    <w:rsid w:val="009378C8"/>
    <w:rsid w:val="00942041"/>
    <w:rsid w:val="009424CB"/>
    <w:rsid w:val="00943A7B"/>
    <w:rsid w:val="00946960"/>
    <w:rsid w:val="00947704"/>
    <w:rsid w:val="00952A24"/>
    <w:rsid w:val="00954D9F"/>
    <w:rsid w:val="0095570F"/>
    <w:rsid w:val="0095787A"/>
    <w:rsid w:val="00960952"/>
    <w:rsid w:val="00966045"/>
    <w:rsid w:val="009669D6"/>
    <w:rsid w:val="00972298"/>
    <w:rsid w:val="009758F9"/>
    <w:rsid w:val="00976018"/>
    <w:rsid w:val="00977E64"/>
    <w:rsid w:val="009812A7"/>
    <w:rsid w:val="0098243D"/>
    <w:rsid w:val="009829FF"/>
    <w:rsid w:val="00982E2E"/>
    <w:rsid w:val="00984223"/>
    <w:rsid w:val="009868D9"/>
    <w:rsid w:val="00986A7B"/>
    <w:rsid w:val="00987EC2"/>
    <w:rsid w:val="00992359"/>
    <w:rsid w:val="009931D4"/>
    <w:rsid w:val="0099375E"/>
    <w:rsid w:val="00996A07"/>
    <w:rsid w:val="009A04B5"/>
    <w:rsid w:val="009A2233"/>
    <w:rsid w:val="009A2853"/>
    <w:rsid w:val="009A39E2"/>
    <w:rsid w:val="009A617C"/>
    <w:rsid w:val="009A64D9"/>
    <w:rsid w:val="009A6D79"/>
    <w:rsid w:val="009B1F76"/>
    <w:rsid w:val="009B2636"/>
    <w:rsid w:val="009C3335"/>
    <w:rsid w:val="009C555C"/>
    <w:rsid w:val="009D04A9"/>
    <w:rsid w:val="009D2BBB"/>
    <w:rsid w:val="009D2DBD"/>
    <w:rsid w:val="009D3590"/>
    <w:rsid w:val="009D48D9"/>
    <w:rsid w:val="009D57B2"/>
    <w:rsid w:val="009D73CC"/>
    <w:rsid w:val="009D7A24"/>
    <w:rsid w:val="009E10BA"/>
    <w:rsid w:val="009E5AB6"/>
    <w:rsid w:val="009E6DC6"/>
    <w:rsid w:val="009E7BDD"/>
    <w:rsid w:val="009F01E3"/>
    <w:rsid w:val="009F3F30"/>
    <w:rsid w:val="009F42B3"/>
    <w:rsid w:val="00A005F1"/>
    <w:rsid w:val="00A05FB1"/>
    <w:rsid w:val="00A11093"/>
    <w:rsid w:val="00A20C7C"/>
    <w:rsid w:val="00A258D1"/>
    <w:rsid w:val="00A32B15"/>
    <w:rsid w:val="00A32ED9"/>
    <w:rsid w:val="00A33C7E"/>
    <w:rsid w:val="00A35C93"/>
    <w:rsid w:val="00A41B17"/>
    <w:rsid w:val="00A44A7F"/>
    <w:rsid w:val="00A47A2E"/>
    <w:rsid w:val="00A5157E"/>
    <w:rsid w:val="00A529E6"/>
    <w:rsid w:val="00A7001E"/>
    <w:rsid w:val="00A7529F"/>
    <w:rsid w:val="00A76E13"/>
    <w:rsid w:val="00A810DA"/>
    <w:rsid w:val="00A841CD"/>
    <w:rsid w:val="00A90DAF"/>
    <w:rsid w:val="00A94739"/>
    <w:rsid w:val="00A94CE0"/>
    <w:rsid w:val="00AA0E25"/>
    <w:rsid w:val="00AA0EEE"/>
    <w:rsid w:val="00AA2092"/>
    <w:rsid w:val="00AA27F7"/>
    <w:rsid w:val="00AB180A"/>
    <w:rsid w:val="00AB2A51"/>
    <w:rsid w:val="00AB39A3"/>
    <w:rsid w:val="00AB6B75"/>
    <w:rsid w:val="00AB6CBF"/>
    <w:rsid w:val="00AC0809"/>
    <w:rsid w:val="00AC0BF3"/>
    <w:rsid w:val="00AC5AB7"/>
    <w:rsid w:val="00AC5BA0"/>
    <w:rsid w:val="00AC5E6B"/>
    <w:rsid w:val="00AD0126"/>
    <w:rsid w:val="00AD0390"/>
    <w:rsid w:val="00AD2ACF"/>
    <w:rsid w:val="00AD3878"/>
    <w:rsid w:val="00AD45A6"/>
    <w:rsid w:val="00AE2A7A"/>
    <w:rsid w:val="00AE3217"/>
    <w:rsid w:val="00AE5282"/>
    <w:rsid w:val="00AF1E2F"/>
    <w:rsid w:val="00AF25D9"/>
    <w:rsid w:val="00AF2A84"/>
    <w:rsid w:val="00B00265"/>
    <w:rsid w:val="00B00CAE"/>
    <w:rsid w:val="00B00D6C"/>
    <w:rsid w:val="00B038C3"/>
    <w:rsid w:val="00B04152"/>
    <w:rsid w:val="00B05488"/>
    <w:rsid w:val="00B13A3B"/>
    <w:rsid w:val="00B15EF0"/>
    <w:rsid w:val="00B22447"/>
    <w:rsid w:val="00B3356B"/>
    <w:rsid w:val="00B33904"/>
    <w:rsid w:val="00B36759"/>
    <w:rsid w:val="00B422ED"/>
    <w:rsid w:val="00B4254D"/>
    <w:rsid w:val="00B44134"/>
    <w:rsid w:val="00B4481B"/>
    <w:rsid w:val="00B460D3"/>
    <w:rsid w:val="00B469D4"/>
    <w:rsid w:val="00B4706B"/>
    <w:rsid w:val="00B5000F"/>
    <w:rsid w:val="00B55481"/>
    <w:rsid w:val="00B6007E"/>
    <w:rsid w:val="00B60C61"/>
    <w:rsid w:val="00B6260C"/>
    <w:rsid w:val="00B634E1"/>
    <w:rsid w:val="00B648D5"/>
    <w:rsid w:val="00B66EAC"/>
    <w:rsid w:val="00B66F6B"/>
    <w:rsid w:val="00B7252E"/>
    <w:rsid w:val="00B84FD0"/>
    <w:rsid w:val="00B86436"/>
    <w:rsid w:val="00B908AE"/>
    <w:rsid w:val="00B90F99"/>
    <w:rsid w:val="00B92710"/>
    <w:rsid w:val="00B934AD"/>
    <w:rsid w:val="00B95C9E"/>
    <w:rsid w:val="00B95DBD"/>
    <w:rsid w:val="00B9713C"/>
    <w:rsid w:val="00B9773F"/>
    <w:rsid w:val="00BA3520"/>
    <w:rsid w:val="00BB01E1"/>
    <w:rsid w:val="00BB1D4F"/>
    <w:rsid w:val="00BB2A57"/>
    <w:rsid w:val="00BB37C2"/>
    <w:rsid w:val="00BB3C3F"/>
    <w:rsid w:val="00BB6D7C"/>
    <w:rsid w:val="00BB766A"/>
    <w:rsid w:val="00BC1DD0"/>
    <w:rsid w:val="00BC3AB7"/>
    <w:rsid w:val="00BC60CA"/>
    <w:rsid w:val="00BC738A"/>
    <w:rsid w:val="00BD150A"/>
    <w:rsid w:val="00BD2FC5"/>
    <w:rsid w:val="00BE0541"/>
    <w:rsid w:val="00BE1142"/>
    <w:rsid w:val="00BE7279"/>
    <w:rsid w:val="00BF003E"/>
    <w:rsid w:val="00BF0751"/>
    <w:rsid w:val="00C0486D"/>
    <w:rsid w:val="00C07F65"/>
    <w:rsid w:val="00C10EFF"/>
    <w:rsid w:val="00C13915"/>
    <w:rsid w:val="00C15555"/>
    <w:rsid w:val="00C2596B"/>
    <w:rsid w:val="00C27349"/>
    <w:rsid w:val="00C27B89"/>
    <w:rsid w:val="00C33049"/>
    <w:rsid w:val="00C35193"/>
    <w:rsid w:val="00C40A61"/>
    <w:rsid w:val="00C4162B"/>
    <w:rsid w:val="00C41D5F"/>
    <w:rsid w:val="00C43725"/>
    <w:rsid w:val="00C5128B"/>
    <w:rsid w:val="00C52AA6"/>
    <w:rsid w:val="00C55D08"/>
    <w:rsid w:val="00C567AE"/>
    <w:rsid w:val="00C619BD"/>
    <w:rsid w:val="00C7384E"/>
    <w:rsid w:val="00C77AD2"/>
    <w:rsid w:val="00C8026C"/>
    <w:rsid w:val="00C80D65"/>
    <w:rsid w:val="00C814FF"/>
    <w:rsid w:val="00C905BC"/>
    <w:rsid w:val="00C95E0F"/>
    <w:rsid w:val="00C9700E"/>
    <w:rsid w:val="00CA0AE8"/>
    <w:rsid w:val="00CA2A8A"/>
    <w:rsid w:val="00CB26CF"/>
    <w:rsid w:val="00CB48D1"/>
    <w:rsid w:val="00CB7850"/>
    <w:rsid w:val="00CC0ED2"/>
    <w:rsid w:val="00CC16BC"/>
    <w:rsid w:val="00CC2034"/>
    <w:rsid w:val="00CC21FD"/>
    <w:rsid w:val="00CC2BCB"/>
    <w:rsid w:val="00CC2DE9"/>
    <w:rsid w:val="00CC3082"/>
    <w:rsid w:val="00CC452B"/>
    <w:rsid w:val="00CC594C"/>
    <w:rsid w:val="00CC7DD0"/>
    <w:rsid w:val="00CD1071"/>
    <w:rsid w:val="00CE0457"/>
    <w:rsid w:val="00CE1686"/>
    <w:rsid w:val="00CE1D25"/>
    <w:rsid w:val="00CE29DC"/>
    <w:rsid w:val="00CE308A"/>
    <w:rsid w:val="00CE3B60"/>
    <w:rsid w:val="00CE3BA4"/>
    <w:rsid w:val="00CE3F0A"/>
    <w:rsid w:val="00CF05AE"/>
    <w:rsid w:val="00CF0680"/>
    <w:rsid w:val="00CF35A0"/>
    <w:rsid w:val="00D03E41"/>
    <w:rsid w:val="00D044F3"/>
    <w:rsid w:val="00D065F7"/>
    <w:rsid w:val="00D07A30"/>
    <w:rsid w:val="00D122E4"/>
    <w:rsid w:val="00D1392A"/>
    <w:rsid w:val="00D159E9"/>
    <w:rsid w:val="00D17AF4"/>
    <w:rsid w:val="00D22F89"/>
    <w:rsid w:val="00D252C3"/>
    <w:rsid w:val="00D26578"/>
    <w:rsid w:val="00D278BE"/>
    <w:rsid w:val="00D30646"/>
    <w:rsid w:val="00D325AA"/>
    <w:rsid w:val="00D33EA8"/>
    <w:rsid w:val="00D416FC"/>
    <w:rsid w:val="00D42A9B"/>
    <w:rsid w:val="00D42EDC"/>
    <w:rsid w:val="00D45FD9"/>
    <w:rsid w:val="00D4616B"/>
    <w:rsid w:val="00D46192"/>
    <w:rsid w:val="00D4694A"/>
    <w:rsid w:val="00D47429"/>
    <w:rsid w:val="00D50DED"/>
    <w:rsid w:val="00D54379"/>
    <w:rsid w:val="00D57FB3"/>
    <w:rsid w:val="00D603DD"/>
    <w:rsid w:val="00D60E26"/>
    <w:rsid w:val="00D6108E"/>
    <w:rsid w:val="00D64FD2"/>
    <w:rsid w:val="00D73157"/>
    <w:rsid w:val="00D7444F"/>
    <w:rsid w:val="00D76AC4"/>
    <w:rsid w:val="00D82F06"/>
    <w:rsid w:val="00D8400B"/>
    <w:rsid w:val="00D84D93"/>
    <w:rsid w:val="00D84F08"/>
    <w:rsid w:val="00D85F41"/>
    <w:rsid w:val="00D8790B"/>
    <w:rsid w:val="00D90488"/>
    <w:rsid w:val="00D93853"/>
    <w:rsid w:val="00D95E8E"/>
    <w:rsid w:val="00DA0098"/>
    <w:rsid w:val="00DA3559"/>
    <w:rsid w:val="00DA45A0"/>
    <w:rsid w:val="00DA6E85"/>
    <w:rsid w:val="00DA7B11"/>
    <w:rsid w:val="00DB180B"/>
    <w:rsid w:val="00DB1822"/>
    <w:rsid w:val="00DB210D"/>
    <w:rsid w:val="00DC0AA3"/>
    <w:rsid w:val="00DC7CA9"/>
    <w:rsid w:val="00DC7E4F"/>
    <w:rsid w:val="00DD2955"/>
    <w:rsid w:val="00DD4626"/>
    <w:rsid w:val="00DE1733"/>
    <w:rsid w:val="00DE1B89"/>
    <w:rsid w:val="00DE3DE6"/>
    <w:rsid w:val="00DF7A61"/>
    <w:rsid w:val="00E043D1"/>
    <w:rsid w:val="00E07B8A"/>
    <w:rsid w:val="00E12059"/>
    <w:rsid w:val="00E12B1C"/>
    <w:rsid w:val="00E15335"/>
    <w:rsid w:val="00E21E69"/>
    <w:rsid w:val="00E24761"/>
    <w:rsid w:val="00E27533"/>
    <w:rsid w:val="00E27A42"/>
    <w:rsid w:val="00E317EB"/>
    <w:rsid w:val="00E34211"/>
    <w:rsid w:val="00E353BF"/>
    <w:rsid w:val="00E36DE3"/>
    <w:rsid w:val="00E37A82"/>
    <w:rsid w:val="00E42B74"/>
    <w:rsid w:val="00E43D6B"/>
    <w:rsid w:val="00E454FF"/>
    <w:rsid w:val="00E4631E"/>
    <w:rsid w:val="00E50423"/>
    <w:rsid w:val="00E50A9D"/>
    <w:rsid w:val="00E51554"/>
    <w:rsid w:val="00E55406"/>
    <w:rsid w:val="00E5699D"/>
    <w:rsid w:val="00E57AB0"/>
    <w:rsid w:val="00E61311"/>
    <w:rsid w:val="00E61D63"/>
    <w:rsid w:val="00E6740C"/>
    <w:rsid w:val="00E70A41"/>
    <w:rsid w:val="00E71FBB"/>
    <w:rsid w:val="00E74CD6"/>
    <w:rsid w:val="00E83B82"/>
    <w:rsid w:val="00E90398"/>
    <w:rsid w:val="00E904AF"/>
    <w:rsid w:val="00E91023"/>
    <w:rsid w:val="00E94FDB"/>
    <w:rsid w:val="00E975EB"/>
    <w:rsid w:val="00EA4A94"/>
    <w:rsid w:val="00EA553F"/>
    <w:rsid w:val="00EB011F"/>
    <w:rsid w:val="00EB03CC"/>
    <w:rsid w:val="00EB09B4"/>
    <w:rsid w:val="00EB2591"/>
    <w:rsid w:val="00EB54E3"/>
    <w:rsid w:val="00EB70C4"/>
    <w:rsid w:val="00EB72EB"/>
    <w:rsid w:val="00EC1A27"/>
    <w:rsid w:val="00EC3935"/>
    <w:rsid w:val="00EC462D"/>
    <w:rsid w:val="00EC523B"/>
    <w:rsid w:val="00EC7DC5"/>
    <w:rsid w:val="00ED34BE"/>
    <w:rsid w:val="00ED590B"/>
    <w:rsid w:val="00ED7749"/>
    <w:rsid w:val="00EE2CED"/>
    <w:rsid w:val="00EE3182"/>
    <w:rsid w:val="00EE441C"/>
    <w:rsid w:val="00EE64AB"/>
    <w:rsid w:val="00EE6A06"/>
    <w:rsid w:val="00EE7440"/>
    <w:rsid w:val="00EE7B08"/>
    <w:rsid w:val="00EE7D15"/>
    <w:rsid w:val="00EF22BB"/>
    <w:rsid w:val="00EF4C74"/>
    <w:rsid w:val="00EF50E0"/>
    <w:rsid w:val="00EF5C59"/>
    <w:rsid w:val="00F0485D"/>
    <w:rsid w:val="00F07918"/>
    <w:rsid w:val="00F117EA"/>
    <w:rsid w:val="00F13F2A"/>
    <w:rsid w:val="00F14388"/>
    <w:rsid w:val="00F20774"/>
    <w:rsid w:val="00F27A2D"/>
    <w:rsid w:val="00F3031F"/>
    <w:rsid w:val="00F32952"/>
    <w:rsid w:val="00F33370"/>
    <w:rsid w:val="00F34856"/>
    <w:rsid w:val="00F376BB"/>
    <w:rsid w:val="00F411AE"/>
    <w:rsid w:val="00F437DC"/>
    <w:rsid w:val="00F45590"/>
    <w:rsid w:val="00F45D5E"/>
    <w:rsid w:val="00F46BEF"/>
    <w:rsid w:val="00F4775C"/>
    <w:rsid w:val="00F505BC"/>
    <w:rsid w:val="00F51353"/>
    <w:rsid w:val="00F53EAA"/>
    <w:rsid w:val="00F55D5E"/>
    <w:rsid w:val="00F626B6"/>
    <w:rsid w:val="00F67077"/>
    <w:rsid w:val="00F670E3"/>
    <w:rsid w:val="00F72605"/>
    <w:rsid w:val="00F72A4B"/>
    <w:rsid w:val="00F73457"/>
    <w:rsid w:val="00F753A7"/>
    <w:rsid w:val="00F76815"/>
    <w:rsid w:val="00F77C86"/>
    <w:rsid w:val="00F818F5"/>
    <w:rsid w:val="00F81BD7"/>
    <w:rsid w:val="00F82BF0"/>
    <w:rsid w:val="00F84C97"/>
    <w:rsid w:val="00F84D19"/>
    <w:rsid w:val="00F86937"/>
    <w:rsid w:val="00F871A5"/>
    <w:rsid w:val="00F8784F"/>
    <w:rsid w:val="00F95DAD"/>
    <w:rsid w:val="00F967DD"/>
    <w:rsid w:val="00F968E3"/>
    <w:rsid w:val="00F9699B"/>
    <w:rsid w:val="00FA2355"/>
    <w:rsid w:val="00FA4774"/>
    <w:rsid w:val="00FA4908"/>
    <w:rsid w:val="00FB3A05"/>
    <w:rsid w:val="00FB6BC6"/>
    <w:rsid w:val="00FC23F3"/>
    <w:rsid w:val="00FC6A0D"/>
    <w:rsid w:val="00FD0D76"/>
    <w:rsid w:val="00FD17D3"/>
    <w:rsid w:val="00FD19AA"/>
    <w:rsid w:val="00FE1A93"/>
    <w:rsid w:val="00FE60DA"/>
    <w:rsid w:val="00FE6668"/>
    <w:rsid w:val="00FE7D74"/>
    <w:rsid w:val="00FF3D3A"/>
    <w:rsid w:val="00FF4D27"/>
    <w:rsid w:val="00FF7CF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C82F"/>
  <w15:docId w15:val="{C99EA24D-D3CD-4B83-854A-7D3A9EC5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335"/>
    <w:pPr>
      <w:keepNext/>
      <w:keepLines/>
      <w:numPr>
        <w:numId w:val="5"/>
      </w:numPr>
      <w:spacing w:before="220" w:after="11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E15335"/>
    <w:pPr>
      <w:keepNext/>
      <w:keepLines/>
      <w:numPr>
        <w:ilvl w:val="1"/>
        <w:numId w:val="5"/>
      </w:numPr>
      <w:spacing w:before="220" w:after="110" w:line="240"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next w:val="Normal"/>
    <w:link w:val="Heading4Char"/>
    <w:uiPriority w:val="9"/>
    <w:semiHidden/>
    <w:unhideWhenUsed/>
    <w:qFormat/>
    <w:rsid w:val="00E15335"/>
    <w:pPr>
      <w:keepNext/>
      <w:keepLines/>
      <w:numPr>
        <w:ilvl w:val="3"/>
        <w:numId w:val="5"/>
      </w:numPr>
      <w:spacing w:before="40" w:after="110" w:line="240" w:lineRule="auto"/>
      <w:outlineLvl w:val="3"/>
    </w:pPr>
    <w:rPr>
      <w:rFonts w:asciiTheme="majorHAnsi" w:eastAsiaTheme="majorEastAsia" w:hAnsiTheme="majorHAnsi" w:cstheme="majorBidi"/>
      <w:i/>
      <w:iCs/>
      <w:color w:val="2E74B5" w:themeColor="accent1" w:themeShade="BF"/>
      <w:sz w:val="24"/>
      <w:szCs w:val="24"/>
      <w:lang w:val="en-GB"/>
    </w:rPr>
  </w:style>
  <w:style w:type="paragraph" w:styleId="Heading5">
    <w:name w:val="heading 5"/>
    <w:basedOn w:val="Normal"/>
    <w:next w:val="Normal"/>
    <w:link w:val="Heading5Char"/>
    <w:uiPriority w:val="9"/>
    <w:semiHidden/>
    <w:unhideWhenUsed/>
    <w:qFormat/>
    <w:rsid w:val="00E15335"/>
    <w:pPr>
      <w:keepNext/>
      <w:keepLines/>
      <w:numPr>
        <w:ilvl w:val="4"/>
        <w:numId w:val="5"/>
      </w:numPr>
      <w:spacing w:before="40" w:after="110" w:line="240" w:lineRule="auto"/>
      <w:outlineLvl w:val="4"/>
    </w:pPr>
    <w:rPr>
      <w:rFonts w:asciiTheme="majorHAnsi" w:eastAsiaTheme="majorEastAsia" w:hAnsiTheme="majorHAnsi" w:cstheme="majorBidi"/>
      <w:color w:val="2E74B5" w:themeColor="accent1" w:themeShade="BF"/>
      <w:sz w:val="24"/>
      <w:szCs w:val="24"/>
      <w:lang w:val="en-GB"/>
    </w:rPr>
  </w:style>
  <w:style w:type="paragraph" w:styleId="Heading6">
    <w:name w:val="heading 6"/>
    <w:basedOn w:val="Normal"/>
    <w:next w:val="Normal"/>
    <w:link w:val="Heading6Char"/>
    <w:uiPriority w:val="9"/>
    <w:semiHidden/>
    <w:unhideWhenUsed/>
    <w:qFormat/>
    <w:rsid w:val="00E15335"/>
    <w:pPr>
      <w:keepNext/>
      <w:keepLines/>
      <w:numPr>
        <w:ilvl w:val="5"/>
        <w:numId w:val="5"/>
      </w:numPr>
      <w:spacing w:before="40" w:after="110" w:line="240" w:lineRule="auto"/>
      <w:outlineLvl w:val="5"/>
    </w:pPr>
    <w:rPr>
      <w:rFonts w:asciiTheme="majorHAnsi" w:eastAsiaTheme="majorEastAsia" w:hAnsiTheme="majorHAnsi" w:cstheme="majorBidi"/>
      <w:color w:val="1F4D78" w:themeColor="accent1" w:themeShade="7F"/>
      <w:sz w:val="24"/>
      <w:szCs w:val="24"/>
      <w:lang w:val="en-GB"/>
    </w:rPr>
  </w:style>
  <w:style w:type="paragraph" w:styleId="Heading7">
    <w:name w:val="heading 7"/>
    <w:basedOn w:val="Normal"/>
    <w:next w:val="Normal"/>
    <w:link w:val="Heading7Char"/>
    <w:uiPriority w:val="9"/>
    <w:semiHidden/>
    <w:unhideWhenUsed/>
    <w:qFormat/>
    <w:rsid w:val="00E15335"/>
    <w:pPr>
      <w:keepNext/>
      <w:keepLines/>
      <w:numPr>
        <w:ilvl w:val="6"/>
        <w:numId w:val="5"/>
      </w:numPr>
      <w:spacing w:before="40" w:after="110" w:line="240" w:lineRule="auto"/>
      <w:outlineLvl w:val="6"/>
    </w:pPr>
    <w:rPr>
      <w:rFonts w:asciiTheme="majorHAnsi" w:eastAsiaTheme="majorEastAsia" w:hAnsiTheme="majorHAnsi" w:cstheme="majorBidi"/>
      <w:i/>
      <w:iCs/>
      <w:color w:val="1F4D78" w:themeColor="accent1" w:themeShade="7F"/>
      <w:sz w:val="24"/>
      <w:szCs w:val="24"/>
      <w:lang w:val="en-GB"/>
    </w:rPr>
  </w:style>
  <w:style w:type="paragraph" w:styleId="Heading8">
    <w:name w:val="heading 8"/>
    <w:basedOn w:val="Normal"/>
    <w:next w:val="Normal"/>
    <w:link w:val="Heading8Char"/>
    <w:uiPriority w:val="9"/>
    <w:semiHidden/>
    <w:unhideWhenUsed/>
    <w:qFormat/>
    <w:rsid w:val="00E15335"/>
    <w:pPr>
      <w:keepNext/>
      <w:keepLines/>
      <w:numPr>
        <w:ilvl w:val="7"/>
        <w:numId w:val="5"/>
      </w:numPr>
      <w:spacing w:before="40" w:after="11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E15335"/>
    <w:pPr>
      <w:keepNext/>
      <w:keepLines/>
      <w:numPr>
        <w:ilvl w:val="8"/>
        <w:numId w:val="5"/>
      </w:numPr>
      <w:spacing w:before="40" w:after="11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B"/>
    <w:pPr>
      <w:ind w:left="720"/>
      <w:contextualSpacing/>
    </w:pPr>
  </w:style>
  <w:style w:type="paragraph" w:styleId="FootnoteText">
    <w:name w:val="footnote text"/>
    <w:basedOn w:val="Normal"/>
    <w:link w:val="FootnoteTextChar"/>
    <w:uiPriority w:val="99"/>
    <w:unhideWhenUsed/>
    <w:rsid w:val="006676BD"/>
    <w:pPr>
      <w:spacing w:after="0" w:line="240" w:lineRule="auto"/>
    </w:pPr>
    <w:rPr>
      <w:sz w:val="20"/>
      <w:szCs w:val="20"/>
    </w:rPr>
  </w:style>
  <w:style w:type="character" w:customStyle="1" w:styleId="FootnoteTextChar">
    <w:name w:val="Footnote Text Char"/>
    <w:basedOn w:val="DefaultParagraphFont"/>
    <w:link w:val="FootnoteText"/>
    <w:uiPriority w:val="99"/>
    <w:rsid w:val="006676BD"/>
    <w:rPr>
      <w:sz w:val="20"/>
      <w:szCs w:val="20"/>
    </w:rPr>
  </w:style>
  <w:style w:type="character" w:styleId="FootnoteReference">
    <w:name w:val="footnote reference"/>
    <w:basedOn w:val="DefaultParagraphFont"/>
    <w:uiPriority w:val="99"/>
    <w:semiHidden/>
    <w:unhideWhenUsed/>
    <w:rsid w:val="006676BD"/>
    <w:rPr>
      <w:vertAlign w:val="superscript"/>
    </w:rPr>
  </w:style>
  <w:style w:type="character" w:customStyle="1" w:styleId="apple-converted-space">
    <w:name w:val="apple-converted-space"/>
    <w:basedOn w:val="DefaultParagraphFont"/>
    <w:rsid w:val="005715D4"/>
  </w:style>
  <w:style w:type="character" w:styleId="Emphasis">
    <w:name w:val="Emphasis"/>
    <w:basedOn w:val="DefaultParagraphFont"/>
    <w:uiPriority w:val="20"/>
    <w:qFormat/>
    <w:rsid w:val="005715D4"/>
    <w:rPr>
      <w:i/>
      <w:iCs/>
    </w:rPr>
  </w:style>
  <w:style w:type="paragraph" w:styleId="BalloonText">
    <w:name w:val="Balloon Text"/>
    <w:basedOn w:val="Normal"/>
    <w:link w:val="BalloonTextChar"/>
    <w:uiPriority w:val="99"/>
    <w:semiHidden/>
    <w:unhideWhenUsed/>
    <w:rsid w:val="00725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A2"/>
    <w:rPr>
      <w:rFonts w:ascii="Segoe UI" w:hAnsi="Segoe UI" w:cs="Segoe UI"/>
      <w:sz w:val="18"/>
      <w:szCs w:val="18"/>
    </w:rPr>
  </w:style>
  <w:style w:type="table" w:styleId="TableGrid">
    <w:name w:val="Table Grid"/>
    <w:basedOn w:val="TableNormal"/>
    <w:uiPriority w:val="39"/>
    <w:rsid w:val="00BB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63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27533"/>
    <w:rPr>
      <w:sz w:val="16"/>
      <w:szCs w:val="16"/>
    </w:rPr>
  </w:style>
  <w:style w:type="paragraph" w:styleId="CommentText">
    <w:name w:val="annotation text"/>
    <w:basedOn w:val="Normal"/>
    <w:link w:val="CommentTextChar"/>
    <w:uiPriority w:val="99"/>
    <w:semiHidden/>
    <w:unhideWhenUsed/>
    <w:rsid w:val="00E27533"/>
    <w:pPr>
      <w:spacing w:line="240" w:lineRule="auto"/>
    </w:pPr>
    <w:rPr>
      <w:sz w:val="20"/>
      <w:szCs w:val="20"/>
    </w:rPr>
  </w:style>
  <w:style w:type="character" w:customStyle="1" w:styleId="CommentTextChar">
    <w:name w:val="Comment Text Char"/>
    <w:basedOn w:val="DefaultParagraphFont"/>
    <w:link w:val="CommentText"/>
    <w:uiPriority w:val="99"/>
    <w:semiHidden/>
    <w:rsid w:val="00E27533"/>
    <w:rPr>
      <w:sz w:val="20"/>
      <w:szCs w:val="20"/>
    </w:rPr>
  </w:style>
  <w:style w:type="paragraph" w:styleId="CommentSubject">
    <w:name w:val="annotation subject"/>
    <w:basedOn w:val="CommentText"/>
    <w:next w:val="CommentText"/>
    <w:link w:val="CommentSubjectChar"/>
    <w:uiPriority w:val="99"/>
    <w:semiHidden/>
    <w:unhideWhenUsed/>
    <w:rsid w:val="00E27533"/>
    <w:rPr>
      <w:b/>
      <w:bCs/>
    </w:rPr>
  </w:style>
  <w:style w:type="character" w:customStyle="1" w:styleId="CommentSubjectChar">
    <w:name w:val="Comment Subject Char"/>
    <w:basedOn w:val="CommentTextChar"/>
    <w:link w:val="CommentSubject"/>
    <w:uiPriority w:val="99"/>
    <w:semiHidden/>
    <w:rsid w:val="00E27533"/>
    <w:rPr>
      <w:b/>
      <w:bCs/>
      <w:sz w:val="20"/>
      <w:szCs w:val="20"/>
    </w:rPr>
  </w:style>
  <w:style w:type="character" w:styleId="Hyperlink">
    <w:name w:val="Hyperlink"/>
    <w:basedOn w:val="DefaultParagraphFont"/>
    <w:uiPriority w:val="99"/>
    <w:unhideWhenUsed/>
    <w:rsid w:val="00A20C7C"/>
    <w:rPr>
      <w:color w:val="0563C1" w:themeColor="hyperlink"/>
      <w:u w:val="single"/>
    </w:rPr>
  </w:style>
  <w:style w:type="character" w:customStyle="1" w:styleId="Mention1">
    <w:name w:val="Mention1"/>
    <w:basedOn w:val="DefaultParagraphFont"/>
    <w:uiPriority w:val="99"/>
    <w:semiHidden/>
    <w:unhideWhenUsed/>
    <w:rsid w:val="00A20C7C"/>
    <w:rPr>
      <w:color w:val="2B579A"/>
      <w:shd w:val="clear" w:color="auto" w:fill="E6E6E6"/>
    </w:rPr>
  </w:style>
  <w:style w:type="character" w:customStyle="1" w:styleId="Heading1Char">
    <w:name w:val="Heading 1 Char"/>
    <w:basedOn w:val="DefaultParagraphFont"/>
    <w:link w:val="Heading1"/>
    <w:uiPriority w:val="1"/>
    <w:rsid w:val="00E1533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15335"/>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uiPriority w:val="9"/>
    <w:semiHidden/>
    <w:rsid w:val="00E15335"/>
    <w:rPr>
      <w:rFonts w:asciiTheme="majorHAnsi" w:eastAsiaTheme="majorEastAsia" w:hAnsiTheme="majorHAnsi" w:cstheme="majorBidi"/>
      <w:i/>
      <w:iCs/>
      <w:color w:val="2E74B5" w:themeColor="accent1" w:themeShade="BF"/>
      <w:sz w:val="24"/>
      <w:szCs w:val="24"/>
      <w:lang w:val="en-GB"/>
    </w:rPr>
  </w:style>
  <w:style w:type="character" w:customStyle="1" w:styleId="Heading5Char">
    <w:name w:val="Heading 5 Char"/>
    <w:basedOn w:val="DefaultParagraphFont"/>
    <w:link w:val="Heading5"/>
    <w:uiPriority w:val="9"/>
    <w:semiHidden/>
    <w:rsid w:val="00E15335"/>
    <w:rPr>
      <w:rFonts w:asciiTheme="majorHAnsi" w:eastAsiaTheme="majorEastAsia" w:hAnsiTheme="majorHAnsi" w:cstheme="majorBidi"/>
      <w:color w:val="2E74B5" w:themeColor="accent1" w:themeShade="BF"/>
      <w:sz w:val="24"/>
      <w:szCs w:val="24"/>
      <w:lang w:val="en-GB"/>
    </w:rPr>
  </w:style>
  <w:style w:type="character" w:customStyle="1" w:styleId="Heading6Char">
    <w:name w:val="Heading 6 Char"/>
    <w:basedOn w:val="DefaultParagraphFont"/>
    <w:link w:val="Heading6"/>
    <w:uiPriority w:val="9"/>
    <w:semiHidden/>
    <w:rsid w:val="00E15335"/>
    <w:rPr>
      <w:rFonts w:asciiTheme="majorHAnsi" w:eastAsiaTheme="majorEastAsia" w:hAnsiTheme="majorHAnsi" w:cstheme="majorBidi"/>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E15335"/>
    <w:rPr>
      <w:rFonts w:asciiTheme="majorHAnsi" w:eastAsiaTheme="majorEastAsia" w:hAnsiTheme="majorHAnsi" w:cstheme="majorBidi"/>
      <w:i/>
      <w:iCs/>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E1533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5335"/>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qFormat/>
    <w:rsid w:val="00E15335"/>
    <w:pPr>
      <w:spacing w:before="110" w:after="11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E15335"/>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E15335"/>
    <w:pPr>
      <w:spacing w:line="259" w:lineRule="auto"/>
      <w:outlineLvl w:val="9"/>
    </w:pPr>
    <w:rPr>
      <w:lang w:val="en-US"/>
    </w:rPr>
  </w:style>
  <w:style w:type="paragraph" w:styleId="TOC1">
    <w:name w:val="toc 1"/>
    <w:basedOn w:val="Normal"/>
    <w:next w:val="Normal"/>
    <w:autoRedefine/>
    <w:uiPriority w:val="39"/>
    <w:unhideWhenUsed/>
    <w:rsid w:val="004755C6"/>
    <w:pPr>
      <w:tabs>
        <w:tab w:val="left" w:pos="440"/>
        <w:tab w:val="right" w:leader="dot" w:pos="9725"/>
      </w:tabs>
      <w:spacing w:before="110" w:after="100" w:line="240" w:lineRule="auto"/>
    </w:pPr>
    <w:rPr>
      <w:sz w:val="28"/>
      <w:szCs w:val="28"/>
      <w:lang w:val="en-GB"/>
    </w:rPr>
  </w:style>
  <w:style w:type="paragraph" w:styleId="TableofFigures">
    <w:name w:val="table of figures"/>
    <w:basedOn w:val="Normal"/>
    <w:next w:val="Normal"/>
    <w:autoRedefine/>
    <w:uiPriority w:val="99"/>
    <w:unhideWhenUsed/>
    <w:rsid w:val="00E15335"/>
    <w:pPr>
      <w:spacing w:after="0" w:line="240" w:lineRule="auto"/>
    </w:pPr>
    <w:rPr>
      <w:sz w:val="20"/>
      <w:szCs w:val="24"/>
      <w:lang w:val="en-GB"/>
    </w:rPr>
  </w:style>
  <w:style w:type="paragraph" w:styleId="Caption">
    <w:name w:val="caption"/>
    <w:aliases w:val="Table title,Figure Head,quarterly chart caption,quarterly chart caption Char Char,Caption Char Char Char,Caption1 Char,Caption1,WB Caption,Caption Char1,Caption Char Char,Caption Char1 Char Char,Caption Char1 Char Char Char Char"/>
    <w:basedOn w:val="Normal"/>
    <w:next w:val="Normal"/>
    <w:link w:val="CaptionChar"/>
    <w:uiPriority w:val="35"/>
    <w:unhideWhenUsed/>
    <w:qFormat/>
    <w:rsid w:val="00E15335"/>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BE0541"/>
    <w:pPr>
      <w:spacing w:after="100"/>
      <w:ind w:left="220"/>
    </w:pPr>
  </w:style>
  <w:style w:type="paragraph" w:styleId="HTMLPreformatted">
    <w:name w:val="HTML Preformatted"/>
    <w:basedOn w:val="Normal"/>
    <w:link w:val="HTMLPreformattedChar"/>
    <w:uiPriority w:val="99"/>
    <w:unhideWhenUsed/>
    <w:rsid w:val="00BC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C3AB7"/>
    <w:rPr>
      <w:rFonts w:ascii="Courier New" w:eastAsia="Times New Roman" w:hAnsi="Courier New" w:cs="Courier New"/>
      <w:sz w:val="20"/>
      <w:szCs w:val="20"/>
      <w:lang w:val="en-US"/>
    </w:rPr>
  </w:style>
  <w:style w:type="character" w:customStyle="1" w:styleId="CaptionChar">
    <w:name w:val="Caption Char"/>
    <w:aliases w:val="Table title Char,Figure Head Char,quarterly chart caption Char,quarterly chart caption Char Char Char,Caption Char Char Char Char,Caption1 Char Char,Caption1 Char1,WB Caption Char,Caption Char1 Char,Caption Char Char Char1"/>
    <w:link w:val="Caption"/>
    <w:uiPriority w:val="35"/>
    <w:rsid w:val="00262A0D"/>
    <w:rPr>
      <w:i/>
      <w:iCs/>
      <w:color w:val="44546A" w:themeColor="text2"/>
      <w:sz w:val="18"/>
      <w:szCs w:val="18"/>
    </w:rPr>
  </w:style>
  <w:style w:type="character" w:styleId="IntenseReference">
    <w:name w:val="Intense Reference"/>
    <w:basedOn w:val="DefaultParagraphFont"/>
    <w:uiPriority w:val="32"/>
    <w:qFormat/>
    <w:rsid w:val="00C814FF"/>
    <w:rPr>
      <w:b/>
      <w:bCs/>
      <w:smallCaps/>
      <w:color w:val="5B9BD5" w:themeColor="accent1"/>
      <w:spacing w:val="5"/>
    </w:rPr>
  </w:style>
  <w:style w:type="character" w:customStyle="1" w:styleId="UnresolvedMention1">
    <w:name w:val="Unresolved Mention1"/>
    <w:basedOn w:val="DefaultParagraphFont"/>
    <w:uiPriority w:val="99"/>
    <w:semiHidden/>
    <w:unhideWhenUsed/>
    <w:rsid w:val="00217A57"/>
    <w:rPr>
      <w:color w:val="808080"/>
      <w:shd w:val="clear" w:color="auto" w:fill="E6E6E6"/>
    </w:rPr>
  </w:style>
  <w:style w:type="paragraph" w:customStyle="1" w:styleId="Default">
    <w:name w:val="Default"/>
    <w:rsid w:val="00EA4A94"/>
    <w:pPr>
      <w:autoSpaceDE w:val="0"/>
      <w:autoSpaceDN w:val="0"/>
      <w:adjustRightInd w:val="0"/>
      <w:spacing w:after="0" w:line="240" w:lineRule="auto"/>
    </w:pPr>
    <w:rPr>
      <w:rFonts w:ascii="Garamond" w:hAnsi="Garamond" w:cs="Garamond"/>
      <w:color w:val="000000"/>
      <w:sz w:val="24"/>
      <w:szCs w:val="24"/>
      <w:lang w:val="en-US"/>
    </w:rPr>
  </w:style>
  <w:style w:type="paragraph" w:styleId="Header">
    <w:name w:val="header"/>
    <w:basedOn w:val="Normal"/>
    <w:link w:val="HeaderChar"/>
    <w:uiPriority w:val="99"/>
    <w:unhideWhenUsed/>
    <w:rsid w:val="005A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48A"/>
  </w:style>
  <w:style w:type="paragraph" w:styleId="Footer">
    <w:name w:val="footer"/>
    <w:basedOn w:val="Normal"/>
    <w:link w:val="FooterChar"/>
    <w:uiPriority w:val="99"/>
    <w:unhideWhenUsed/>
    <w:rsid w:val="005A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48A"/>
  </w:style>
  <w:style w:type="paragraph" w:styleId="Revision">
    <w:name w:val="Revision"/>
    <w:hidden/>
    <w:uiPriority w:val="99"/>
    <w:semiHidden/>
    <w:rsid w:val="006C6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098">
      <w:bodyDiv w:val="1"/>
      <w:marLeft w:val="0"/>
      <w:marRight w:val="0"/>
      <w:marTop w:val="0"/>
      <w:marBottom w:val="0"/>
      <w:divBdr>
        <w:top w:val="none" w:sz="0" w:space="0" w:color="auto"/>
        <w:left w:val="none" w:sz="0" w:space="0" w:color="auto"/>
        <w:bottom w:val="none" w:sz="0" w:space="0" w:color="auto"/>
        <w:right w:val="none" w:sz="0" w:space="0" w:color="auto"/>
      </w:divBdr>
    </w:div>
    <w:div w:id="331296231">
      <w:bodyDiv w:val="1"/>
      <w:marLeft w:val="0"/>
      <w:marRight w:val="0"/>
      <w:marTop w:val="0"/>
      <w:marBottom w:val="0"/>
      <w:divBdr>
        <w:top w:val="none" w:sz="0" w:space="0" w:color="auto"/>
        <w:left w:val="none" w:sz="0" w:space="0" w:color="auto"/>
        <w:bottom w:val="none" w:sz="0" w:space="0" w:color="auto"/>
        <w:right w:val="none" w:sz="0" w:space="0" w:color="auto"/>
      </w:divBdr>
    </w:div>
    <w:div w:id="572011848">
      <w:bodyDiv w:val="1"/>
      <w:marLeft w:val="0"/>
      <w:marRight w:val="0"/>
      <w:marTop w:val="0"/>
      <w:marBottom w:val="0"/>
      <w:divBdr>
        <w:top w:val="none" w:sz="0" w:space="0" w:color="auto"/>
        <w:left w:val="none" w:sz="0" w:space="0" w:color="auto"/>
        <w:bottom w:val="none" w:sz="0" w:space="0" w:color="auto"/>
        <w:right w:val="none" w:sz="0" w:space="0" w:color="auto"/>
      </w:divBdr>
    </w:div>
    <w:div w:id="1197428772">
      <w:bodyDiv w:val="1"/>
      <w:marLeft w:val="0"/>
      <w:marRight w:val="0"/>
      <w:marTop w:val="0"/>
      <w:marBottom w:val="0"/>
      <w:divBdr>
        <w:top w:val="none" w:sz="0" w:space="0" w:color="auto"/>
        <w:left w:val="none" w:sz="0" w:space="0" w:color="auto"/>
        <w:bottom w:val="none" w:sz="0" w:space="0" w:color="auto"/>
        <w:right w:val="none" w:sz="0" w:space="0" w:color="auto"/>
      </w:divBdr>
    </w:div>
    <w:div w:id="1219978515">
      <w:bodyDiv w:val="1"/>
      <w:marLeft w:val="0"/>
      <w:marRight w:val="0"/>
      <w:marTop w:val="0"/>
      <w:marBottom w:val="0"/>
      <w:divBdr>
        <w:top w:val="none" w:sz="0" w:space="0" w:color="auto"/>
        <w:left w:val="none" w:sz="0" w:space="0" w:color="auto"/>
        <w:bottom w:val="none" w:sz="0" w:space="0" w:color="auto"/>
        <w:right w:val="none" w:sz="0" w:space="0" w:color="auto"/>
      </w:divBdr>
      <w:divsChild>
        <w:div w:id="1486165285">
          <w:marLeft w:val="0"/>
          <w:marRight w:val="0"/>
          <w:marTop w:val="0"/>
          <w:marBottom w:val="0"/>
          <w:divBdr>
            <w:top w:val="none" w:sz="0" w:space="0" w:color="auto"/>
            <w:left w:val="none" w:sz="0" w:space="0" w:color="auto"/>
            <w:bottom w:val="none" w:sz="0" w:space="0" w:color="auto"/>
            <w:right w:val="none" w:sz="0" w:space="0" w:color="auto"/>
          </w:divBdr>
          <w:divsChild>
            <w:div w:id="734402814">
              <w:marLeft w:val="0"/>
              <w:marRight w:val="0"/>
              <w:marTop w:val="0"/>
              <w:marBottom w:val="0"/>
              <w:divBdr>
                <w:top w:val="none" w:sz="0" w:space="0" w:color="auto"/>
                <w:left w:val="none" w:sz="0" w:space="0" w:color="auto"/>
                <w:bottom w:val="none" w:sz="0" w:space="0" w:color="auto"/>
                <w:right w:val="none" w:sz="0" w:space="0" w:color="auto"/>
              </w:divBdr>
              <w:divsChild>
                <w:div w:id="1412238588">
                  <w:marLeft w:val="0"/>
                  <w:marRight w:val="0"/>
                  <w:marTop w:val="0"/>
                  <w:marBottom w:val="0"/>
                  <w:divBdr>
                    <w:top w:val="none" w:sz="0" w:space="0" w:color="auto"/>
                    <w:left w:val="none" w:sz="0" w:space="0" w:color="auto"/>
                    <w:bottom w:val="none" w:sz="0" w:space="0" w:color="auto"/>
                    <w:right w:val="none" w:sz="0" w:space="0" w:color="auto"/>
                  </w:divBdr>
                  <w:divsChild>
                    <w:div w:id="62798794">
                      <w:marLeft w:val="0"/>
                      <w:marRight w:val="0"/>
                      <w:marTop w:val="0"/>
                      <w:marBottom w:val="0"/>
                      <w:divBdr>
                        <w:top w:val="none" w:sz="0" w:space="0" w:color="auto"/>
                        <w:left w:val="none" w:sz="0" w:space="0" w:color="auto"/>
                        <w:bottom w:val="none" w:sz="0" w:space="0" w:color="auto"/>
                        <w:right w:val="none" w:sz="0" w:space="0" w:color="auto"/>
                      </w:divBdr>
                      <w:divsChild>
                        <w:div w:id="2038040987">
                          <w:marLeft w:val="0"/>
                          <w:marRight w:val="0"/>
                          <w:marTop w:val="0"/>
                          <w:marBottom w:val="0"/>
                          <w:divBdr>
                            <w:top w:val="none" w:sz="0" w:space="0" w:color="auto"/>
                            <w:left w:val="none" w:sz="0" w:space="0" w:color="auto"/>
                            <w:bottom w:val="none" w:sz="0" w:space="0" w:color="auto"/>
                            <w:right w:val="none" w:sz="0" w:space="0" w:color="auto"/>
                          </w:divBdr>
                          <w:divsChild>
                            <w:div w:id="1343581768">
                              <w:marLeft w:val="15"/>
                              <w:marRight w:val="195"/>
                              <w:marTop w:val="0"/>
                              <w:marBottom w:val="0"/>
                              <w:divBdr>
                                <w:top w:val="none" w:sz="0" w:space="0" w:color="auto"/>
                                <w:left w:val="none" w:sz="0" w:space="0" w:color="auto"/>
                                <w:bottom w:val="none" w:sz="0" w:space="0" w:color="auto"/>
                                <w:right w:val="none" w:sz="0" w:space="0" w:color="auto"/>
                              </w:divBdr>
                              <w:divsChild>
                                <w:div w:id="864367445">
                                  <w:marLeft w:val="0"/>
                                  <w:marRight w:val="0"/>
                                  <w:marTop w:val="0"/>
                                  <w:marBottom w:val="0"/>
                                  <w:divBdr>
                                    <w:top w:val="none" w:sz="0" w:space="0" w:color="auto"/>
                                    <w:left w:val="none" w:sz="0" w:space="0" w:color="auto"/>
                                    <w:bottom w:val="none" w:sz="0" w:space="0" w:color="auto"/>
                                    <w:right w:val="none" w:sz="0" w:space="0" w:color="auto"/>
                                  </w:divBdr>
                                  <w:divsChild>
                                    <w:div w:id="87117484">
                                      <w:marLeft w:val="0"/>
                                      <w:marRight w:val="0"/>
                                      <w:marTop w:val="0"/>
                                      <w:marBottom w:val="0"/>
                                      <w:divBdr>
                                        <w:top w:val="none" w:sz="0" w:space="0" w:color="auto"/>
                                        <w:left w:val="none" w:sz="0" w:space="0" w:color="auto"/>
                                        <w:bottom w:val="none" w:sz="0" w:space="0" w:color="auto"/>
                                        <w:right w:val="none" w:sz="0" w:space="0" w:color="auto"/>
                                      </w:divBdr>
                                      <w:divsChild>
                                        <w:div w:id="2052264528">
                                          <w:marLeft w:val="0"/>
                                          <w:marRight w:val="0"/>
                                          <w:marTop w:val="0"/>
                                          <w:marBottom w:val="0"/>
                                          <w:divBdr>
                                            <w:top w:val="none" w:sz="0" w:space="0" w:color="auto"/>
                                            <w:left w:val="none" w:sz="0" w:space="0" w:color="auto"/>
                                            <w:bottom w:val="none" w:sz="0" w:space="0" w:color="auto"/>
                                            <w:right w:val="none" w:sz="0" w:space="0" w:color="auto"/>
                                          </w:divBdr>
                                          <w:divsChild>
                                            <w:div w:id="701827239">
                                              <w:marLeft w:val="0"/>
                                              <w:marRight w:val="0"/>
                                              <w:marTop w:val="0"/>
                                              <w:marBottom w:val="0"/>
                                              <w:divBdr>
                                                <w:top w:val="none" w:sz="0" w:space="0" w:color="auto"/>
                                                <w:left w:val="none" w:sz="0" w:space="0" w:color="auto"/>
                                                <w:bottom w:val="none" w:sz="0" w:space="0" w:color="auto"/>
                                                <w:right w:val="none" w:sz="0" w:space="0" w:color="auto"/>
                                              </w:divBdr>
                                              <w:divsChild>
                                                <w:div w:id="199436035">
                                                  <w:marLeft w:val="0"/>
                                                  <w:marRight w:val="0"/>
                                                  <w:marTop w:val="0"/>
                                                  <w:marBottom w:val="0"/>
                                                  <w:divBdr>
                                                    <w:top w:val="none" w:sz="0" w:space="0" w:color="auto"/>
                                                    <w:left w:val="none" w:sz="0" w:space="0" w:color="auto"/>
                                                    <w:bottom w:val="none" w:sz="0" w:space="0" w:color="auto"/>
                                                    <w:right w:val="none" w:sz="0" w:space="0" w:color="auto"/>
                                                  </w:divBdr>
                                                  <w:divsChild>
                                                    <w:div w:id="1152914257">
                                                      <w:marLeft w:val="0"/>
                                                      <w:marRight w:val="0"/>
                                                      <w:marTop w:val="0"/>
                                                      <w:marBottom w:val="0"/>
                                                      <w:divBdr>
                                                        <w:top w:val="none" w:sz="0" w:space="0" w:color="auto"/>
                                                        <w:left w:val="none" w:sz="0" w:space="0" w:color="auto"/>
                                                        <w:bottom w:val="none" w:sz="0" w:space="0" w:color="auto"/>
                                                        <w:right w:val="none" w:sz="0" w:space="0" w:color="auto"/>
                                                      </w:divBdr>
                                                      <w:divsChild>
                                                        <w:div w:id="2095086402">
                                                          <w:marLeft w:val="0"/>
                                                          <w:marRight w:val="0"/>
                                                          <w:marTop w:val="0"/>
                                                          <w:marBottom w:val="0"/>
                                                          <w:divBdr>
                                                            <w:top w:val="none" w:sz="0" w:space="0" w:color="auto"/>
                                                            <w:left w:val="none" w:sz="0" w:space="0" w:color="auto"/>
                                                            <w:bottom w:val="none" w:sz="0" w:space="0" w:color="auto"/>
                                                            <w:right w:val="none" w:sz="0" w:space="0" w:color="auto"/>
                                                          </w:divBdr>
                                                          <w:divsChild>
                                                            <w:div w:id="946079064">
                                                              <w:marLeft w:val="0"/>
                                                              <w:marRight w:val="0"/>
                                                              <w:marTop w:val="0"/>
                                                              <w:marBottom w:val="0"/>
                                                              <w:divBdr>
                                                                <w:top w:val="none" w:sz="0" w:space="0" w:color="auto"/>
                                                                <w:left w:val="none" w:sz="0" w:space="0" w:color="auto"/>
                                                                <w:bottom w:val="none" w:sz="0" w:space="0" w:color="auto"/>
                                                                <w:right w:val="none" w:sz="0" w:space="0" w:color="auto"/>
                                                              </w:divBdr>
                                                              <w:divsChild>
                                                                <w:div w:id="1566407236">
                                                                  <w:marLeft w:val="0"/>
                                                                  <w:marRight w:val="0"/>
                                                                  <w:marTop w:val="0"/>
                                                                  <w:marBottom w:val="0"/>
                                                                  <w:divBdr>
                                                                    <w:top w:val="none" w:sz="0" w:space="0" w:color="auto"/>
                                                                    <w:left w:val="none" w:sz="0" w:space="0" w:color="auto"/>
                                                                    <w:bottom w:val="none" w:sz="0" w:space="0" w:color="auto"/>
                                                                    <w:right w:val="none" w:sz="0" w:space="0" w:color="auto"/>
                                                                  </w:divBdr>
                                                                  <w:divsChild>
                                                                    <w:div w:id="1717271823">
                                                                      <w:marLeft w:val="405"/>
                                                                      <w:marRight w:val="0"/>
                                                                      <w:marTop w:val="0"/>
                                                                      <w:marBottom w:val="0"/>
                                                                      <w:divBdr>
                                                                        <w:top w:val="none" w:sz="0" w:space="0" w:color="auto"/>
                                                                        <w:left w:val="none" w:sz="0" w:space="0" w:color="auto"/>
                                                                        <w:bottom w:val="none" w:sz="0" w:space="0" w:color="auto"/>
                                                                        <w:right w:val="none" w:sz="0" w:space="0" w:color="auto"/>
                                                                      </w:divBdr>
                                                                      <w:divsChild>
                                                                        <w:div w:id="982347536">
                                                                          <w:marLeft w:val="0"/>
                                                                          <w:marRight w:val="0"/>
                                                                          <w:marTop w:val="0"/>
                                                                          <w:marBottom w:val="0"/>
                                                                          <w:divBdr>
                                                                            <w:top w:val="none" w:sz="0" w:space="0" w:color="auto"/>
                                                                            <w:left w:val="none" w:sz="0" w:space="0" w:color="auto"/>
                                                                            <w:bottom w:val="none" w:sz="0" w:space="0" w:color="auto"/>
                                                                            <w:right w:val="none" w:sz="0" w:space="0" w:color="auto"/>
                                                                          </w:divBdr>
                                                                          <w:divsChild>
                                                                            <w:div w:id="791628740">
                                                                              <w:marLeft w:val="0"/>
                                                                              <w:marRight w:val="0"/>
                                                                              <w:marTop w:val="0"/>
                                                                              <w:marBottom w:val="0"/>
                                                                              <w:divBdr>
                                                                                <w:top w:val="none" w:sz="0" w:space="0" w:color="auto"/>
                                                                                <w:left w:val="none" w:sz="0" w:space="0" w:color="auto"/>
                                                                                <w:bottom w:val="none" w:sz="0" w:space="0" w:color="auto"/>
                                                                                <w:right w:val="none" w:sz="0" w:space="0" w:color="auto"/>
                                                                              </w:divBdr>
                                                                              <w:divsChild>
                                                                                <w:div w:id="1012487031">
                                                                                  <w:marLeft w:val="0"/>
                                                                                  <w:marRight w:val="0"/>
                                                                                  <w:marTop w:val="0"/>
                                                                                  <w:marBottom w:val="0"/>
                                                                                  <w:divBdr>
                                                                                    <w:top w:val="none" w:sz="0" w:space="0" w:color="auto"/>
                                                                                    <w:left w:val="none" w:sz="0" w:space="0" w:color="auto"/>
                                                                                    <w:bottom w:val="none" w:sz="0" w:space="0" w:color="auto"/>
                                                                                    <w:right w:val="none" w:sz="0" w:space="0" w:color="auto"/>
                                                                                  </w:divBdr>
                                                                                  <w:divsChild>
                                                                                    <w:div w:id="777871024">
                                                                                      <w:marLeft w:val="0"/>
                                                                                      <w:marRight w:val="0"/>
                                                                                      <w:marTop w:val="0"/>
                                                                                      <w:marBottom w:val="0"/>
                                                                                      <w:divBdr>
                                                                                        <w:top w:val="none" w:sz="0" w:space="0" w:color="auto"/>
                                                                                        <w:left w:val="none" w:sz="0" w:space="0" w:color="auto"/>
                                                                                        <w:bottom w:val="none" w:sz="0" w:space="0" w:color="auto"/>
                                                                                        <w:right w:val="none" w:sz="0" w:space="0" w:color="auto"/>
                                                                                      </w:divBdr>
                                                                                      <w:divsChild>
                                                                                        <w:div w:id="797189317">
                                                                                          <w:marLeft w:val="0"/>
                                                                                          <w:marRight w:val="0"/>
                                                                                          <w:marTop w:val="0"/>
                                                                                          <w:marBottom w:val="0"/>
                                                                                          <w:divBdr>
                                                                                            <w:top w:val="none" w:sz="0" w:space="0" w:color="auto"/>
                                                                                            <w:left w:val="none" w:sz="0" w:space="0" w:color="auto"/>
                                                                                            <w:bottom w:val="none" w:sz="0" w:space="0" w:color="auto"/>
                                                                                            <w:right w:val="none" w:sz="0" w:space="0" w:color="auto"/>
                                                                                          </w:divBdr>
                                                                                          <w:divsChild>
                                                                                            <w:div w:id="1586567541">
                                                                                              <w:marLeft w:val="0"/>
                                                                                              <w:marRight w:val="0"/>
                                                                                              <w:marTop w:val="0"/>
                                                                                              <w:marBottom w:val="0"/>
                                                                                              <w:divBdr>
                                                                                                <w:top w:val="none" w:sz="0" w:space="0" w:color="auto"/>
                                                                                                <w:left w:val="none" w:sz="0" w:space="0" w:color="auto"/>
                                                                                                <w:bottom w:val="none" w:sz="0" w:space="0" w:color="auto"/>
                                                                                                <w:right w:val="none" w:sz="0" w:space="0" w:color="auto"/>
                                                                                              </w:divBdr>
                                                                                              <w:divsChild>
                                                                                                <w:div w:id="936256313">
                                                                                                  <w:marLeft w:val="0"/>
                                                                                                  <w:marRight w:val="0"/>
                                                                                                  <w:marTop w:val="15"/>
                                                                                                  <w:marBottom w:val="0"/>
                                                                                                  <w:divBdr>
                                                                                                    <w:top w:val="none" w:sz="0" w:space="0" w:color="auto"/>
                                                                                                    <w:left w:val="none" w:sz="0" w:space="0" w:color="auto"/>
                                                                                                    <w:bottom w:val="single" w:sz="6" w:space="15" w:color="auto"/>
                                                                                                    <w:right w:val="none" w:sz="0" w:space="0" w:color="auto"/>
                                                                                                  </w:divBdr>
                                                                                                  <w:divsChild>
                                                                                                    <w:div w:id="1943563313">
                                                                                                      <w:marLeft w:val="0"/>
                                                                                                      <w:marRight w:val="0"/>
                                                                                                      <w:marTop w:val="180"/>
                                                                                                      <w:marBottom w:val="0"/>
                                                                                                      <w:divBdr>
                                                                                                        <w:top w:val="none" w:sz="0" w:space="0" w:color="auto"/>
                                                                                                        <w:left w:val="none" w:sz="0" w:space="0" w:color="auto"/>
                                                                                                        <w:bottom w:val="none" w:sz="0" w:space="0" w:color="auto"/>
                                                                                                        <w:right w:val="none" w:sz="0" w:space="0" w:color="auto"/>
                                                                                                      </w:divBdr>
                                                                                                      <w:divsChild>
                                                                                                        <w:div w:id="1951470166">
                                                                                                          <w:marLeft w:val="0"/>
                                                                                                          <w:marRight w:val="0"/>
                                                                                                          <w:marTop w:val="0"/>
                                                                                                          <w:marBottom w:val="0"/>
                                                                                                          <w:divBdr>
                                                                                                            <w:top w:val="none" w:sz="0" w:space="0" w:color="auto"/>
                                                                                                            <w:left w:val="none" w:sz="0" w:space="0" w:color="auto"/>
                                                                                                            <w:bottom w:val="none" w:sz="0" w:space="0" w:color="auto"/>
                                                                                                            <w:right w:val="none" w:sz="0" w:space="0" w:color="auto"/>
                                                                                                          </w:divBdr>
                                                                                                          <w:divsChild>
                                                                                                            <w:div w:id="902985566">
                                                                                                              <w:marLeft w:val="0"/>
                                                                                                              <w:marRight w:val="0"/>
                                                                                                              <w:marTop w:val="0"/>
                                                                                                              <w:marBottom w:val="0"/>
                                                                                                              <w:divBdr>
                                                                                                                <w:top w:val="none" w:sz="0" w:space="0" w:color="auto"/>
                                                                                                                <w:left w:val="none" w:sz="0" w:space="0" w:color="auto"/>
                                                                                                                <w:bottom w:val="none" w:sz="0" w:space="0" w:color="auto"/>
                                                                                                                <w:right w:val="none" w:sz="0" w:space="0" w:color="auto"/>
                                                                                                              </w:divBdr>
                                                                                                              <w:divsChild>
                                                                                                                <w:div w:id="879588645">
                                                                                                                  <w:marLeft w:val="0"/>
                                                                                                                  <w:marRight w:val="0"/>
                                                                                                                  <w:marTop w:val="30"/>
                                                                                                                  <w:marBottom w:val="0"/>
                                                                                                                  <w:divBdr>
                                                                                                                    <w:top w:val="none" w:sz="0" w:space="0" w:color="auto"/>
                                                                                                                    <w:left w:val="none" w:sz="0" w:space="0" w:color="auto"/>
                                                                                                                    <w:bottom w:val="none" w:sz="0" w:space="0" w:color="auto"/>
                                                                                                                    <w:right w:val="none" w:sz="0" w:space="0" w:color="auto"/>
                                                                                                                  </w:divBdr>
                                                                                                                  <w:divsChild>
                                                                                                                    <w:div w:id="971791635">
                                                                                                                      <w:marLeft w:val="0"/>
                                                                                                                      <w:marRight w:val="0"/>
                                                                                                                      <w:marTop w:val="0"/>
                                                                                                                      <w:marBottom w:val="0"/>
                                                                                                                      <w:divBdr>
                                                                                                                        <w:top w:val="none" w:sz="0" w:space="0" w:color="auto"/>
                                                                                                                        <w:left w:val="none" w:sz="0" w:space="0" w:color="auto"/>
                                                                                                                        <w:bottom w:val="none" w:sz="0" w:space="0" w:color="auto"/>
                                                                                                                        <w:right w:val="none" w:sz="0" w:space="0" w:color="auto"/>
                                                                                                                      </w:divBdr>
                                                                                                                      <w:divsChild>
                                                                                                                        <w:div w:id="1619408484">
                                                                                                                          <w:marLeft w:val="0"/>
                                                                                                                          <w:marRight w:val="0"/>
                                                                                                                          <w:marTop w:val="0"/>
                                                                                                                          <w:marBottom w:val="0"/>
                                                                                                                          <w:divBdr>
                                                                                                                            <w:top w:val="none" w:sz="0" w:space="0" w:color="auto"/>
                                                                                                                            <w:left w:val="none" w:sz="0" w:space="0" w:color="auto"/>
                                                                                                                            <w:bottom w:val="none" w:sz="0" w:space="0" w:color="auto"/>
                                                                                                                            <w:right w:val="none" w:sz="0" w:space="0" w:color="auto"/>
                                                                                                                          </w:divBdr>
                                                                                                                          <w:divsChild>
                                                                                                                            <w:div w:id="2122874474">
                                                                                                                              <w:marLeft w:val="0"/>
                                                                                                                              <w:marRight w:val="0"/>
                                                                                                                              <w:marTop w:val="0"/>
                                                                                                                              <w:marBottom w:val="0"/>
                                                                                                                              <w:divBdr>
                                                                                                                                <w:top w:val="none" w:sz="0" w:space="0" w:color="auto"/>
                                                                                                                                <w:left w:val="none" w:sz="0" w:space="0" w:color="auto"/>
                                                                                                                                <w:bottom w:val="none" w:sz="0" w:space="0" w:color="auto"/>
                                                                                                                                <w:right w:val="none" w:sz="0" w:space="0" w:color="auto"/>
                                                                                                                              </w:divBdr>
                                                                                                                              <w:divsChild>
                                                                                                                                <w:div w:id="1797094539">
                                                                                                                                  <w:marLeft w:val="0"/>
                                                                                                                                  <w:marRight w:val="0"/>
                                                                                                                                  <w:marTop w:val="0"/>
                                                                                                                                  <w:marBottom w:val="0"/>
                                                                                                                                  <w:divBdr>
                                                                                                                                    <w:top w:val="none" w:sz="0" w:space="0" w:color="auto"/>
                                                                                                                                    <w:left w:val="none" w:sz="0" w:space="0" w:color="auto"/>
                                                                                                                                    <w:bottom w:val="none" w:sz="0" w:space="0" w:color="auto"/>
                                                                                                                                    <w:right w:val="none" w:sz="0" w:space="0" w:color="auto"/>
                                                                                                                                  </w:divBdr>
                                                                                                                                  <w:divsChild>
                                                                                                                                    <w:div w:id="339355090">
                                                                                                                                      <w:marLeft w:val="0"/>
                                                                                                                                      <w:marRight w:val="0"/>
                                                                                                                                      <w:marTop w:val="0"/>
                                                                                                                                      <w:marBottom w:val="0"/>
                                                                                                                                      <w:divBdr>
                                                                                                                                        <w:top w:val="none" w:sz="0" w:space="0" w:color="auto"/>
                                                                                                                                        <w:left w:val="none" w:sz="0" w:space="0" w:color="auto"/>
                                                                                                                                        <w:bottom w:val="none" w:sz="0" w:space="0" w:color="auto"/>
                                                                                                                                        <w:right w:val="none" w:sz="0" w:space="0" w:color="auto"/>
                                                                                                                                      </w:divBdr>
                                                                                                                                      <w:divsChild>
                                                                                                                                        <w:div w:id="801266605">
                                                                                                                                          <w:marLeft w:val="0"/>
                                                                                                                                          <w:marRight w:val="0"/>
                                                                                                                                          <w:marTop w:val="0"/>
                                                                                                                                          <w:marBottom w:val="160"/>
                                                                                                                                          <w:divBdr>
                                                                                                                                            <w:top w:val="none" w:sz="0" w:space="0" w:color="auto"/>
                                                                                                                                            <w:left w:val="none" w:sz="0" w:space="0" w:color="auto"/>
                                                                                                                                            <w:bottom w:val="none" w:sz="0" w:space="0" w:color="auto"/>
                                                                                                                                            <w:right w:val="none" w:sz="0" w:space="0" w:color="auto"/>
                                                                                                                                          </w:divBdr>
                                                                                                                                          <w:divsChild>
                                                                                                                                            <w:div w:id="152530713">
                                                                                                                                              <w:marLeft w:val="0"/>
                                                                                                                                              <w:marRight w:val="0"/>
                                                                                                                                              <w:marTop w:val="0"/>
                                                                                                                                              <w:marBottom w:val="0"/>
                                                                                                                                              <w:divBdr>
                                                                                                                                                <w:top w:val="none" w:sz="0" w:space="0" w:color="auto"/>
                                                                                                                                                <w:left w:val="none" w:sz="0" w:space="0" w:color="auto"/>
                                                                                                                                                <w:bottom w:val="none" w:sz="0" w:space="0" w:color="auto"/>
                                                                                                                                                <w:right w:val="none" w:sz="0" w:space="0" w:color="auto"/>
                                                                                                                                              </w:divBdr>
                                                                                                                                            </w:div>
                                                                                                                                            <w:div w:id="621690867">
                                                                                                                                              <w:marLeft w:val="0"/>
                                                                                                                                              <w:marRight w:val="0"/>
                                                                                                                                              <w:marTop w:val="0"/>
                                                                                                                                              <w:marBottom w:val="0"/>
                                                                                                                                              <w:divBdr>
                                                                                                                                                <w:top w:val="none" w:sz="0" w:space="0" w:color="auto"/>
                                                                                                                                                <w:left w:val="none" w:sz="0" w:space="0" w:color="auto"/>
                                                                                                                                                <w:bottom w:val="none" w:sz="0" w:space="0" w:color="auto"/>
                                                                                                                                                <w:right w:val="none" w:sz="0" w:space="0" w:color="auto"/>
                                                                                                                                              </w:divBdr>
                                                                                                                                            </w:div>
                                                                                                                                            <w:div w:id="981421026">
                                                                                                                                              <w:marLeft w:val="600"/>
                                                                                                                                              <w:marRight w:val="0"/>
                                                                                                                                              <w:marTop w:val="280"/>
                                                                                                                                              <w:marBottom w:val="280"/>
                                                                                                                                              <w:divBdr>
                                                                                                                                                <w:top w:val="none" w:sz="0" w:space="0" w:color="auto"/>
                                                                                                                                                <w:left w:val="none" w:sz="0" w:space="0" w:color="auto"/>
                                                                                                                                                <w:bottom w:val="none" w:sz="0" w:space="0" w:color="auto"/>
                                                                                                                                                <w:right w:val="none" w:sz="0" w:space="0" w:color="auto"/>
                                                                                                                                              </w:divBdr>
                                                                                                                                              <w:divsChild>
                                                                                                                                                <w:div w:id="130102155">
                                                                                                                                                  <w:marLeft w:val="0"/>
                                                                                                                                                  <w:marRight w:val="0"/>
                                                                                                                                                  <w:marTop w:val="0"/>
                                                                                                                                                  <w:marBottom w:val="0"/>
                                                                                                                                                  <w:divBdr>
                                                                                                                                                    <w:top w:val="none" w:sz="0" w:space="0" w:color="auto"/>
                                                                                                                                                    <w:left w:val="none" w:sz="0" w:space="0" w:color="auto"/>
                                                                                                                                                    <w:bottom w:val="none" w:sz="0" w:space="0" w:color="auto"/>
                                                                                                                                                    <w:right w:val="none" w:sz="0" w:space="0" w:color="auto"/>
                                                                                                                                                  </w:divBdr>
                                                                                                                                                </w:div>
                                                                                                                                                <w:div w:id="1007052458">
                                                                                                                                                  <w:marLeft w:val="0"/>
                                                                                                                                                  <w:marRight w:val="0"/>
                                                                                                                                                  <w:marTop w:val="0"/>
                                                                                                                                                  <w:marBottom w:val="0"/>
                                                                                                                                                  <w:divBdr>
                                                                                                                                                    <w:top w:val="none" w:sz="0" w:space="0" w:color="auto"/>
                                                                                                                                                    <w:left w:val="none" w:sz="0" w:space="0" w:color="auto"/>
                                                                                                                                                    <w:bottom w:val="none" w:sz="0" w:space="0" w:color="auto"/>
                                                                                                                                                    <w:right w:val="none" w:sz="0" w:space="0" w:color="auto"/>
                                                                                                                                                  </w:divBdr>
                                                                                                                                                </w:div>
                                                                                                                                                <w:div w:id="1487167622">
                                                                                                                                                  <w:marLeft w:val="0"/>
                                                                                                                                                  <w:marRight w:val="0"/>
                                                                                                                                                  <w:marTop w:val="0"/>
                                                                                                                                                  <w:marBottom w:val="0"/>
                                                                                                                                                  <w:divBdr>
                                                                                                                                                    <w:top w:val="none" w:sz="0" w:space="0" w:color="auto"/>
                                                                                                                                                    <w:left w:val="none" w:sz="0" w:space="0" w:color="auto"/>
                                                                                                                                                    <w:bottom w:val="none" w:sz="0" w:space="0" w:color="auto"/>
                                                                                                                                                    <w:right w:val="none" w:sz="0" w:space="0" w:color="auto"/>
                                                                                                                                                  </w:divBdr>
                                                                                                                                                </w:div>
                                                                                                                                                <w:div w:id="1727294443">
                                                                                                                                                  <w:marLeft w:val="0"/>
                                                                                                                                                  <w:marRight w:val="0"/>
                                                                                                                                                  <w:marTop w:val="0"/>
                                                                                                                                                  <w:marBottom w:val="0"/>
                                                                                                                                                  <w:divBdr>
                                                                                                                                                    <w:top w:val="none" w:sz="0" w:space="0" w:color="auto"/>
                                                                                                                                                    <w:left w:val="none" w:sz="0" w:space="0" w:color="auto"/>
                                                                                                                                                    <w:bottom w:val="none" w:sz="0" w:space="0" w:color="auto"/>
                                                                                                                                                    <w:right w:val="none" w:sz="0" w:space="0" w:color="auto"/>
                                                                                                                                                  </w:divBdr>
                                                                                                                                                </w:div>
                                                                                                                                                <w:div w:id="1917930550">
                                                                                                                                                  <w:marLeft w:val="0"/>
                                                                                                                                                  <w:marRight w:val="0"/>
                                                                                                                                                  <w:marTop w:val="0"/>
                                                                                                                                                  <w:marBottom w:val="0"/>
                                                                                                                                                  <w:divBdr>
                                                                                                                                                    <w:top w:val="none" w:sz="0" w:space="0" w:color="auto"/>
                                                                                                                                                    <w:left w:val="none" w:sz="0" w:space="0" w:color="auto"/>
                                                                                                                                                    <w:bottom w:val="none" w:sz="0" w:space="0" w:color="auto"/>
                                                                                                                                                    <w:right w:val="none" w:sz="0" w:space="0" w:color="auto"/>
                                                                                                                                                  </w:divBdr>
                                                                                                                                                </w:div>
                                                                                                                                              </w:divsChild>
                                                                                                                                            </w:div>
                                                                                                                                            <w:div w:id="12458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66504">
      <w:bodyDiv w:val="1"/>
      <w:marLeft w:val="0"/>
      <w:marRight w:val="0"/>
      <w:marTop w:val="0"/>
      <w:marBottom w:val="0"/>
      <w:divBdr>
        <w:top w:val="none" w:sz="0" w:space="0" w:color="auto"/>
        <w:left w:val="none" w:sz="0" w:space="0" w:color="auto"/>
        <w:bottom w:val="none" w:sz="0" w:space="0" w:color="auto"/>
        <w:right w:val="none" w:sz="0" w:space="0" w:color="auto"/>
      </w:divBdr>
      <w:divsChild>
        <w:div w:id="1784379162">
          <w:marLeft w:val="0"/>
          <w:marRight w:val="0"/>
          <w:marTop w:val="0"/>
          <w:marBottom w:val="0"/>
          <w:divBdr>
            <w:top w:val="none" w:sz="0" w:space="0" w:color="auto"/>
            <w:left w:val="none" w:sz="0" w:space="0" w:color="auto"/>
            <w:bottom w:val="none" w:sz="0" w:space="0" w:color="auto"/>
            <w:right w:val="none" w:sz="0" w:space="0" w:color="auto"/>
          </w:divBdr>
          <w:divsChild>
            <w:div w:id="836698895">
              <w:marLeft w:val="0"/>
              <w:marRight w:val="0"/>
              <w:marTop w:val="0"/>
              <w:marBottom w:val="0"/>
              <w:divBdr>
                <w:top w:val="none" w:sz="0" w:space="0" w:color="auto"/>
                <w:left w:val="none" w:sz="0" w:space="0" w:color="auto"/>
                <w:bottom w:val="none" w:sz="0" w:space="0" w:color="auto"/>
                <w:right w:val="none" w:sz="0" w:space="0" w:color="auto"/>
              </w:divBdr>
              <w:divsChild>
                <w:div w:id="702480385">
                  <w:marLeft w:val="0"/>
                  <w:marRight w:val="0"/>
                  <w:marTop w:val="0"/>
                  <w:marBottom w:val="0"/>
                  <w:divBdr>
                    <w:top w:val="none" w:sz="0" w:space="0" w:color="auto"/>
                    <w:left w:val="none" w:sz="0" w:space="0" w:color="auto"/>
                    <w:bottom w:val="none" w:sz="0" w:space="0" w:color="auto"/>
                    <w:right w:val="none" w:sz="0" w:space="0" w:color="auto"/>
                  </w:divBdr>
                  <w:divsChild>
                    <w:div w:id="1783648072">
                      <w:marLeft w:val="0"/>
                      <w:marRight w:val="0"/>
                      <w:marTop w:val="0"/>
                      <w:marBottom w:val="0"/>
                      <w:divBdr>
                        <w:top w:val="none" w:sz="0" w:space="0" w:color="auto"/>
                        <w:left w:val="none" w:sz="0" w:space="0" w:color="auto"/>
                        <w:bottom w:val="none" w:sz="0" w:space="0" w:color="auto"/>
                        <w:right w:val="none" w:sz="0" w:space="0" w:color="auto"/>
                      </w:divBdr>
                      <w:divsChild>
                        <w:div w:id="191890632">
                          <w:marLeft w:val="0"/>
                          <w:marRight w:val="0"/>
                          <w:marTop w:val="0"/>
                          <w:marBottom w:val="0"/>
                          <w:divBdr>
                            <w:top w:val="none" w:sz="0" w:space="0" w:color="auto"/>
                            <w:left w:val="none" w:sz="0" w:space="0" w:color="auto"/>
                            <w:bottom w:val="none" w:sz="0" w:space="0" w:color="auto"/>
                            <w:right w:val="none" w:sz="0" w:space="0" w:color="auto"/>
                          </w:divBdr>
                          <w:divsChild>
                            <w:div w:id="820584764">
                              <w:marLeft w:val="15"/>
                              <w:marRight w:val="195"/>
                              <w:marTop w:val="0"/>
                              <w:marBottom w:val="0"/>
                              <w:divBdr>
                                <w:top w:val="none" w:sz="0" w:space="0" w:color="auto"/>
                                <w:left w:val="none" w:sz="0" w:space="0" w:color="auto"/>
                                <w:bottom w:val="none" w:sz="0" w:space="0" w:color="auto"/>
                                <w:right w:val="none" w:sz="0" w:space="0" w:color="auto"/>
                              </w:divBdr>
                              <w:divsChild>
                                <w:div w:id="1539733600">
                                  <w:marLeft w:val="0"/>
                                  <w:marRight w:val="0"/>
                                  <w:marTop w:val="0"/>
                                  <w:marBottom w:val="0"/>
                                  <w:divBdr>
                                    <w:top w:val="none" w:sz="0" w:space="0" w:color="auto"/>
                                    <w:left w:val="none" w:sz="0" w:space="0" w:color="auto"/>
                                    <w:bottom w:val="none" w:sz="0" w:space="0" w:color="auto"/>
                                    <w:right w:val="none" w:sz="0" w:space="0" w:color="auto"/>
                                  </w:divBdr>
                                  <w:divsChild>
                                    <w:div w:id="1938516655">
                                      <w:marLeft w:val="0"/>
                                      <w:marRight w:val="0"/>
                                      <w:marTop w:val="0"/>
                                      <w:marBottom w:val="0"/>
                                      <w:divBdr>
                                        <w:top w:val="none" w:sz="0" w:space="0" w:color="auto"/>
                                        <w:left w:val="none" w:sz="0" w:space="0" w:color="auto"/>
                                        <w:bottom w:val="none" w:sz="0" w:space="0" w:color="auto"/>
                                        <w:right w:val="none" w:sz="0" w:space="0" w:color="auto"/>
                                      </w:divBdr>
                                      <w:divsChild>
                                        <w:div w:id="443156867">
                                          <w:marLeft w:val="0"/>
                                          <w:marRight w:val="0"/>
                                          <w:marTop w:val="0"/>
                                          <w:marBottom w:val="0"/>
                                          <w:divBdr>
                                            <w:top w:val="none" w:sz="0" w:space="0" w:color="auto"/>
                                            <w:left w:val="none" w:sz="0" w:space="0" w:color="auto"/>
                                            <w:bottom w:val="none" w:sz="0" w:space="0" w:color="auto"/>
                                            <w:right w:val="none" w:sz="0" w:space="0" w:color="auto"/>
                                          </w:divBdr>
                                          <w:divsChild>
                                            <w:div w:id="1023240533">
                                              <w:marLeft w:val="0"/>
                                              <w:marRight w:val="0"/>
                                              <w:marTop w:val="0"/>
                                              <w:marBottom w:val="0"/>
                                              <w:divBdr>
                                                <w:top w:val="none" w:sz="0" w:space="0" w:color="auto"/>
                                                <w:left w:val="none" w:sz="0" w:space="0" w:color="auto"/>
                                                <w:bottom w:val="none" w:sz="0" w:space="0" w:color="auto"/>
                                                <w:right w:val="none" w:sz="0" w:space="0" w:color="auto"/>
                                              </w:divBdr>
                                              <w:divsChild>
                                                <w:div w:id="1530991082">
                                                  <w:marLeft w:val="0"/>
                                                  <w:marRight w:val="0"/>
                                                  <w:marTop w:val="0"/>
                                                  <w:marBottom w:val="0"/>
                                                  <w:divBdr>
                                                    <w:top w:val="none" w:sz="0" w:space="0" w:color="auto"/>
                                                    <w:left w:val="none" w:sz="0" w:space="0" w:color="auto"/>
                                                    <w:bottom w:val="none" w:sz="0" w:space="0" w:color="auto"/>
                                                    <w:right w:val="none" w:sz="0" w:space="0" w:color="auto"/>
                                                  </w:divBdr>
                                                  <w:divsChild>
                                                    <w:div w:id="2037848422">
                                                      <w:marLeft w:val="0"/>
                                                      <w:marRight w:val="0"/>
                                                      <w:marTop w:val="0"/>
                                                      <w:marBottom w:val="0"/>
                                                      <w:divBdr>
                                                        <w:top w:val="none" w:sz="0" w:space="0" w:color="auto"/>
                                                        <w:left w:val="none" w:sz="0" w:space="0" w:color="auto"/>
                                                        <w:bottom w:val="none" w:sz="0" w:space="0" w:color="auto"/>
                                                        <w:right w:val="none" w:sz="0" w:space="0" w:color="auto"/>
                                                      </w:divBdr>
                                                      <w:divsChild>
                                                        <w:div w:id="128207603">
                                                          <w:marLeft w:val="0"/>
                                                          <w:marRight w:val="0"/>
                                                          <w:marTop w:val="0"/>
                                                          <w:marBottom w:val="0"/>
                                                          <w:divBdr>
                                                            <w:top w:val="none" w:sz="0" w:space="0" w:color="auto"/>
                                                            <w:left w:val="none" w:sz="0" w:space="0" w:color="auto"/>
                                                            <w:bottom w:val="none" w:sz="0" w:space="0" w:color="auto"/>
                                                            <w:right w:val="none" w:sz="0" w:space="0" w:color="auto"/>
                                                          </w:divBdr>
                                                          <w:divsChild>
                                                            <w:div w:id="254945663">
                                                              <w:marLeft w:val="0"/>
                                                              <w:marRight w:val="0"/>
                                                              <w:marTop w:val="0"/>
                                                              <w:marBottom w:val="0"/>
                                                              <w:divBdr>
                                                                <w:top w:val="none" w:sz="0" w:space="0" w:color="auto"/>
                                                                <w:left w:val="none" w:sz="0" w:space="0" w:color="auto"/>
                                                                <w:bottom w:val="none" w:sz="0" w:space="0" w:color="auto"/>
                                                                <w:right w:val="none" w:sz="0" w:space="0" w:color="auto"/>
                                                              </w:divBdr>
                                                              <w:divsChild>
                                                                <w:div w:id="1901594588">
                                                                  <w:marLeft w:val="0"/>
                                                                  <w:marRight w:val="0"/>
                                                                  <w:marTop w:val="0"/>
                                                                  <w:marBottom w:val="0"/>
                                                                  <w:divBdr>
                                                                    <w:top w:val="none" w:sz="0" w:space="0" w:color="auto"/>
                                                                    <w:left w:val="none" w:sz="0" w:space="0" w:color="auto"/>
                                                                    <w:bottom w:val="none" w:sz="0" w:space="0" w:color="auto"/>
                                                                    <w:right w:val="none" w:sz="0" w:space="0" w:color="auto"/>
                                                                  </w:divBdr>
                                                                  <w:divsChild>
                                                                    <w:div w:id="337268321">
                                                                      <w:marLeft w:val="405"/>
                                                                      <w:marRight w:val="0"/>
                                                                      <w:marTop w:val="0"/>
                                                                      <w:marBottom w:val="0"/>
                                                                      <w:divBdr>
                                                                        <w:top w:val="none" w:sz="0" w:space="0" w:color="auto"/>
                                                                        <w:left w:val="none" w:sz="0" w:space="0" w:color="auto"/>
                                                                        <w:bottom w:val="none" w:sz="0" w:space="0" w:color="auto"/>
                                                                        <w:right w:val="none" w:sz="0" w:space="0" w:color="auto"/>
                                                                      </w:divBdr>
                                                                      <w:divsChild>
                                                                        <w:div w:id="766342383">
                                                                          <w:marLeft w:val="0"/>
                                                                          <w:marRight w:val="0"/>
                                                                          <w:marTop w:val="0"/>
                                                                          <w:marBottom w:val="0"/>
                                                                          <w:divBdr>
                                                                            <w:top w:val="none" w:sz="0" w:space="0" w:color="auto"/>
                                                                            <w:left w:val="none" w:sz="0" w:space="0" w:color="auto"/>
                                                                            <w:bottom w:val="none" w:sz="0" w:space="0" w:color="auto"/>
                                                                            <w:right w:val="none" w:sz="0" w:space="0" w:color="auto"/>
                                                                          </w:divBdr>
                                                                          <w:divsChild>
                                                                            <w:div w:id="790823604">
                                                                              <w:marLeft w:val="0"/>
                                                                              <w:marRight w:val="0"/>
                                                                              <w:marTop w:val="0"/>
                                                                              <w:marBottom w:val="0"/>
                                                                              <w:divBdr>
                                                                                <w:top w:val="none" w:sz="0" w:space="0" w:color="auto"/>
                                                                                <w:left w:val="none" w:sz="0" w:space="0" w:color="auto"/>
                                                                                <w:bottom w:val="none" w:sz="0" w:space="0" w:color="auto"/>
                                                                                <w:right w:val="none" w:sz="0" w:space="0" w:color="auto"/>
                                                                              </w:divBdr>
                                                                              <w:divsChild>
                                                                                <w:div w:id="2107919210">
                                                                                  <w:marLeft w:val="0"/>
                                                                                  <w:marRight w:val="0"/>
                                                                                  <w:marTop w:val="0"/>
                                                                                  <w:marBottom w:val="0"/>
                                                                                  <w:divBdr>
                                                                                    <w:top w:val="none" w:sz="0" w:space="0" w:color="auto"/>
                                                                                    <w:left w:val="none" w:sz="0" w:space="0" w:color="auto"/>
                                                                                    <w:bottom w:val="none" w:sz="0" w:space="0" w:color="auto"/>
                                                                                    <w:right w:val="none" w:sz="0" w:space="0" w:color="auto"/>
                                                                                  </w:divBdr>
                                                                                  <w:divsChild>
                                                                                    <w:div w:id="798497770">
                                                                                      <w:marLeft w:val="0"/>
                                                                                      <w:marRight w:val="0"/>
                                                                                      <w:marTop w:val="0"/>
                                                                                      <w:marBottom w:val="0"/>
                                                                                      <w:divBdr>
                                                                                        <w:top w:val="none" w:sz="0" w:space="0" w:color="auto"/>
                                                                                        <w:left w:val="none" w:sz="0" w:space="0" w:color="auto"/>
                                                                                        <w:bottom w:val="none" w:sz="0" w:space="0" w:color="auto"/>
                                                                                        <w:right w:val="none" w:sz="0" w:space="0" w:color="auto"/>
                                                                                      </w:divBdr>
                                                                                      <w:divsChild>
                                                                                        <w:div w:id="1878665523">
                                                                                          <w:marLeft w:val="0"/>
                                                                                          <w:marRight w:val="0"/>
                                                                                          <w:marTop w:val="0"/>
                                                                                          <w:marBottom w:val="0"/>
                                                                                          <w:divBdr>
                                                                                            <w:top w:val="none" w:sz="0" w:space="0" w:color="auto"/>
                                                                                            <w:left w:val="none" w:sz="0" w:space="0" w:color="auto"/>
                                                                                            <w:bottom w:val="none" w:sz="0" w:space="0" w:color="auto"/>
                                                                                            <w:right w:val="none" w:sz="0" w:space="0" w:color="auto"/>
                                                                                          </w:divBdr>
                                                                                          <w:divsChild>
                                                                                            <w:div w:id="398139213">
                                                                                              <w:marLeft w:val="0"/>
                                                                                              <w:marRight w:val="0"/>
                                                                                              <w:marTop w:val="0"/>
                                                                                              <w:marBottom w:val="0"/>
                                                                                              <w:divBdr>
                                                                                                <w:top w:val="none" w:sz="0" w:space="0" w:color="auto"/>
                                                                                                <w:left w:val="none" w:sz="0" w:space="0" w:color="auto"/>
                                                                                                <w:bottom w:val="none" w:sz="0" w:space="0" w:color="auto"/>
                                                                                                <w:right w:val="none" w:sz="0" w:space="0" w:color="auto"/>
                                                                                              </w:divBdr>
                                                                                              <w:divsChild>
                                                                                                <w:div w:id="1374964131">
                                                                                                  <w:marLeft w:val="0"/>
                                                                                                  <w:marRight w:val="0"/>
                                                                                                  <w:marTop w:val="0"/>
                                                                                                  <w:marBottom w:val="0"/>
                                                                                                  <w:divBdr>
                                                                                                    <w:top w:val="none" w:sz="0" w:space="0" w:color="auto"/>
                                                                                                    <w:left w:val="none" w:sz="0" w:space="0" w:color="auto"/>
                                                                                                    <w:bottom w:val="single" w:sz="6" w:space="15" w:color="auto"/>
                                                                                                    <w:right w:val="none" w:sz="0" w:space="0" w:color="auto"/>
                                                                                                  </w:divBdr>
                                                                                                  <w:divsChild>
                                                                                                    <w:div w:id="340816953">
                                                                                                      <w:marLeft w:val="0"/>
                                                                                                      <w:marRight w:val="0"/>
                                                                                                      <w:marTop w:val="60"/>
                                                                                                      <w:marBottom w:val="0"/>
                                                                                                      <w:divBdr>
                                                                                                        <w:top w:val="none" w:sz="0" w:space="0" w:color="auto"/>
                                                                                                        <w:left w:val="none" w:sz="0" w:space="0" w:color="auto"/>
                                                                                                        <w:bottom w:val="none" w:sz="0" w:space="0" w:color="auto"/>
                                                                                                        <w:right w:val="none" w:sz="0" w:space="0" w:color="auto"/>
                                                                                                      </w:divBdr>
                                                                                                      <w:divsChild>
                                                                                                        <w:div w:id="1233079672">
                                                                                                          <w:marLeft w:val="0"/>
                                                                                                          <w:marRight w:val="0"/>
                                                                                                          <w:marTop w:val="0"/>
                                                                                                          <w:marBottom w:val="0"/>
                                                                                                          <w:divBdr>
                                                                                                            <w:top w:val="none" w:sz="0" w:space="0" w:color="auto"/>
                                                                                                            <w:left w:val="none" w:sz="0" w:space="0" w:color="auto"/>
                                                                                                            <w:bottom w:val="none" w:sz="0" w:space="0" w:color="auto"/>
                                                                                                            <w:right w:val="none" w:sz="0" w:space="0" w:color="auto"/>
                                                                                                          </w:divBdr>
                                                                                                          <w:divsChild>
                                                                                                            <w:div w:id="2019767228">
                                                                                                              <w:marLeft w:val="0"/>
                                                                                                              <w:marRight w:val="0"/>
                                                                                                              <w:marTop w:val="0"/>
                                                                                                              <w:marBottom w:val="0"/>
                                                                                                              <w:divBdr>
                                                                                                                <w:top w:val="none" w:sz="0" w:space="0" w:color="auto"/>
                                                                                                                <w:left w:val="none" w:sz="0" w:space="0" w:color="auto"/>
                                                                                                                <w:bottom w:val="none" w:sz="0" w:space="0" w:color="auto"/>
                                                                                                                <w:right w:val="none" w:sz="0" w:space="0" w:color="auto"/>
                                                                                                              </w:divBdr>
                                                                                                              <w:divsChild>
                                                                                                                <w:div w:id="659578316">
                                                                                                                  <w:marLeft w:val="0"/>
                                                                                                                  <w:marRight w:val="0"/>
                                                                                                                  <w:marTop w:val="0"/>
                                                                                                                  <w:marBottom w:val="0"/>
                                                                                                                  <w:divBdr>
                                                                                                                    <w:top w:val="none" w:sz="0" w:space="0" w:color="auto"/>
                                                                                                                    <w:left w:val="single" w:sz="12" w:space="9" w:color="auto"/>
                                                                                                                    <w:bottom w:val="none" w:sz="0" w:space="0" w:color="auto"/>
                                                                                                                    <w:right w:val="none" w:sz="0" w:space="0" w:color="auto"/>
                                                                                                                  </w:divBdr>
                                                                                                                  <w:divsChild>
                                                                                                                    <w:div w:id="711004409">
                                                                                                                      <w:marLeft w:val="0"/>
                                                                                                                      <w:marRight w:val="0"/>
                                                                                                                      <w:marTop w:val="0"/>
                                                                                                                      <w:marBottom w:val="0"/>
                                                                                                                      <w:divBdr>
                                                                                                                        <w:top w:val="none" w:sz="0" w:space="0" w:color="auto"/>
                                                                                                                        <w:left w:val="none" w:sz="0" w:space="0" w:color="auto"/>
                                                                                                                        <w:bottom w:val="none" w:sz="0" w:space="0" w:color="auto"/>
                                                                                                                        <w:right w:val="none" w:sz="0" w:space="0" w:color="auto"/>
                                                                                                                      </w:divBdr>
                                                                                                                      <w:divsChild>
                                                                                                                        <w:div w:id="1194267197">
                                                                                                                          <w:marLeft w:val="0"/>
                                                                                                                          <w:marRight w:val="0"/>
                                                                                                                          <w:marTop w:val="0"/>
                                                                                                                          <w:marBottom w:val="0"/>
                                                                                                                          <w:divBdr>
                                                                                                                            <w:top w:val="none" w:sz="0" w:space="0" w:color="auto"/>
                                                                                                                            <w:left w:val="none" w:sz="0" w:space="0" w:color="auto"/>
                                                                                                                            <w:bottom w:val="none" w:sz="0" w:space="0" w:color="auto"/>
                                                                                                                            <w:right w:val="none" w:sz="0" w:space="0" w:color="auto"/>
                                                                                                                          </w:divBdr>
                                                                                                                          <w:divsChild>
                                                                                                                            <w:div w:id="812989289">
                                                                                                                              <w:marLeft w:val="0"/>
                                                                                                                              <w:marRight w:val="0"/>
                                                                                                                              <w:marTop w:val="0"/>
                                                                                                                              <w:marBottom w:val="0"/>
                                                                                                                              <w:divBdr>
                                                                                                                                <w:top w:val="none" w:sz="0" w:space="0" w:color="auto"/>
                                                                                                                                <w:left w:val="none" w:sz="0" w:space="0" w:color="auto"/>
                                                                                                                                <w:bottom w:val="none" w:sz="0" w:space="0" w:color="auto"/>
                                                                                                                                <w:right w:val="none" w:sz="0" w:space="0" w:color="auto"/>
                                                                                                                              </w:divBdr>
                                                                                                                              <w:divsChild>
                                                                                                                                <w:div w:id="104084758">
                                                                                                                                  <w:marLeft w:val="0"/>
                                                                                                                                  <w:marRight w:val="0"/>
                                                                                                                                  <w:marTop w:val="0"/>
                                                                                                                                  <w:marBottom w:val="0"/>
                                                                                                                                  <w:divBdr>
                                                                                                                                    <w:top w:val="none" w:sz="0" w:space="0" w:color="auto"/>
                                                                                                                                    <w:left w:val="none" w:sz="0" w:space="0" w:color="auto"/>
                                                                                                                                    <w:bottom w:val="none" w:sz="0" w:space="0" w:color="auto"/>
                                                                                                                                    <w:right w:val="none" w:sz="0" w:space="0" w:color="auto"/>
                                                                                                                                  </w:divBdr>
                                                                                                                                  <w:divsChild>
                                                                                                                                    <w:div w:id="170023635">
                                                                                                                                      <w:marLeft w:val="0"/>
                                                                                                                                      <w:marRight w:val="0"/>
                                                                                                                                      <w:marTop w:val="280"/>
                                                                                                                                      <w:marBottom w:val="160"/>
                                                                                                                                      <w:divBdr>
                                                                                                                                        <w:top w:val="none" w:sz="0" w:space="0" w:color="auto"/>
                                                                                                                                        <w:left w:val="none" w:sz="0" w:space="0" w:color="auto"/>
                                                                                                                                        <w:bottom w:val="none" w:sz="0" w:space="0" w:color="auto"/>
                                                                                                                                        <w:right w:val="none" w:sz="0" w:space="0" w:color="auto"/>
                                                                                                                                      </w:divBdr>
                                                                                                                                    </w:div>
                                                                                                                                    <w:div w:id="774324215">
                                                                                                                                      <w:marLeft w:val="0"/>
                                                                                                                                      <w:marRight w:val="0"/>
                                                                                                                                      <w:marTop w:val="280"/>
                                                                                                                                      <w:marBottom w:val="160"/>
                                                                                                                                      <w:divBdr>
                                                                                                                                        <w:top w:val="none" w:sz="0" w:space="0" w:color="auto"/>
                                                                                                                                        <w:left w:val="none" w:sz="0" w:space="0" w:color="auto"/>
                                                                                                                                        <w:bottom w:val="none" w:sz="0" w:space="0" w:color="auto"/>
                                                                                                                                        <w:right w:val="none" w:sz="0" w:space="0" w:color="auto"/>
                                                                                                                                      </w:divBdr>
                                                                                                                                    </w:div>
                                                                                                                                    <w:div w:id="1251891331">
                                                                                                                                      <w:marLeft w:val="0"/>
                                                                                                                                      <w:marRight w:val="0"/>
                                                                                                                                      <w:marTop w:val="280"/>
                                                                                                                                      <w:marBottom w:val="160"/>
                                                                                                                                      <w:divBdr>
                                                                                                                                        <w:top w:val="none" w:sz="0" w:space="0" w:color="auto"/>
                                                                                                                                        <w:left w:val="none" w:sz="0" w:space="0" w:color="auto"/>
                                                                                                                                        <w:bottom w:val="none" w:sz="0" w:space="0" w:color="auto"/>
                                                                                                                                        <w:right w:val="none" w:sz="0" w:space="0" w:color="auto"/>
                                                                                                                                      </w:divBdr>
                                                                                                                                    </w:div>
                                                                                                                                    <w:div w:id="1389568464">
                                                                                                                                      <w:marLeft w:val="0"/>
                                                                                                                                      <w:marRight w:val="0"/>
                                                                                                                                      <w:marTop w:val="28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2333">
      <w:bodyDiv w:val="1"/>
      <w:marLeft w:val="0"/>
      <w:marRight w:val="0"/>
      <w:marTop w:val="0"/>
      <w:marBottom w:val="0"/>
      <w:divBdr>
        <w:top w:val="none" w:sz="0" w:space="0" w:color="auto"/>
        <w:left w:val="none" w:sz="0" w:space="0" w:color="auto"/>
        <w:bottom w:val="none" w:sz="0" w:space="0" w:color="auto"/>
        <w:right w:val="none" w:sz="0" w:space="0" w:color="auto"/>
      </w:divBdr>
    </w:div>
    <w:div w:id="16641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8.xml"/><Relationship Id="rId32" Type="http://schemas.openxmlformats.org/officeDocument/2006/relationships/hyperlink" Target="http://www.un.org/en/development/desa/population/migration/data/estimates2/estimates15.shtm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7.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g20/topics/employment-and-social-policy/G20-OECD-migration.pdf" TargetMode="External"/><Relationship Id="rId1" Type="http://schemas.openxmlformats.org/officeDocument/2006/relationships/hyperlink" Target="http://www.oecd.org/el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20WORLD%20BANK\2015%20-%20ONWARD\SCD\&#8207;MIGRATION\Final%20report\final%20report\Migration%20Note%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Studen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Stude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WORLD%20BANK\2015%20-%20ONWARD\2017\SCD\&#8207;MIGRATION\Migrat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20WORLD%20BANK\2015%20-%20ONWARD\SCD\&#8207;MIGRATION\Final%20report\final%20report\Migration%20Not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20WORLD%20BANK\2015%20-%20ONWARD\SCD\&#8207;MIGRATION\Final%20report\final%20report\Migration%20Note%20(data).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Med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Medi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Medi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Medic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Medic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WORLD%20BANK\2015%20-%20ONWARD\2017\SCD\&#8207;MIGRATION\REPORTS%20AND%20DATA%20USED\Adina\Med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25427419968558"/>
          <c:y val="5.0925925925925923E-2"/>
          <c:w val="0.80919007579327107"/>
          <c:h val="0.46622614513977489"/>
        </c:manualLayout>
      </c:layout>
      <c:barChart>
        <c:barDir val="col"/>
        <c:grouping val="clustered"/>
        <c:varyColors val="0"/>
        <c:ser>
          <c:idx val="1"/>
          <c:order val="0"/>
          <c:tx>
            <c:strRef>
              <c:f>'Migration by country'!$C$1</c:f>
              <c:strCache>
                <c:ptCount val="1"/>
                <c:pt idx="0">
                  <c:v>15-64  years</c:v>
                </c:pt>
              </c:strCache>
            </c:strRef>
          </c:tx>
          <c:spPr>
            <a:solidFill>
              <a:srgbClr val="FF0000"/>
            </a:solidFill>
            <a:ln>
              <a:solidFill>
                <a:srgbClr val="FF0000"/>
              </a:solidFill>
            </a:ln>
            <a:effectLst/>
          </c:spPr>
          <c:invertIfNegative val="0"/>
          <c:cat>
            <c:strRef>
              <c:f>'Migration by country'!$A$2:$A$15</c:f>
              <c:strCache>
                <c:ptCount val="14"/>
                <c:pt idx="0">
                  <c:v>Hungary</c:v>
                </c:pt>
                <c:pt idx="1">
                  <c:v>Portugal</c:v>
                </c:pt>
                <c:pt idx="2">
                  <c:v>Greece</c:v>
                </c:pt>
                <c:pt idx="3">
                  <c:v>Belgium</c:v>
                </c:pt>
                <c:pt idx="4">
                  <c:v>Austria</c:v>
                </c:pt>
                <c:pt idx="5">
                  <c:v>France</c:v>
                </c:pt>
                <c:pt idx="6">
                  <c:v>Ukraine</c:v>
                </c:pt>
                <c:pt idx="7">
                  <c:v>Canada</c:v>
                </c:pt>
                <c:pt idx="8">
                  <c:v>Israel</c:v>
                </c:pt>
                <c:pt idx="9">
                  <c:v>United Kingdom</c:v>
                </c:pt>
                <c:pt idx="10">
                  <c:v>United States</c:v>
                </c:pt>
                <c:pt idx="11">
                  <c:v>Germany</c:v>
                </c:pt>
                <c:pt idx="12">
                  <c:v>Spain</c:v>
                </c:pt>
                <c:pt idx="13">
                  <c:v>Italy</c:v>
                </c:pt>
              </c:strCache>
            </c:strRef>
          </c:cat>
          <c:val>
            <c:numRef>
              <c:f>'Migration by country'!$C$2:$C$15</c:f>
              <c:numCache>
                <c:formatCode>General</c:formatCode>
                <c:ptCount val="14"/>
                <c:pt idx="0">
                  <c:v>2.0830999999999999E-2</c:v>
                </c:pt>
                <c:pt idx="1">
                  <c:v>2.6556E-2</c:v>
                </c:pt>
                <c:pt idx="3">
                  <c:v>6.1911000000000001E-2</c:v>
                </c:pt>
                <c:pt idx="4">
                  <c:v>7.1469000000000005E-2</c:v>
                </c:pt>
                <c:pt idx="7">
                  <c:v>0.14529</c:v>
                </c:pt>
                <c:pt idx="8">
                  <c:v>0.1973</c:v>
                </c:pt>
                <c:pt idx="11">
                  <c:v>0.41981000000000002</c:v>
                </c:pt>
                <c:pt idx="12">
                  <c:v>0.569191</c:v>
                </c:pt>
                <c:pt idx="13">
                  <c:v>0.94411999999999996</c:v>
                </c:pt>
              </c:numCache>
            </c:numRef>
          </c:val>
          <c:extLst>
            <c:ext xmlns:c16="http://schemas.microsoft.com/office/drawing/2014/chart" uri="{C3380CC4-5D6E-409C-BE32-E72D297353CC}">
              <c16:uniqueId val="{00000000-3179-4A90-9309-90FEEDC3B177}"/>
            </c:ext>
          </c:extLst>
        </c:ser>
        <c:ser>
          <c:idx val="0"/>
          <c:order val="1"/>
          <c:tx>
            <c:strRef>
              <c:f>'Migration by country'!$B$1</c:f>
              <c:strCache>
                <c:ptCount val="1"/>
                <c:pt idx="0">
                  <c:v>Total</c:v>
                </c:pt>
              </c:strCache>
            </c:strRef>
          </c:tx>
          <c:spPr>
            <a:solidFill>
              <a:srgbClr val="640000"/>
            </a:solidFill>
            <a:ln>
              <a:solidFill>
                <a:srgbClr val="640000"/>
              </a:solidFill>
            </a:ln>
            <a:effectLst/>
          </c:spPr>
          <c:invertIfNegative val="0"/>
          <c:cat>
            <c:strRef>
              <c:f>'Migration by country'!$A$2:$A$15</c:f>
              <c:strCache>
                <c:ptCount val="14"/>
                <c:pt idx="0">
                  <c:v>Hungary</c:v>
                </c:pt>
                <c:pt idx="1">
                  <c:v>Portugal</c:v>
                </c:pt>
                <c:pt idx="2">
                  <c:v>Greece</c:v>
                </c:pt>
                <c:pt idx="3">
                  <c:v>Belgium</c:v>
                </c:pt>
                <c:pt idx="4">
                  <c:v>Austria</c:v>
                </c:pt>
                <c:pt idx="5">
                  <c:v>France</c:v>
                </c:pt>
                <c:pt idx="6">
                  <c:v>Ukraine</c:v>
                </c:pt>
                <c:pt idx="7">
                  <c:v>Canada</c:v>
                </c:pt>
                <c:pt idx="8">
                  <c:v>Israel</c:v>
                </c:pt>
                <c:pt idx="9">
                  <c:v>United Kingdom</c:v>
                </c:pt>
                <c:pt idx="10">
                  <c:v>United States</c:v>
                </c:pt>
                <c:pt idx="11">
                  <c:v>Germany</c:v>
                </c:pt>
                <c:pt idx="12">
                  <c:v>Spain</c:v>
                </c:pt>
                <c:pt idx="13">
                  <c:v>Italy</c:v>
                </c:pt>
              </c:strCache>
            </c:strRef>
          </c:cat>
          <c:val>
            <c:numRef>
              <c:f>'Migration by country'!$B$2:$B$15</c:f>
              <c:numCache>
                <c:formatCode>General</c:formatCode>
                <c:ptCount val="14"/>
                <c:pt idx="0">
                  <c:v>2.4039999999999999E-2</c:v>
                </c:pt>
                <c:pt idx="1">
                  <c:v>3.0429000000000001E-2</c:v>
                </c:pt>
                <c:pt idx="2">
                  <c:v>4.7891000000000003E-2</c:v>
                </c:pt>
                <c:pt idx="3">
                  <c:v>7.9771999999999996E-2</c:v>
                </c:pt>
                <c:pt idx="4">
                  <c:v>9.2094999999999996E-2</c:v>
                </c:pt>
                <c:pt idx="5">
                  <c:v>0.111566</c:v>
                </c:pt>
                <c:pt idx="6">
                  <c:v>0.151</c:v>
                </c:pt>
                <c:pt idx="7">
                  <c:v>0.204625</c:v>
                </c:pt>
                <c:pt idx="8">
                  <c:v>0.2056</c:v>
                </c:pt>
                <c:pt idx="9">
                  <c:v>0.33234900000000001</c:v>
                </c:pt>
                <c:pt idx="10">
                  <c:v>0.47630699999999998</c:v>
                </c:pt>
                <c:pt idx="11">
                  <c:v>0.50706200000000001</c:v>
                </c:pt>
                <c:pt idx="12">
                  <c:v>0.68379699999999999</c:v>
                </c:pt>
                <c:pt idx="13">
                  <c:v>1.168552</c:v>
                </c:pt>
              </c:numCache>
            </c:numRef>
          </c:val>
          <c:extLst>
            <c:ext xmlns:c16="http://schemas.microsoft.com/office/drawing/2014/chart" uri="{C3380CC4-5D6E-409C-BE32-E72D297353CC}">
              <c16:uniqueId val="{00000001-3179-4A90-9309-90FEEDC3B177}"/>
            </c:ext>
          </c:extLst>
        </c:ser>
        <c:dLbls>
          <c:showLegendKey val="0"/>
          <c:showVal val="0"/>
          <c:showCatName val="0"/>
          <c:showSerName val="0"/>
          <c:showPercent val="0"/>
          <c:showBubbleSize val="0"/>
        </c:dLbls>
        <c:gapWidth val="219"/>
        <c:overlap val="-27"/>
        <c:axId val="389052672"/>
        <c:axId val="389054464"/>
      </c:barChart>
      <c:catAx>
        <c:axId val="38905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solidFill>
                <a:latin typeface="+mn-lt"/>
                <a:ea typeface="+mn-ea"/>
                <a:cs typeface="+mn-cs"/>
              </a:defRPr>
            </a:pPr>
            <a:endParaRPr lang="en-US"/>
          </a:p>
        </c:txPr>
        <c:crossAx val="389054464"/>
        <c:crosses val="autoZero"/>
        <c:auto val="1"/>
        <c:lblAlgn val="ctr"/>
        <c:lblOffset val="100"/>
        <c:noMultiLvlLbl val="0"/>
      </c:catAx>
      <c:valAx>
        <c:axId val="389054464"/>
        <c:scaling>
          <c:orientation val="minMax"/>
          <c:max val="1.2"/>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Million persons</a:t>
                </a:r>
                <a:endParaRPr lang="en-US" sz="1000">
                  <a:effectLst/>
                </a:endParaRPr>
              </a:p>
            </c:rich>
          </c:tx>
          <c:layout>
            <c:manualLayout>
              <c:xMode val="edge"/>
              <c:yMode val="edge"/>
              <c:x val="0"/>
              <c:y val="8.796296296296296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052672"/>
        <c:crosses val="autoZero"/>
        <c:crossBetween val="between"/>
      </c:valAx>
      <c:spPr>
        <a:noFill/>
        <a:ln>
          <a:noFill/>
        </a:ln>
        <a:effectLst/>
      </c:spPr>
    </c:plotArea>
    <c:legend>
      <c:legendPos val="b"/>
      <c:layout>
        <c:manualLayout>
          <c:xMode val="edge"/>
          <c:yMode val="edge"/>
          <c:x val="0.24586715371251017"/>
          <c:y val="0.90507619421926799"/>
          <c:w val="0.57994821899575932"/>
          <c:h val="9.492381160688247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61178716296827"/>
          <c:y val="2.5428331875182269E-2"/>
          <c:w val="0.63483178239083737"/>
          <c:h val="0.67662439141672182"/>
        </c:manualLayout>
      </c:layout>
      <c:barChart>
        <c:barDir val="col"/>
        <c:grouping val="clustered"/>
        <c:varyColors val="0"/>
        <c:ser>
          <c:idx val="0"/>
          <c:order val="0"/>
          <c:tx>
            <c:strRef>
              <c:f>Sheet1!$A$39</c:f>
              <c:strCache>
                <c:ptCount val="1"/>
                <c:pt idx="0">
                  <c:v>Romanian students abroad </c:v>
                </c:pt>
              </c:strCache>
            </c:strRef>
          </c:tx>
          <c:spPr>
            <a:solidFill>
              <a:schemeClr val="accent1"/>
            </a:solidFill>
            <a:ln>
              <a:noFill/>
            </a:ln>
            <a:effectLst/>
          </c:spPr>
          <c:invertIfNegative val="0"/>
          <c:cat>
            <c:numRef>
              <c:f>Sheet1!$B$38:$R$38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Sheet1!$B$39:$R$39</c:f>
              <c:numCache>
                <c:formatCode>General</c:formatCode>
                <c:ptCount val="17"/>
                <c:pt idx="0">
                  <c:v>12.542999999999999</c:v>
                </c:pt>
                <c:pt idx="1">
                  <c:v>15.085000000000001</c:v>
                </c:pt>
                <c:pt idx="2">
                  <c:v>17.513000000000002</c:v>
                </c:pt>
                <c:pt idx="3">
                  <c:v>19.489999999999998</c:v>
                </c:pt>
                <c:pt idx="4">
                  <c:v>20.004999999999999</c:v>
                </c:pt>
                <c:pt idx="5">
                  <c:v>20.318000000000001</c:v>
                </c:pt>
                <c:pt idx="6">
                  <c:v>22.02</c:v>
                </c:pt>
                <c:pt idx="7">
                  <c:v>22.314</c:v>
                </c:pt>
                <c:pt idx="8">
                  <c:v>22.686</c:v>
                </c:pt>
                <c:pt idx="9">
                  <c:v>23.673999999999999</c:v>
                </c:pt>
                <c:pt idx="10">
                  <c:v>25.631</c:v>
                </c:pt>
                <c:pt idx="11">
                  <c:v>28.69</c:v>
                </c:pt>
                <c:pt idx="12">
                  <c:v>31.832000000000001</c:v>
                </c:pt>
                <c:pt idx="13">
                  <c:v>32.552</c:v>
                </c:pt>
                <c:pt idx="14">
                  <c:v>33.271999999999998</c:v>
                </c:pt>
                <c:pt idx="15">
                  <c:v>33.408999999999999</c:v>
                </c:pt>
                <c:pt idx="16">
                  <c:v>33.408000000000001</c:v>
                </c:pt>
              </c:numCache>
            </c:numRef>
          </c:val>
          <c:extLst>
            <c:ext xmlns:c16="http://schemas.microsoft.com/office/drawing/2014/chart" uri="{C3380CC4-5D6E-409C-BE32-E72D297353CC}">
              <c16:uniqueId val="{00000000-6B2C-45A4-B524-DAD51DD971E3}"/>
            </c:ext>
          </c:extLst>
        </c:ser>
        <c:dLbls>
          <c:showLegendKey val="0"/>
          <c:showVal val="0"/>
          <c:showCatName val="0"/>
          <c:showSerName val="0"/>
          <c:showPercent val="0"/>
          <c:showBubbleSize val="0"/>
        </c:dLbls>
        <c:gapWidth val="150"/>
        <c:axId val="415294208"/>
        <c:axId val="415295744"/>
        <c:extLst>
          <c:ext xmlns:c15="http://schemas.microsoft.com/office/drawing/2012/chart" uri="{02D57815-91ED-43cb-92C2-25804820EDAC}">
            <c15:filteredBarSeries>
              <c15:ser>
                <c:idx val="1"/>
                <c:order val="1"/>
                <c:spPr>
                  <a:solidFill>
                    <a:schemeClr val="accent2"/>
                  </a:solidFill>
                  <a:ln>
                    <a:noFill/>
                  </a:ln>
                  <a:effectLst/>
                </c:spPr>
                <c:invertIfNegative val="0"/>
                <c:val>
                  <c:numRef>
                    <c:extLst>
                      <c:ext uri="{02D57815-91ED-43cb-92C2-25804820EDAC}">
                        <c15:formulaRef>
                          <c15:sqref>Sheet1!$B$40:$R$40</c15:sqref>
                        </c15:formulaRef>
                      </c:ext>
                    </c:extLst>
                    <c:numCache>
                      <c:formatCode>0.0</c:formatCode>
                      <c:ptCount val="17"/>
                      <c:pt idx="1">
                        <c:v>20.266283983098148</c:v>
                      </c:pt>
                      <c:pt idx="2">
                        <c:v>39.623694490951152</c:v>
                      </c:pt>
                      <c:pt idx="3">
                        <c:v>55.385473969544762</c:v>
                      </c:pt>
                      <c:pt idx="4">
                        <c:v>59.491349756836485</c:v>
                      </c:pt>
                      <c:pt idx="5">
                        <c:v>61.986765526588556</c:v>
                      </c:pt>
                      <c:pt idx="6">
                        <c:v>75.556087060511857</c:v>
                      </c:pt>
                      <c:pt idx="7">
                        <c:v>77.900023917723047</c:v>
                      </c:pt>
                      <c:pt idx="8">
                        <c:v>80.865821573786178</c:v>
                      </c:pt>
                      <c:pt idx="9">
                        <c:v>88.742725025910886</c:v>
                      </c:pt>
                      <c:pt idx="10">
                        <c:v>104.34505301761939</c:v>
                      </c:pt>
                      <c:pt idx="11">
                        <c:v>128.73315793669781</c:v>
                      </c:pt>
                      <c:pt idx="12">
                        <c:v>153.78298652634936</c:v>
                      </c:pt>
                      <c:pt idx="13">
                        <c:v>159.52324005421355</c:v>
                      </c:pt>
                      <c:pt idx="14">
                        <c:v>165.26349358207761</c:v>
                      </c:pt>
                      <c:pt idx="15">
                        <c:v>166.35573626724073</c:v>
                      </c:pt>
                      <c:pt idx="16">
                        <c:v>166.34776369289648</c:v>
                      </c:pt>
                    </c:numCache>
                  </c:numRef>
                </c:val>
                <c:extLst>
                  <c:ext xmlns:c16="http://schemas.microsoft.com/office/drawing/2014/chart" uri="{C3380CC4-5D6E-409C-BE32-E72D297353CC}">
                    <c16:uniqueId val="{00000002-6B2C-45A4-B524-DAD51DD971E3}"/>
                  </c:ext>
                </c:extLst>
              </c15:ser>
            </c15:filteredBarSeries>
          </c:ext>
        </c:extLst>
      </c:barChart>
      <c:lineChart>
        <c:grouping val="standard"/>
        <c:varyColors val="0"/>
        <c:ser>
          <c:idx val="2"/>
          <c:order val="2"/>
          <c:tx>
            <c:strRef>
              <c:f>Sheet1!$A$41</c:f>
              <c:strCache>
                <c:ptCount val="1"/>
                <c:pt idx="0">
                  <c:v>Students enrollment in Romania (rhs)</c:v>
                </c:pt>
              </c:strCache>
            </c:strRef>
          </c:tx>
          <c:spPr>
            <a:ln w="28575" cap="rnd">
              <a:solidFill>
                <a:schemeClr val="accent2"/>
              </a:solidFill>
              <a:round/>
            </a:ln>
            <a:effectLst/>
          </c:spPr>
          <c:marker>
            <c:symbol val="none"/>
          </c:marker>
          <c:val>
            <c:numRef>
              <c:f>Sheet1!$B$41:$R$41</c:f>
              <c:numCache>
                <c:formatCode>General</c:formatCode>
                <c:ptCount val="17"/>
                <c:pt idx="0">
                  <c:v>533.15200000000004</c:v>
                </c:pt>
                <c:pt idx="1">
                  <c:v>582.221</c:v>
                </c:pt>
                <c:pt idx="2">
                  <c:v>596.29700000000003</c:v>
                </c:pt>
                <c:pt idx="3">
                  <c:v>620.78499999999997</c:v>
                </c:pt>
                <c:pt idx="4">
                  <c:v>650.33500000000004</c:v>
                </c:pt>
                <c:pt idx="5">
                  <c:v>716.46400000000006</c:v>
                </c:pt>
                <c:pt idx="6">
                  <c:v>785.50599999999997</c:v>
                </c:pt>
                <c:pt idx="7">
                  <c:v>907.35299999999995</c:v>
                </c:pt>
                <c:pt idx="8">
                  <c:v>891.09799999999996</c:v>
                </c:pt>
                <c:pt idx="9">
                  <c:v>775.31899999999996</c:v>
                </c:pt>
                <c:pt idx="10">
                  <c:v>673.00099999999998</c:v>
                </c:pt>
                <c:pt idx="11">
                  <c:v>539.85199999999998</c:v>
                </c:pt>
                <c:pt idx="12">
                  <c:v>464.59199999999998</c:v>
                </c:pt>
                <c:pt idx="13">
                  <c:v>433.23399999999998</c:v>
                </c:pt>
                <c:pt idx="14">
                  <c:v>411.22899999999998</c:v>
                </c:pt>
                <c:pt idx="15">
                  <c:v>410.697</c:v>
                </c:pt>
                <c:pt idx="16">
                  <c:v>405.63799999999998</c:v>
                </c:pt>
              </c:numCache>
            </c:numRef>
          </c:val>
          <c:smooth val="0"/>
          <c:extLst>
            <c:ext xmlns:c16="http://schemas.microsoft.com/office/drawing/2014/chart" uri="{C3380CC4-5D6E-409C-BE32-E72D297353CC}">
              <c16:uniqueId val="{00000001-6B2C-45A4-B524-DAD51DD971E3}"/>
            </c:ext>
          </c:extLst>
        </c:ser>
        <c:dLbls>
          <c:showLegendKey val="0"/>
          <c:showVal val="0"/>
          <c:showCatName val="0"/>
          <c:showSerName val="0"/>
          <c:showPercent val="0"/>
          <c:showBubbleSize val="0"/>
        </c:dLbls>
        <c:marker val="1"/>
        <c:smooth val="0"/>
        <c:axId val="415303936"/>
        <c:axId val="415302016"/>
      </c:lineChart>
      <c:catAx>
        <c:axId val="41529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95744"/>
        <c:crosses val="autoZero"/>
        <c:auto val="1"/>
        <c:lblAlgn val="ctr"/>
        <c:lblOffset val="100"/>
        <c:noMultiLvlLbl val="0"/>
      </c:catAx>
      <c:valAx>
        <c:axId val="415295744"/>
        <c:scaling>
          <c:orientation val="minMax"/>
          <c:max val="35"/>
          <c:min val="10"/>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Thousands</a:t>
                </a:r>
              </a:p>
            </c:rich>
          </c:tx>
          <c:layout>
            <c:manualLayout>
              <c:xMode val="edge"/>
              <c:yMode val="edge"/>
              <c:x val="8.7664041994750651E-3"/>
              <c:y val="0.23005509807457275"/>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94208"/>
        <c:crosses val="autoZero"/>
        <c:crossBetween val="between"/>
      </c:valAx>
      <c:valAx>
        <c:axId val="4153020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Thousands</a:t>
                </a:r>
              </a:p>
            </c:rich>
          </c:tx>
          <c:layout>
            <c:manualLayout>
              <c:xMode val="edge"/>
              <c:yMode val="edge"/>
              <c:x val="0.93286958335506076"/>
              <c:y val="0.24161166877041132"/>
            </c:manualLayout>
          </c:layout>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303936"/>
        <c:crosses val="max"/>
        <c:crossBetween val="between"/>
      </c:valAx>
      <c:catAx>
        <c:axId val="415303936"/>
        <c:scaling>
          <c:orientation val="minMax"/>
        </c:scaling>
        <c:delete val="1"/>
        <c:axPos val="b"/>
        <c:majorTickMark val="out"/>
        <c:minorTickMark val="none"/>
        <c:tickLblPos val="nextTo"/>
        <c:crossAx val="415302016"/>
        <c:crosses val="autoZero"/>
        <c:auto val="1"/>
        <c:lblAlgn val="ctr"/>
        <c:lblOffset val="100"/>
        <c:noMultiLvlLbl val="0"/>
      </c:catAx>
      <c:spPr>
        <a:noFill/>
        <a:ln>
          <a:noFill/>
        </a:ln>
        <a:effectLst/>
      </c:spPr>
    </c:plotArea>
    <c:legend>
      <c:legendPos val="r"/>
      <c:layout>
        <c:manualLayout>
          <c:xMode val="edge"/>
          <c:yMode val="edge"/>
          <c:x val="7.8418038654259128E-2"/>
          <c:y val="0.85350283504638258"/>
          <c:w val="0.84582438558816508"/>
          <c:h val="0.1453407064574943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2937368451946"/>
          <c:y val="3.2407407407407406E-2"/>
          <c:w val="0.82871542015714494"/>
          <c:h val="0.62722816951251881"/>
        </c:manualLayout>
      </c:layout>
      <c:barChart>
        <c:barDir val="col"/>
        <c:grouping val="clustered"/>
        <c:varyColors val="0"/>
        <c:ser>
          <c:idx val="0"/>
          <c:order val="0"/>
          <c:spPr>
            <a:solidFill>
              <a:schemeClr val="accent1"/>
            </a:solidFill>
            <a:ln>
              <a:noFill/>
            </a:ln>
            <a:effectLst/>
          </c:spPr>
          <c:invertIfNegative val="0"/>
          <c:cat>
            <c:strRef>
              <c:f>Sheet1!$J$17:$J$26</c:f>
              <c:strCache>
                <c:ptCount val="10"/>
                <c:pt idx="0">
                  <c:v>United States</c:v>
                </c:pt>
                <c:pt idx="1">
                  <c:v>Austria </c:v>
                </c:pt>
                <c:pt idx="2">
                  <c:v>Netherlands</c:v>
                </c:pt>
                <c:pt idx="3">
                  <c:v>Hungary</c:v>
                </c:pt>
                <c:pt idx="4">
                  <c:v>Spain</c:v>
                </c:pt>
                <c:pt idx="5">
                  <c:v>Denmark </c:v>
                </c:pt>
                <c:pt idx="6">
                  <c:v>Germany</c:v>
                </c:pt>
                <c:pt idx="7">
                  <c:v>France</c:v>
                </c:pt>
                <c:pt idx="8">
                  <c:v>United Kingdom</c:v>
                </c:pt>
                <c:pt idx="9">
                  <c:v>Italy</c:v>
                </c:pt>
              </c:strCache>
            </c:strRef>
          </c:cat>
          <c:val>
            <c:numRef>
              <c:f>Sheet1!$K$17:$K$26</c:f>
              <c:numCache>
                <c:formatCode>General</c:formatCode>
                <c:ptCount val="10"/>
                <c:pt idx="0">
                  <c:v>1.155</c:v>
                </c:pt>
                <c:pt idx="1">
                  <c:v>1.22</c:v>
                </c:pt>
                <c:pt idx="2">
                  <c:v>1.4730000000000001</c:v>
                </c:pt>
                <c:pt idx="3">
                  <c:v>1.534</c:v>
                </c:pt>
                <c:pt idx="4">
                  <c:v>2.1520000000000001</c:v>
                </c:pt>
                <c:pt idx="5">
                  <c:v>2.4489999999999998</c:v>
                </c:pt>
                <c:pt idx="6">
                  <c:v>2.4710000000000001</c:v>
                </c:pt>
                <c:pt idx="7">
                  <c:v>3.5059999999999998</c:v>
                </c:pt>
                <c:pt idx="8">
                  <c:v>6.5049999999999999</c:v>
                </c:pt>
                <c:pt idx="9">
                  <c:v>7.63</c:v>
                </c:pt>
              </c:numCache>
            </c:numRef>
          </c:val>
          <c:extLst>
            <c:ext xmlns:c16="http://schemas.microsoft.com/office/drawing/2014/chart" uri="{C3380CC4-5D6E-409C-BE32-E72D297353CC}">
              <c16:uniqueId val="{00000000-5A72-447E-A100-877A886CBB0C}"/>
            </c:ext>
          </c:extLst>
        </c:ser>
        <c:dLbls>
          <c:showLegendKey val="0"/>
          <c:showVal val="0"/>
          <c:showCatName val="0"/>
          <c:showSerName val="0"/>
          <c:showPercent val="0"/>
          <c:showBubbleSize val="0"/>
        </c:dLbls>
        <c:gapWidth val="219"/>
        <c:overlap val="-27"/>
        <c:axId val="415320320"/>
        <c:axId val="415330304"/>
      </c:barChart>
      <c:catAx>
        <c:axId val="41532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330304"/>
        <c:crosses val="autoZero"/>
        <c:auto val="1"/>
        <c:lblAlgn val="ctr"/>
        <c:lblOffset val="100"/>
        <c:noMultiLvlLbl val="0"/>
      </c:catAx>
      <c:valAx>
        <c:axId val="415330304"/>
        <c:scaling>
          <c:orientation val="minMax"/>
          <c:max val="8"/>
          <c:min val="1"/>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Thousands</a:t>
                </a:r>
              </a:p>
            </c:rich>
          </c:tx>
          <c:layout>
            <c:manualLayout>
              <c:xMode val="edge"/>
              <c:yMode val="edge"/>
              <c:x val="2.7776576018222923E-3"/>
              <c:y val="0.2139658063575386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32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5390639680431E-2"/>
          <c:y val="5.0925925925925923E-2"/>
          <c:w val="0.89409054815030342"/>
          <c:h val="0.65706765820939061"/>
        </c:manualLayout>
      </c:layout>
      <c:barChart>
        <c:barDir val="col"/>
        <c:grouping val="clustered"/>
        <c:varyColors val="0"/>
        <c:ser>
          <c:idx val="1"/>
          <c:order val="1"/>
          <c:tx>
            <c:strRef>
              <c:f>Remittances!$A$12</c:f>
              <c:strCache>
                <c:ptCount val="1"/>
                <c:pt idx="0">
                  <c:v>Remittances inflows (EUR, millions)</c:v>
                </c:pt>
              </c:strCache>
            </c:strRef>
          </c:tx>
          <c:spPr>
            <a:solidFill>
              <a:schemeClr val="accent1"/>
            </a:solidFill>
            <a:ln>
              <a:solidFill>
                <a:schemeClr val="accent1"/>
              </a:solidFill>
            </a:ln>
            <a:effectLst/>
          </c:spPr>
          <c:invertIfNegative val="0"/>
          <c:cat>
            <c:numRef>
              <c:f>Remittances!$B$11:$O$11</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Remittances!$B$12:$O$12</c:f>
              <c:numCache>
                <c:formatCode>0</c:formatCode>
                <c:ptCount val="14"/>
                <c:pt idx="0">
                  <c:v>109.62055651710824</c:v>
                </c:pt>
                <c:pt idx="1">
                  <c:v>106.28520675022203</c:v>
                </c:pt>
                <c:pt idx="2">
                  <c:v>3806.2569141595363</c:v>
                </c:pt>
                <c:pt idx="3">
                  <c:v>5478.506526674234</c:v>
                </c:pt>
                <c:pt idx="4">
                  <c:v>6181.7805711203664</c:v>
                </c:pt>
                <c:pt idx="5">
                  <c:v>6350.7715806337737</c:v>
                </c:pt>
                <c:pt idx="6">
                  <c:v>3512.5276237226535</c:v>
                </c:pt>
                <c:pt idx="7">
                  <c:v>2928.1156559538231</c:v>
                </c:pt>
                <c:pt idx="8">
                  <c:v>2797.6132990396186</c:v>
                </c:pt>
                <c:pt idx="9">
                  <c:v>2859.5526929982043</c:v>
                </c:pt>
                <c:pt idx="10">
                  <c:v>2650.1199592668027</c:v>
                </c:pt>
                <c:pt idx="11">
                  <c:v>2547.7309994150201</c:v>
                </c:pt>
                <c:pt idx="12">
                  <c:v>2780.1089988751405</c:v>
                </c:pt>
                <c:pt idx="13">
                  <c:v>3176.2779014874855</c:v>
                </c:pt>
              </c:numCache>
            </c:numRef>
          </c:val>
          <c:extLst>
            <c:ext xmlns:c16="http://schemas.microsoft.com/office/drawing/2014/chart" uri="{C3380CC4-5D6E-409C-BE32-E72D297353CC}">
              <c16:uniqueId val="{00000000-DD9E-4699-A21D-596821FB3E39}"/>
            </c:ext>
          </c:extLst>
        </c:ser>
        <c:dLbls>
          <c:showLegendKey val="0"/>
          <c:showVal val="0"/>
          <c:showCatName val="0"/>
          <c:showSerName val="0"/>
          <c:showPercent val="0"/>
          <c:showBubbleSize val="0"/>
        </c:dLbls>
        <c:gapWidth val="150"/>
        <c:axId val="415361280"/>
        <c:axId val="415432704"/>
        <c:extLst>
          <c:ext xmlns:c15="http://schemas.microsoft.com/office/drawing/2012/chart" uri="{02D57815-91ED-43cb-92C2-25804820EDAC}">
            <c15:filteredBarSeries>
              <c15:ser>
                <c:idx val="0"/>
                <c:order val="0"/>
                <c:tx>
                  <c:strRef>
                    <c:extLst>
                      <c:ext uri="{02D57815-91ED-43cb-92C2-25804820EDAC}">
                        <c15:formulaRef>
                          <c15:sqref>Remittances!$A$11</c15:sqref>
                        </c15:formulaRef>
                      </c:ext>
                    </c:extLst>
                    <c:strCache>
                      <c:ptCount val="1"/>
                      <c:pt idx="0">
                        <c:v>EUR$ millions</c:v>
                      </c:pt>
                    </c:strCache>
                  </c:strRef>
                </c:tx>
                <c:spPr>
                  <a:solidFill>
                    <a:schemeClr val="accent1"/>
                  </a:solidFill>
                  <a:ln>
                    <a:noFill/>
                  </a:ln>
                  <a:effectLst/>
                </c:spPr>
                <c:invertIfNegative val="0"/>
                <c:cat>
                  <c:numRef>
                    <c:extLst>
                      <c:ext uri="{02D57815-91ED-43cb-92C2-25804820EDAC}">
                        <c15:formulaRef>
                          <c15:sqref>Remittances!$B$11:$O$11</c15:sqref>
                        </c15:formulaRef>
                      </c:ext>
                    </c:extLst>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extLst>
                      <c:ext uri="{02D57815-91ED-43cb-92C2-25804820EDAC}">
                        <c15:formulaRef>
                          <c15:sqref>Remittances!$G$11:$O$11</c15:sqref>
                        </c15:formulaRef>
                      </c:ext>
                    </c:extLst>
                    <c:numCache>
                      <c:formatCode>General</c:formatCode>
                      <c:ptCount val="9"/>
                      <c:pt idx="0">
                        <c:v>2008</c:v>
                      </c:pt>
                      <c:pt idx="1">
                        <c:v>2009</c:v>
                      </c:pt>
                      <c:pt idx="2">
                        <c:v>2010</c:v>
                      </c:pt>
                      <c:pt idx="3">
                        <c:v>2011</c:v>
                      </c:pt>
                      <c:pt idx="4">
                        <c:v>2012</c:v>
                      </c:pt>
                      <c:pt idx="5">
                        <c:v>2013</c:v>
                      </c:pt>
                      <c:pt idx="6">
                        <c:v>2014</c:v>
                      </c:pt>
                      <c:pt idx="7">
                        <c:v>2015</c:v>
                      </c:pt>
                      <c:pt idx="8">
                        <c:v>2016</c:v>
                      </c:pt>
                    </c:numCache>
                  </c:numRef>
                </c:val>
                <c:extLst>
                  <c:ext xmlns:c16="http://schemas.microsoft.com/office/drawing/2014/chart" uri="{C3380CC4-5D6E-409C-BE32-E72D297353CC}">
                    <c16:uniqueId val="{00000002-DD9E-4699-A21D-596821FB3E39}"/>
                  </c:ext>
                </c:extLst>
              </c15:ser>
            </c15:filteredBarSeries>
          </c:ext>
        </c:extLst>
      </c:barChart>
      <c:lineChart>
        <c:grouping val="standard"/>
        <c:varyColors val="0"/>
        <c:ser>
          <c:idx val="2"/>
          <c:order val="2"/>
          <c:tx>
            <c:strRef>
              <c:f>Remittances!$A$14</c:f>
              <c:strCache>
                <c:ptCount val="1"/>
                <c:pt idx="0">
                  <c:v>Remittances inflows (% GDP) - RHS</c:v>
                </c:pt>
              </c:strCache>
            </c:strRef>
          </c:tx>
          <c:spPr>
            <a:ln w="28575" cap="rnd">
              <a:solidFill>
                <a:schemeClr val="accent2"/>
              </a:solidFill>
              <a:round/>
            </a:ln>
            <a:effectLst/>
          </c:spPr>
          <c:marker>
            <c:symbol val="none"/>
          </c:marker>
          <c:val>
            <c:numRef>
              <c:f>Remittances!$B$14:$O$14</c:f>
              <c:numCache>
                <c:formatCode>0.0</c:formatCode>
                <c:ptCount val="14"/>
                <c:pt idx="0">
                  <c:v>0.20710086058662835</c:v>
                </c:pt>
                <c:pt idx="1">
                  <c:v>0.17309166625988867</c:v>
                </c:pt>
                <c:pt idx="2">
                  <c:v>4.7444418167761109</c:v>
                </c:pt>
                <c:pt idx="3">
                  <c:v>5.5665357225912926</c:v>
                </c:pt>
                <c:pt idx="4">
                  <c:v>4.9295159231092356</c:v>
                </c:pt>
                <c:pt idx="5">
                  <c:v>4.4599273861987809</c:v>
                </c:pt>
                <c:pt idx="6">
                  <c:v>2.9171588414528569</c:v>
                </c:pt>
                <c:pt idx="7">
                  <c:v>2.3102160345018268</c:v>
                </c:pt>
                <c:pt idx="8">
                  <c:v>2.0986417698238555</c:v>
                </c:pt>
                <c:pt idx="9">
                  <c:v>2.1418041403192567</c:v>
                </c:pt>
                <c:pt idx="10">
                  <c:v>1.8371269738805662</c:v>
                </c:pt>
                <c:pt idx="11">
                  <c:v>1.6944488964069102</c:v>
                </c:pt>
                <c:pt idx="12">
                  <c:v>1.737962424522026</c:v>
                </c:pt>
                <c:pt idx="13">
                  <c:v>1.8730472280839832</c:v>
                </c:pt>
              </c:numCache>
            </c:numRef>
          </c:val>
          <c:smooth val="0"/>
          <c:extLst>
            <c:ext xmlns:c16="http://schemas.microsoft.com/office/drawing/2014/chart" uri="{C3380CC4-5D6E-409C-BE32-E72D297353CC}">
              <c16:uniqueId val="{00000001-DD9E-4699-A21D-596821FB3E39}"/>
            </c:ext>
          </c:extLst>
        </c:ser>
        <c:dLbls>
          <c:showLegendKey val="0"/>
          <c:showVal val="0"/>
          <c:showCatName val="0"/>
          <c:showSerName val="0"/>
          <c:showPercent val="0"/>
          <c:showBubbleSize val="0"/>
        </c:dLbls>
        <c:marker val="1"/>
        <c:smooth val="0"/>
        <c:axId val="415435776"/>
        <c:axId val="415434240"/>
      </c:lineChart>
      <c:catAx>
        <c:axId val="41536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15432704"/>
        <c:crosses val="autoZero"/>
        <c:auto val="1"/>
        <c:lblAlgn val="ctr"/>
        <c:lblOffset val="100"/>
        <c:noMultiLvlLbl val="0"/>
      </c:catAx>
      <c:valAx>
        <c:axId val="415432704"/>
        <c:scaling>
          <c:orientation val="minMax"/>
        </c:scaling>
        <c:delete val="0"/>
        <c:axPos val="l"/>
        <c:majorGridlines>
          <c:spPr>
            <a:ln w="9525" cap="flat" cmpd="sng" algn="ctr">
              <a:solidFill>
                <a:schemeClr val="bg1"/>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15361280"/>
        <c:crosses val="autoZero"/>
        <c:crossBetween val="between"/>
      </c:valAx>
      <c:valAx>
        <c:axId val="41543424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5435776"/>
        <c:crosses val="max"/>
        <c:crossBetween val="between"/>
      </c:valAx>
      <c:catAx>
        <c:axId val="415435776"/>
        <c:scaling>
          <c:orientation val="minMax"/>
        </c:scaling>
        <c:delete val="1"/>
        <c:axPos val="b"/>
        <c:majorTickMark val="out"/>
        <c:minorTickMark val="none"/>
        <c:tickLblPos val="nextTo"/>
        <c:crossAx val="415434240"/>
        <c:crosses val="autoZero"/>
        <c:auto val="1"/>
        <c:lblAlgn val="ctr"/>
        <c:lblOffset val="100"/>
        <c:noMultiLvlLbl val="0"/>
      </c:catAx>
      <c:spPr>
        <a:noFill/>
        <a:ln>
          <a:noFill/>
        </a:ln>
        <a:effectLst/>
      </c:spPr>
    </c:plotArea>
    <c:legend>
      <c:legendPos val="b"/>
      <c:layout>
        <c:manualLayout>
          <c:xMode val="edge"/>
          <c:yMode val="edge"/>
          <c:x val="0.21009078914867851"/>
          <c:y val="0.84413969087197438"/>
          <c:w val="0.58593930923133464"/>
          <c:h val="0.12808253135024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Remittances!$A$12</c:f>
              <c:strCache>
                <c:ptCount val="1"/>
                <c:pt idx="0">
                  <c:v>Remittances inflows (EUR, millions)</c:v>
                </c:pt>
              </c:strCache>
            </c:strRef>
          </c:tx>
          <c:spPr>
            <a:ln w="28575" cap="rnd">
              <a:solidFill>
                <a:schemeClr val="accent1"/>
              </a:solidFill>
              <a:round/>
            </a:ln>
            <a:effectLst/>
          </c:spPr>
          <c:marker>
            <c:symbol val="none"/>
          </c:marker>
          <c:cat>
            <c:numRef>
              <c:f>Remittances!$E$11:$O$11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Remittances!$E$12:$O$12</c:f>
              <c:numCache>
                <c:formatCode>0</c:formatCode>
                <c:ptCount val="11"/>
                <c:pt idx="0">
                  <c:v>5478.506526674234</c:v>
                </c:pt>
                <c:pt idx="1">
                  <c:v>6181.7805711203664</c:v>
                </c:pt>
                <c:pt idx="2">
                  <c:v>6350.7715806337737</c:v>
                </c:pt>
                <c:pt idx="3">
                  <c:v>3512.5276237226535</c:v>
                </c:pt>
                <c:pt idx="4">
                  <c:v>2928.1156559538231</c:v>
                </c:pt>
                <c:pt idx="5">
                  <c:v>2797.6132990396186</c:v>
                </c:pt>
                <c:pt idx="6">
                  <c:v>2859.5526929982043</c:v>
                </c:pt>
                <c:pt idx="7">
                  <c:v>2650.1199592668027</c:v>
                </c:pt>
                <c:pt idx="8">
                  <c:v>2547.7309994150201</c:v>
                </c:pt>
                <c:pt idx="9">
                  <c:v>2780.1089988751405</c:v>
                </c:pt>
                <c:pt idx="10">
                  <c:v>3176.2779014874855</c:v>
                </c:pt>
              </c:numCache>
            </c:numRef>
          </c:val>
          <c:smooth val="0"/>
          <c:extLst>
            <c:ext xmlns:c16="http://schemas.microsoft.com/office/drawing/2014/chart" uri="{C3380CC4-5D6E-409C-BE32-E72D297353CC}">
              <c16:uniqueId val="{00000000-BAE6-4B05-B820-0501B66B3A36}"/>
            </c:ext>
          </c:extLst>
        </c:ser>
        <c:dLbls>
          <c:showLegendKey val="0"/>
          <c:showVal val="0"/>
          <c:showCatName val="0"/>
          <c:showSerName val="0"/>
          <c:showPercent val="0"/>
          <c:showBubbleSize val="0"/>
        </c:dLbls>
        <c:marker val="1"/>
        <c:smooth val="0"/>
        <c:axId val="415471104"/>
        <c:axId val="415472640"/>
      </c:lineChart>
      <c:lineChart>
        <c:grouping val="standard"/>
        <c:varyColors val="0"/>
        <c:ser>
          <c:idx val="1"/>
          <c:order val="1"/>
          <c:tx>
            <c:strRef>
              <c:f>Remittances!$A$16</c:f>
              <c:strCache>
                <c:ptCount val="1"/>
                <c:pt idx="0">
                  <c:v>Poverty rate $5.50/day 2011 PPP (%) - RHS</c:v>
                </c:pt>
              </c:strCache>
            </c:strRef>
          </c:tx>
          <c:spPr>
            <a:ln w="28575" cap="rnd">
              <a:solidFill>
                <a:schemeClr val="accent2"/>
              </a:solidFill>
              <a:round/>
            </a:ln>
            <a:effectLst/>
          </c:spPr>
          <c:marker>
            <c:symbol val="none"/>
          </c:marker>
          <c:cat>
            <c:numRef>
              <c:f>Remittances!$E$11:$O$11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Remittances!$E$16:$O$16</c:f>
              <c:numCache>
                <c:formatCode>0.0</c:formatCode>
                <c:ptCount val="11"/>
                <c:pt idx="0">
                  <c:v>40.34962958933945</c:v>
                </c:pt>
                <c:pt idx="1">
                  <c:v>33.801907359361373</c:v>
                </c:pt>
                <c:pt idx="2">
                  <c:v>27.047567008988509</c:v>
                </c:pt>
                <c:pt idx="3">
                  <c:v>25.642157832805822</c:v>
                </c:pt>
                <c:pt idx="4">
                  <c:v>28.051675983911291</c:v>
                </c:pt>
                <c:pt idx="5">
                  <c:v>31.657166711141549</c:v>
                </c:pt>
                <c:pt idx="6">
                  <c:v>31.642499020535769</c:v>
                </c:pt>
                <c:pt idx="7">
                  <c:v>31.485302246861629</c:v>
                </c:pt>
                <c:pt idx="8">
                  <c:v>28.696528158295589</c:v>
                </c:pt>
                <c:pt idx="9">
                  <c:v>26.07935997580827</c:v>
                </c:pt>
                <c:pt idx="10">
                  <c:v>25.027261746589041</c:v>
                </c:pt>
              </c:numCache>
            </c:numRef>
          </c:val>
          <c:smooth val="0"/>
          <c:extLst>
            <c:ext xmlns:c16="http://schemas.microsoft.com/office/drawing/2014/chart" uri="{C3380CC4-5D6E-409C-BE32-E72D297353CC}">
              <c16:uniqueId val="{00000001-BAE6-4B05-B820-0501B66B3A36}"/>
            </c:ext>
          </c:extLst>
        </c:ser>
        <c:dLbls>
          <c:showLegendKey val="0"/>
          <c:showVal val="0"/>
          <c:showCatName val="0"/>
          <c:showSerName val="0"/>
          <c:showPercent val="0"/>
          <c:showBubbleSize val="0"/>
        </c:dLbls>
        <c:marker val="1"/>
        <c:smooth val="0"/>
        <c:axId val="415480064"/>
        <c:axId val="415478528"/>
      </c:lineChart>
      <c:catAx>
        <c:axId val="41547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15472640"/>
        <c:crosses val="autoZero"/>
        <c:auto val="1"/>
        <c:lblAlgn val="ctr"/>
        <c:lblOffset val="100"/>
        <c:noMultiLvlLbl val="0"/>
      </c:catAx>
      <c:valAx>
        <c:axId val="415472640"/>
        <c:scaling>
          <c:orientation val="minMax"/>
        </c:scaling>
        <c:delete val="0"/>
        <c:axPos val="l"/>
        <c:majorGridlines>
          <c:spPr>
            <a:ln w="9525" cap="flat" cmpd="sng" algn="ctr">
              <a:solidFill>
                <a:schemeClr val="bg1"/>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5471104"/>
        <c:crosses val="autoZero"/>
        <c:crossBetween val="between"/>
      </c:valAx>
      <c:valAx>
        <c:axId val="41547852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5480064"/>
        <c:crosses val="max"/>
        <c:crossBetween val="between"/>
      </c:valAx>
      <c:catAx>
        <c:axId val="415480064"/>
        <c:scaling>
          <c:orientation val="minMax"/>
        </c:scaling>
        <c:delete val="1"/>
        <c:axPos val="b"/>
        <c:numFmt formatCode="General" sourceLinked="1"/>
        <c:majorTickMark val="out"/>
        <c:minorTickMark val="none"/>
        <c:tickLblPos val="nextTo"/>
        <c:crossAx val="4154785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00845727617378"/>
          <c:y val="5.0925925925925923E-2"/>
          <c:w val="0.47353475260036942"/>
          <c:h val="0.82775444736074655"/>
        </c:manualLayout>
      </c:layout>
      <c:barChart>
        <c:barDir val="col"/>
        <c:grouping val="stacked"/>
        <c:varyColors val="0"/>
        <c:ser>
          <c:idx val="0"/>
          <c:order val="0"/>
          <c:tx>
            <c:strRef>
              <c:f>' Migration'!$Q$33</c:f>
              <c:strCache>
                <c:ptCount val="1"/>
                <c:pt idx="0">
                  <c:v>Change in total population</c:v>
                </c:pt>
              </c:strCache>
            </c:strRef>
          </c:tx>
          <c:spPr>
            <a:solidFill>
              <a:schemeClr val="accent1"/>
            </a:solidFill>
            <a:ln>
              <a:noFill/>
            </a:ln>
            <a:effectLst/>
          </c:spPr>
          <c:invertIfNegative val="0"/>
          <c:dLbls>
            <c:dLbl>
              <c:idx val="0"/>
              <c:layout>
                <c:manualLayout>
                  <c:x val="0"/>
                  <c:y val="-0.2314814814814814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49-4EFF-8EF1-26387AB98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 Migration'!$R$33</c:f>
              <c:numCache>
                <c:formatCode>_(* #,##0.00_);_(* \(#,##0.00\);_(* "-"??_);_(@_)</c:formatCode>
                <c:ptCount val="1"/>
                <c:pt idx="0">
                  <c:v>-3.1809380000000012</c:v>
                </c:pt>
              </c:numCache>
            </c:numRef>
          </c:val>
          <c:extLst>
            <c:ext xmlns:c16="http://schemas.microsoft.com/office/drawing/2014/chart" uri="{C3380CC4-5D6E-409C-BE32-E72D297353CC}">
              <c16:uniqueId val="{00000001-C049-4EFF-8EF1-26387AB98148}"/>
            </c:ext>
          </c:extLst>
        </c:ser>
        <c:ser>
          <c:idx val="1"/>
          <c:order val="1"/>
          <c:tx>
            <c:strRef>
              <c:f>' Migration'!$Q$34</c:f>
              <c:strCache>
                <c:ptCount val="1"/>
                <c:pt idx="0">
                  <c:v>Change in migration stock</c:v>
                </c:pt>
              </c:strCache>
            </c:strRef>
          </c:tx>
          <c:spPr>
            <a:solidFill>
              <a:schemeClr val="accent2">
                <a:lumMod val="60000"/>
                <a:lumOff val="40000"/>
              </a:schemeClr>
            </a:solidFill>
            <a:ln>
              <a:noFill/>
            </a:ln>
            <a:effectLst/>
          </c:spPr>
          <c:invertIfNegative val="0"/>
          <c:dLbls>
            <c:dLbl>
              <c:idx val="0"/>
              <c:layout>
                <c:manualLayout>
                  <c:x val="-3.5296710541126365E-3"/>
                  <c:y val="-0.180555555555555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49-4EFF-8EF1-26387AB98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 Migration'!$R$34</c:f>
              <c:numCache>
                <c:formatCode>_(* #,##0.00_);_(* \(#,##0.00\);_(* "-"??_);_(@_)</c:formatCode>
                <c:ptCount val="1"/>
                <c:pt idx="0">
                  <c:v>2.438504</c:v>
                </c:pt>
              </c:numCache>
            </c:numRef>
          </c:val>
          <c:extLst>
            <c:ext xmlns:c16="http://schemas.microsoft.com/office/drawing/2014/chart" uri="{C3380CC4-5D6E-409C-BE32-E72D297353CC}">
              <c16:uniqueId val="{00000003-C049-4EFF-8EF1-26387AB98148}"/>
            </c:ext>
          </c:extLst>
        </c:ser>
        <c:dLbls>
          <c:showLegendKey val="0"/>
          <c:showVal val="0"/>
          <c:showCatName val="0"/>
          <c:showSerName val="0"/>
          <c:showPercent val="0"/>
          <c:showBubbleSize val="0"/>
        </c:dLbls>
        <c:gapWidth val="219"/>
        <c:overlap val="100"/>
        <c:axId val="412765568"/>
        <c:axId val="412767360"/>
      </c:barChart>
      <c:catAx>
        <c:axId val="412765568"/>
        <c:scaling>
          <c:orientation val="minMax"/>
        </c:scaling>
        <c:delete val="1"/>
        <c:axPos val="b"/>
        <c:numFmt formatCode="General" sourceLinked="1"/>
        <c:majorTickMark val="none"/>
        <c:minorTickMark val="none"/>
        <c:tickLblPos val="nextTo"/>
        <c:crossAx val="412767360"/>
        <c:crosses val="autoZero"/>
        <c:auto val="1"/>
        <c:lblAlgn val="ctr"/>
        <c:lblOffset val="100"/>
        <c:noMultiLvlLbl val="0"/>
      </c:catAx>
      <c:valAx>
        <c:axId val="412767360"/>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 persons</a:t>
                </a:r>
              </a:p>
            </c:rich>
          </c:tx>
          <c:layout>
            <c:manualLayout>
              <c:xMode val="edge"/>
              <c:yMode val="edge"/>
              <c:x val="9.876543209876543E-3"/>
              <c:y val="0.19493037328667251"/>
            </c:manualLayout>
          </c:layout>
          <c:overlay val="0"/>
          <c:spPr>
            <a:noFill/>
            <a:ln>
              <a:noFill/>
            </a:ln>
            <a:effectLst/>
          </c:sp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765568"/>
        <c:crosses val="autoZero"/>
        <c:crossBetween val="between"/>
      </c:valAx>
      <c:spPr>
        <a:noFill/>
        <a:ln>
          <a:noFill/>
        </a:ln>
        <a:effectLst/>
      </c:spPr>
    </c:plotArea>
    <c:legend>
      <c:legendPos val="r"/>
      <c:layout>
        <c:manualLayout>
          <c:xMode val="edge"/>
          <c:yMode val="edge"/>
          <c:x val="0.66172839506172842"/>
          <c:y val="0.15426405529413145"/>
          <c:w val="0.30864197530864196"/>
          <c:h val="0.524557306640693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234209063012716"/>
          <c:y val="1.7663535799452498E-2"/>
          <c:w val="0.72925433688705232"/>
          <c:h val="0.62851025820725293"/>
        </c:manualLayout>
      </c:layout>
      <c:barChart>
        <c:barDir val="col"/>
        <c:grouping val="percentStacked"/>
        <c:varyColors val="0"/>
        <c:ser>
          <c:idx val="3"/>
          <c:order val="0"/>
          <c:tx>
            <c:strRef>
              <c:f>Results!$C$57</c:f>
              <c:strCache>
                <c:ptCount val="1"/>
                <c:pt idx="0">
                  <c:v>Total Factor Productivity (gA)</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Results!$D$40:$F$40</c:f>
              <c:strCache>
                <c:ptCount val="3"/>
                <c:pt idx="0">
                  <c:v>2000-2016</c:v>
                </c:pt>
                <c:pt idx="1">
                  <c:v>2000-2008</c:v>
                </c:pt>
                <c:pt idx="2">
                  <c:v>2009-2016</c:v>
                </c:pt>
              </c:strCache>
              <c:extLst/>
            </c:strRef>
          </c:cat>
          <c:val>
            <c:numRef>
              <c:f>Results!$D$44:$F$44</c:f>
              <c:numCache>
                <c:formatCode>#,##0</c:formatCode>
                <c:ptCount val="3"/>
                <c:pt idx="0">
                  <c:v>68.102324747815203</c:v>
                </c:pt>
                <c:pt idx="1">
                  <c:v>80.361813338373423</c:v>
                </c:pt>
                <c:pt idx="2">
                  <c:v>49.544807406659203</c:v>
                </c:pt>
              </c:numCache>
              <c:extLst/>
            </c:numRef>
          </c:val>
          <c:extLst>
            <c:ext xmlns:c16="http://schemas.microsoft.com/office/drawing/2014/chart" uri="{C3380CC4-5D6E-409C-BE32-E72D297353CC}">
              <c16:uniqueId val="{00000000-3F4C-46D6-AC0E-220E2EFF4228}"/>
            </c:ext>
          </c:extLst>
        </c:ser>
        <c:ser>
          <c:idx val="2"/>
          <c:order val="1"/>
          <c:tx>
            <c:strRef>
              <c:f>Results!$C$56</c:f>
              <c:strCache>
                <c:ptCount val="1"/>
                <c:pt idx="0">
                  <c:v>Human Capital per Labor ((1-α) * gh)</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Results!$D$40:$F$40</c:f>
              <c:strCache>
                <c:ptCount val="3"/>
                <c:pt idx="0">
                  <c:v>2000-2016</c:v>
                </c:pt>
                <c:pt idx="1">
                  <c:v>2000-2008</c:v>
                </c:pt>
                <c:pt idx="2">
                  <c:v>2009-2016</c:v>
                </c:pt>
              </c:strCache>
              <c:extLst/>
            </c:strRef>
          </c:cat>
          <c:val>
            <c:numRef>
              <c:f>Results!$D$43:$F$43</c:f>
              <c:numCache>
                <c:formatCode>#,##0</c:formatCode>
                <c:ptCount val="3"/>
                <c:pt idx="0">
                  <c:v>3.438467695077402</c:v>
                </c:pt>
                <c:pt idx="1">
                  <c:v>3.4269680538650178</c:v>
                </c:pt>
                <c:pt idx="2">
                  <c:v>-0.57913979448961905</c:v>
                </c:pt>
              </c:numCache>
              <c:extLst/>
            </c:numRef>
          </c:val>
          <c:extLst>
            <c:ext xmlns:c16="http://schemas.microsoft.com/office/drawing/2014/chart" uri="{C3380CC4-5D6E-409C-BE32-E72D297353CC}">
              <c16:uniqueId val="{00000001-3F4C-46D6-AC0E-220E2EFF4228}"/>
            </c:ext>
          </c:extLst>
        </c:ser>
        <c:ser>
          <c:idx val="1"/>
          <c:order val="2"/>
          <c:tx>
            <c:strRef>
              <c:f>Results!$C$55</c:f>
              <c:strCache>
                <c:ptCount val="1"/>
                <c:pt idx="0">
                  <c:v>Labor ((1-α) * gL*)</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Results!$D$40:$F$40</c:f>
              <c:strCache>
                <c:ptCount val="3"/>
                <c:pt idx="0">
                  <c:v>2000-2016</c:v>
                </c:pt>
                <c:pt idx="1">
                  <c:v>2000-2008</c:v>
                </c:pt>
                <c:pt idx="2">
                  <c:v>2009-2016</c:v>
                </c:pt>
              </c:strCache>
              <c:extLst/>
            </c:strRef>
          </c:cat>
          <c:val>
            <c:numRef>
              <c:f>Results!$D$42:$F$42</c:f>
              <c:numCache>
                <c:formatCode>#,##0</c:formatCode>
                <c:ptCount val="3"/>
                <c:pt idx="0">
                  <c:v>-21.81598962261851</c:v>
                </c:pt>
                <c:pt idx="1">
                  <c:v>-21.50958575757608</c:v>
                </c:pt>
                <c:pt idx="2">
                  <c:v>-4.5679195617040564</c:v>
                </c:pt>
              </c:numCache>
              <c:extLst/>
            </c:numRef>
          </c:val>
          <c:extLst>
            <c:ext xmlns:c16="http://schemas.microsoft.com/office/drawing/2014/chart" uri="{C3380CC4-5D6E-409C-BE32-E72D297353CC}">
              <c16:uniqueId val="{00000002-3F4C-46D6-AC0E-220E2EFF4228}"/>
            </c:ext>
          </c:extLst>
        </c:ser>
        <c:ser>
          <c:idx val="0"/>
          <c:order val="3"/>
          <c:tx>
            <c:strRef>
              <c:f>Results!$C$54</c:f>
              <c:strCache>
                <c:ptCount val="1"/>
                <c:pt idx="0">
                  <c:v>Capital Stock (α * gK)</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Results!$D$40:$F$40</c:f>
              <c:strCache>
                <c:ptCount val="3"/>
                <c:pt idx="0">
                  <c:v>2000-2016</c:v>
                </c:pt>
                <c:pt idx="1">
                  <c:v>2000-2008</c:v>
                </c:pt>
                <c:pt idx="2">
                  <c:v>2009-2016</c:v>
                </c:pt>
              </c:strCache>
              <c:extLst/>
            </c:strRef>
          </c:cat>
          <c:val>
            <c:numRef>
              <c:f>Results!$D$41:$F$41</c:f>
              <c:numCache>
                <c:formatCode>#,##0</c:formatCode>
                <c:ptCount val="3"/>
                <c:pt idx="0">
                  <c:v>50.275197179725907</c:v>
                </c:pt>
                <c:pt idx="1">
                  <c:v>37.720804365337592</c:v>
                </c:pt>
                <c:pt idx="2">
                  <c:v>55.602251949534413</c:v>
                </c:pt>
              </c:numCache>
              <c:extLst/>
            </c:numRef>
          </c:val>
          <c:extLst>
            <c:ext xmlns:c16="http://schemas.microsoft.com/office/drawing/2014/chart" uri="{C3380CC4-5D6E-409C-BE32-E72D297353CC}">
              <c16:uniqueId val="{00000003-3F4C-46D6-AC0E-220E2EFF4228}"/>
            </c:ext>
          </c:extLst>
        </c:ser>
        <c:dLbls>
          <c:dLblPos val="ctr"/>
          <c:showLegendKey val="0"/>
          <c:showVal val="1"/>
          <c:showCatName val="0"/>
          <c:showSerName val="0"/>
          <c:showPercent val="0"/>
          <c:showBubbleSize val="0"/>
        </c:dLbls>
        <c:gapWidth val="50"/>
        <c:overlap val="100"/>
        <c:axId val="345859968"/>
        <c:axId val="345867008"/>
      </c:barChart>
      <c:barChart>
        <c:barDir val="col"/>
        <c:grouping val="percentStacked"/>
        <c:varyColors val="0"/>
        <c:ser>
          <c:idx val="4"/>
          <c:order val="4"/>
          <c:tx>
            <c:strRef>
              <c:f>Results!$C$58</c:f>
              <c:strCache>
                <c:ptCount val="1"/>
                <c:pt idx="0">
                  <c:v>Total Period</c:v>
                </c:pt>
              </c:strCache>
            </c:strRef>
          </c:tx>
          <c:spPr>
            <a:solidFill>
              <a:sysClr val="windowText" lastClr="000000">
                <a:alpha val="10000"/>
              </a:sysClr>
            </a:solidFill>
            <a:ln w="12700" cmpd="dbl">
              <a:prstDash val="solid"/>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3F4C-46D6-AC0E-220E2EFF4228}"/>
                </c:ext>
              </c:extLst>
            </c:dLbl>
            <c:dLbl>
              <c:idx val="2"/>
              <c:delete val="1"/>
              <c:extLst>
                <c:ext xmlns:c15="http://schemas.microsoft.com/office/drawing/2012/chart" uri="{CE6537A1-D6FC-4f65-9D91-7224C49458BB}"/>
                <c:ext xmlns:c16="http://schemas.microsoft.com/office/drawing/2014/chart" uri="{C3380CC4-5D6E-409C-BE32-E72D297353CC}">
                  <c16:uniqueId val="{00000005-3F4C-46D6-AC0E-220E2EFF4228}"/>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Results!$D$40:$F$40</c:f>
              <c:strCache>
                <c:ptCount val="3"/>
                <c:pt idx="0">
                  <c:v>2000-2016</c:v>
                </c:pt>
                <c:pt idx="1">
                  <c:v>2000-2008</c:v>
                </c:pt>
                <c:pt idx="2">
                  <c:v>2009-2016</c:v>
                </c:pt>
              </c:strCache>
              <c:extLst/>
            </c:strRef>
          </c:cat>
          <c:val>
            <c:numRef>
              <c:f>Results!$C$59:$F$59</c:f>
              <c:numCache>
                <c:formatCode>General</c:formatCode>
                <c:ptCount val="3"/>
                <c:pt idx="0">
                  <c:v>1</c:v>
                </c:pt>
                <c:pt idx="1">
                  <c:v>0</c:v>
                </c:pt>
                <c:pt idx="2">
                  <c:v>0</c:v>
                </c:pt>
              </c:numCache>
              <c:extLst/>
            </c:numRef>
          </c:val>
          <c:extLst>
            <c:ext xmlns:c16="http://schemas.microsoft.com/office/drawing/2014/chart" uri="{C3380CC4-5D6E-409C-BE32-E72D297353CC}">
              <c16:uniqueId val="{00000006-3F4C-46D6-AC0E-220E2EFF4228}"/>
            </c:ext>
          </c:extLst>
        </c:ser>
        <c:dLbls>
          <c:dLblPos val="ctr"/>
          <c:showLegendKey val="0"/>
          <c:showVal val="1"/>
          <c:showCatName val="0"/>
          <c:showSerName val="0"/>
          <c:showPercent val="0"/>
          <c:showBubbleSize val="0"/>
        </c:dLbls>
        <c:gapWidth val="0"/>
        <c:overlap val="100"/>
        <c:axId val="345883008"/>
        <c:axId val="345868928"/>
      </c:barChart>
      <c:catAx>
        <c:axId val="345859968"/>
        <c:scaling>
          <c:orientation val="minMax"/>
        </c:scaling>
        <c:delete val="0"/>
        <c:axPos val="b"/>
        <c:numFmt formatCode="General" sourceLinked="0"/>
        <c:majorTickMark val="out"/>
        <c:minorTickMark val="none"/>
        <c:tickLblPos val="low"/>
        <c:txPr>
          <a:bodyPr rot="0"/>
          <a:lstStyle/>
          <a:p>
            <a:pPr>
              <a:defRPr/>
            </a:pPr>
            <a:endParaRPr lang="en-US"/>
          </a:p>
        </c:txPr>
        <c:crossAx val="345867008"/>
        <c:crosses val="autoZero"/>
        <c:auto val="1"/>
        <c:lblAlgn val="ctr"/>
        <c:lblOffset val="100"/>
        <c:tickLblSkip val="1"/>
        <c:noMultiLvlLbl val="0"/>
      </c:catAx>
      <c:valAx>
        <c:axId val="345867008"/>
        <c:scaling>
          <c:orientation val="minMax"/>
        </c:scaling>
        <c:delete val="0"/>
        <c:axPos val="l"/>
        <c:majorGridlines/>
        <c:title>
          <c:tx>
            <c:rich>
              <a:bodyPr rot="-5400000" vert="horz"/>
              <a:lstStyle/>
              <a:p>
                <a:pPr>
                  <a:defRPr/>
                </a:pPr>
                <a:r>
                  <a:rPr lang="en-US"/>
                  <a:t>Share of Real GDP Growth</a:t>
                </a:r>
              </a:p>
            </c:rich>
          </c:tx>
          <c:layout>
            <c:manualLayout>
              <c:xMode val="edge"/>
              <c:yMode val="edge"/>
              <c:x val="4.5792148321885297E-3"/>
              <c:y val="6.6752378717102462E-2"/>
            </c:manualLayout>
          </c:layout>
          <c:overlay val="0"/>
        </c:title>
        <c:numFmt formatCode="0%" sourceLinked="1"/>
        <c:majorTickMark val="out"/>
        <c:minorTickMark val="none"/>
        <c:tickLblPos val="nextTo"/>
        <c:crossAx val="345859968"/>
        <c:crosses val="autoZero"/>
        <c:crossBetween val="between"/>
        <c:majorUnit val="0.1"/>
      </c:valAx>
      <c:valAx>
        <c:axId val="345868928"/>
        <c:scaling>
          <c:orientation val="minMax"/>
          <c:max val="1"/>
          <c:min val="0"/>
        </c:scaling>
        <c:delete val="0"/>
        <c:axPos val="r"/>
        <c:numFmt formatCode="0%" sourceLinked="1"/>
        <c:majorTickMark val="none"/>
        <c:minorTickMark val="none"/>
        <c:tickLblPos val="none"/>
        <c:crossAx val="345883008"/>
        <c:crosses val="max"/>
        <c:crossBetween val="between"/>
      </c:valAx>
      <c:catAx>
        <c:axId val="345883008"/>
        <c:scaling>
          <c:orientation val="minMax"/>
        </c:scaling>
        <c:delete val="1"/>
        <c:axPos val="b"/>
        <c:numFmt formatCode="General" sourceLinked="1"/>
        <c:majorTickMark val="out"/>
        <c:minorTickMark val="none"/>
        <c:tickLblPos val="none"/>
        <c:crossAx val="345868928"/>
        <c:crosses val="autoZero"/>
        <c:auto val="1"/>
        <c:lblAlgn val="ctr"/>
        <c:lblOffset val="100"/>
        <c:noMultiLvlLbl val="0"/>
      </c:catAx>
    </c:plotArea>
    <c:legend>
      <c:legendPos val="b"/>
      <c:legendEntry>
        <c:idx val="4"/>
        <c:delete val="1"/>
      </c:legendEntry>
      <c:layout>
        <c:manualLayout>
          <c:xMode val="edge"/>
          <c:yMode val="edge"/>
          <c:x val="0.12384079649618265"/>
          <c:y val="0.76034680295271351"/>
          <c:w val="0.84042856345084538"/>
          <c:h val="0.22569179822558827"/>
        </c:manualLayout>
      </c:layout>
      <c:overlay val="0"/>
    </c:legend>
    <c:plotVisOnly val="1"/>
    <c:dispBlanksAs val="gap"/>
    <c:showDLblsOverMax val="0"/>
  </c:chart>
  <c:spPr>
    <a:ln>
      <a:solidFill>
        <a:sysClr val="windowText" lastClr="000000"/>
      </a:solidFill>
    </a:ln>
  </c:spPr>
  <c:txPr>
    <a:bodyPr/>
    <a:lstStyle/>
    <a:p>
      <a:pPr>
        <a:defRPr sz="800">
          <a:latin typeface="+mn-lt"/>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Sheet1!$A$10</c:f>
              <c:strCache>
                <c:ptCount val="1"/>
                <c:pt idx="0">
                  <c:v>Total number of Romanian physicians </c:v>
                </c:pt>
              </c:strCache>
            </c:strRef>
          </c:tx>
          <c:spPr>
            <a:solidFill>
              <a:schemeClr val="accent1"/>
            </a:solidFill>
            <a:ln>
              <a:noFill/>
            </a:ln>
            <a:effectLst/>
          </c:spPr>
          <c:invertIfNegative val="0"/>
          <c:cat>
            <c:numRef>
              <c:f>Sheet1!$B$9:$E$9</c:f>
              <c:numCache>
                <c:formatCode>General</c:formatCode>
                <c:ptCount val="4"/>
                <c:pt idx="0">
                  <c:v>1991</c:v>
                </c:pt>
                <c:pt idx="1">
                  <c:v>2000</c:v>
                </c:pt>
                <c:pt idx="2">
                  <c:v>2006</c:v>
                </c:pt>
                <c:pt idx="3">
                  <c:v>2013</c:v>
                </c:pt>
              </c:numCache>
            </c:numRef>
          </c:cat>
          <c:val>
            <c:numRef>
              <c:f>Sheet1!$B$10:$E$10</c:f>
              <c:numCache>
                <c:formatCode>General</c:formatCode>
                <c:ptCount val="4"/>
                <c:pt idx="0">
                  <c:v>39401</c:v>
                </c:pt>
                <c:pt idx="1">
                  <c:v>45786</c:v>
                </c:pt>
                <c:pt idx="2">
                  <c:v>46936</c:v>
                </c:pt>
                <c:pt idx="3">
                  <c:v>54086</c:v>
                </c:pt>
              </c:numCache>
            </c:numRef>
          </c:val>
          <c:extLst>
            <c:ext xmlns:c16="http://schemas.microsoft.com/office/drawing/2014/chart" uri="{C3380CC4-5D6E-409C-BE32-E72D297353CC}">
              <c16:uniqueId val="{00000000-67EC-4634-9EB6-62C45590A478}"/>
            </c:ext>
          </c:extLst>
        </c:ser>
        <c:dLbls>
          <c:showLegendKey val="0"/>
          <c:showVal val="0"/>
          <c:showCatName val="0"/>
          <c:showSerName val="0"/>
          <c:showPercent val="0"/>
          <c:showBubbleSize val="0"/>
        </c:dLbls>
        <c:gapWidth val="219"/>
        <c:axId val="345897984"/>
        <c:axId val="389067520"/>
      </c:barChart>
      <c:lineChart>
        <c:grouping val="standard"/>
        <c:varyColors val="0"/>
        <c:ser>
          <c:idx val="1"/>
          <c:order val="1"/>
          <c:tx>
            <c:strRef>
              <c:f>Sheet1!$A$11</c:f>
              <c:strCache>
                <c:ptCount val="1"/>
                <c:pt idx="0">
                  <c:v>Romanian physicians working abroad (rhs)</c:v>
                </c:pt>
              </c:strCache>
            </c:strRef>
          </c:tx>
          <c:spPr>
            <a:ln w="28575" cap="rnd">
              <a:solidFill>
                <a:schemeClr val="accent2"/>
              </a:solidFill>
              <a:round/>
            </a:ln>
            <a:effectLst/>
          </c:spPr>
          <c:marker>
            <c:symbol val="none"/>
          </c:marker>
          <c:cat>
            <c:numRef>
              <c:f>Sheet1!$B$9:$E$9</c:f>
              <c:numCache>
                <c:formatCode>General</c:formatCode>
                <c:ptCount val="4"/>
                <c:pt idx="0">
                  <c:v>1991</c:v>
                </c:pt>
                <c:pt idx="1">
                  <c:v>2000</c:v>
                </c:pt>
                <c:pt idx="2">
                  <c:v>2006</c:v>
                </c:pt>
                <c:pt idx="3">
                  <c:v>2013</c:v>
                </c:pt>
              </c:numCache>
            </c:numRef>
          </c:cat>
          <c:val>
            <c:numRef>
              <c:f>Sheet1!$B$11:$E$11</c:f>
              <c:numCache>
                <c:formatCode>General</c:formatCode>
                <c:ptCount val="4"/>
                <c:pt idx="0">
                  <c:v>1660</c:v>
                </c:pt>
                <c:pt idx="1">
                  <c:v>1857</c:v>
                </c:pt>
                <c:pt idx="2">
                  <c:v>5950</c:v>
                </c:pt>
                <c:pt idx="3">
                  <c:v>14232</c:v>
                </c:pt>
              </c:numCache>
            </c:numRef>
          </c:val>
          <c:smooth val="0"/>
          <c:extLst>
            <c:ext xmlns:c16="http://schemas.microsoft.com/office/drawing/2014/chart" uri="{C3380CC4-5D6E-409C-BE32-E72D297353CC}">
              <c16:uniqueId val="{00000001-67EC-4634-9EB6-62C45590A478}"/>
            </c:ext>
          </c:extLst>
        </c:ser>
        <c:dLbls>
          <c:showLegendKey val="0"/>
          <c:showVal val="0"/>
          <c:showCatName val="0"/>
          <c:showSerName val="0"/>
          <c:showPercent val="0"/>
          <c:showBubbleSize val="0"/>
        </c:dLbls>
        <c:marker val="1"/>
        <c:smooth val="0"/>
        <c:axId val="412946432"/>
        <c:axId val="389069056"/>
      </c:lineChart>
      <c:catAx>
        <c:axId val="34589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067520"/>
        <c:crosses val="autoZero"/>
        <c:auto val="1"/>
        <c:lblAlgn val="ctr"/>
        <c:lblOffset val="100"/>
        <c:noMultiLvlLbl val="0"/>
      </c:catAx>
      <c:valAx>
        <c:axId val="389067520"/>
        <c:scaling>
          <c:orientation val="minMax"/>
        </c:scaling>
        <c:delete val="0"/>
        <c:axPos val="l"/>
        <c:majorGridlines>
          <c:spPr>
            <a:ln w="9525" cap="flat" cmpd="sng" algn="ctr">
              <a:solidFill>
                <a:schemeClr val="bg1"/>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97984"/>
        <c:crosses val="autoZero"/>
        <c:crossBetween val="between"/>
      </c:valAx>
      <c:valAx>
        <c:axId val="38906905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946432"/>
        <c:crosses val="max"/>
        <c:crossBetween val="between"/>
      </c:valAx>
      <c:catAx>
        <c:axId val="412946432"/>
        <c:scaling>
          <c:orientation val="minMax"/>
        </c:scaling>
        <c:delete val="1"/>
        <c:axPos val="b"/>
        <c:numFmt formatCode="General" sourceLinked="1"/>
        <c:majorTickMark val="out"/>
        <c:minorTickMark val="none"/>
        <c:tickLblPos val="nextTo"/>
        <c:crossAx val="3890690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00808861156506"/>
          <c:y val="5.0925925925925923E-2"/>
          <c:w val="0.67615378266395942"/>
          <c:h val="0.61270953971220521"/>
        </c:manualLayout>
      </c:layout>
      <c:barChart>
        <c:barDir val="col"/>
        <c:grouping val="clustered"/>
        <c:varyColors val="0"/>
        <c:ser>
          <c:idx val="0"/>
          <c:order val="0"/>
          <c:tx>
            <c:strRef>
              <c:f>Sheet1!$A$13</c:f>
              <c:strCache>
                <c:ptCount val="1"/>
                <c:pt idx="0">
                  <c:v>Romanian physicians working abroad (% of total Romanian physicians)</c:v>
                </c:pt>
              </c:strCache>
            </c:strRef>
          </c:tx>
          <c:spPr>
            <a:solidFill>
              <a:schemeClr val="accent1"/>
            </a:solidFill>
            <a:ln>
              <a:noFill/>
            </a:ln>
            <a:effectLst/>
          </c:spPr>
          <c:invertIfNegative val="0"/>
          <c:cat>
            <c:numRef>
              <c:f>Sheet1!$B$12:$E$12</c:f>
              <c:numCache>
                <c:formatCode>General</c:formatCode>
                <c:ptCount val="4"/>
                <c:pt idx="0">
                  <c:v>1991</c:v>
                </c:pt>
                <c:pt idx="1">
                  <c:v>2000</c:v>
                </c:pt>
                <c:pt idx="2">
                  <c:v>2006</c:v>
                </c:pt>
                <c:pt idx="3">
                  <c:v>2013</c:v>
                </c:pt>
              </c:numCache>
            </c:numRef>
          </c:cat>
          <c:val>
            <c:numRef>
              <c:f>Sheet1!$B$13:$E$13</c:f>
              <c:numCache>
                <c:formatCode>0.0</c:formatCode>
                <c:ptCount val="4"/>
                <c:pt idx="0">
                  <c:v>4.2130910382985203</c:v>
                </c:pt>
                <c:pt idx="1">
                  <c:v>4.055824924649456</c:v>
                </c:pt>
                <c:pt idx="2">
                  <c:v>12.676836543378217</c:v>
                </c:pt>
                <c:pt idx="3">
                  <c:v>26.313648633657511</c:v>
                </c:pt>
              </c:numCache>
            </c:numRef>
          </c:val>
          <c:extLst>
            <c:ext xmlns:c16="http://schemas.microsoft.com/office/drawing/2014/chart" uri="{C3380CC4-5D6E-409C-BE32-E72D297353CC}">
              <c16:uniqueId val="{00000000-DCD3-479C-B30C-627CD3A1D450}"/>
            </c:ext>
          </c:extLst>
        </c:ser>
        <c:dLbls>
          <c:showLegendKey val="0"/>
          <c:showVal val="0"/>
          <c:showCatName val="0"/>
          <c:showSerName val="0"/>
          <c:showPercent val="0"/>
          <c:showBubbleSize val="0"/>
        </c:dLbls>
        <c:gapWidth val="219"/>
        <c:axId val="412973312"/>
        <c:axId val="412975104"/>
      </c:barChart>
      <c:lineChart>
        <c:grouping val="standard"/>
        <c:varyColors val="0"/>
        <c:ser>
          <c:idx val="1"/>
          <c:order val="1"/>
          <c:tx>
            <c:strRef>
              <c:f>Sheet1!$A$14</c:f>
              <c:strCache>
                <c:ptCount val="1"/>
                <c:pt idx="0">
                  <c:v>Romanian physicians working abroad (% change compared to 1991)</c:v>
                </c:pt>
              </c:strCache>
            </c:strRef>
          </c:tx>
          <c:spPr>
            <a:ln w="28575" cap="rnd">
              <a:solidFill>
                <a:schemeClr val="accent2"/>
              </a:solidFill>
              <a:round/>
            </a:ln>
            <a:effectLst/>
          </c:spPr>
          <c:marker>
            <c:symbol val="none"/>
          </c:marker>
          <c:cat>
            <c:numRef>
              <c:f>Sheet1!$B$12:$E$12</c:f>
              <c:numCache>
                <c:formatCode>General</c:formatCode>
                <c:ptCount val="4"/>
                <c:pt idx="0">
                  <c:v>1991</c:v>
                </c:pt>
                <c:pt idx="1">
                  <c:v>2000</c:v>
                </c:pt>
                <c:pt idx="2">
                  <c:v>2006</c:v>
                </c:pt>
                <c:pt idx="3">
                  <c:v>2013</c:v>
                </c:pt>
              </c:numCache>
            </c:numRef>
          </c:cat>
          <c:val>
            <c:numRef>
              <c:f>Sheet1!$B$14:$E$14</c:f>
              <c:numCache>
                <c:formatCode>General</c:formatCode>
                <c:ptCount val="4"/>
                <c:pt idx="0">
                  <c:v>0</c:v>
                </c:pt>
                <c:pt idx="1">
                  <c:v>11.867469879518083</c:v>
                </c:pt>
                <c:pt idx="2">
                  <c:v>258.43373493975906</c:v>
                </c:pt>
                <c:pt idx="3">
                  <c:v>757.34939759036149</c:v>
                </c:pt>
              </c:numCache>
            </c:numRef>
          </c:val>
          <c:smooth val="0"/>
          <c:extLst>
            <c:ext xmlns:c16="http://schemas.microsoft.com/office/drawing/2014/chart" uri="{C3380CC4-5D6E-409C-BE32-E72D297353CC}">
              <c16:uniqueId val="{00000001-DCD3-479C-B30C-627CD3A1D450}"/>
            </c:ext>
          </c:extLst>
        </c:ser>
        <c:dLbls>
          <c:showLegendKey val="0"/>
          <c:showVal val="0"/>
          <c:showCatName val="0"/>
          <c:showSerName val="0"/>
          <c:showPercent val="0"/>
          <c:showBubbleSize val="0"/>
        </c:dLbls>
        <c:marker val="1"/>
        <c:smooth val="0"/>
        <c:axId val="412991488"/>
        <c:axId val="412977024"/>
      </c:lineChart>
      <c:catAx>
        <c:axId val="41297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975104"/>
        <c:crosses val="autoZero"/>
        <c:auto val="1"/>
        <c:lblAlgn val="ctr"/>
        <c:lblOffset val="100"/>
        <c:noMultiLvlLbl val="0"/>
      </c:catAx>
      <c:valAx>
        <c:axId val="412975104"/>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effectLst/>
                  </a:rPr>
                  <a:t>% of total Romanian physicians</a:t>
                </a:r>
                <a:endParaRPr lang="en-US" sz="900">
                  <a:effectLst/>
                </a:endParaRPr>
              </a:p>
            </c:rich>
          </c:tx>
          <c:layout>
            <c:manualLayout>
              <c:xMode val="edge"/>
              <c:yMode val="edge"/>
              <c:x val="2.7777777777777779E-3"/>
              <c:y val="5.0925925925925923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973312"/>
        <c:crosses val="autoZero"/>
        <c:crossBetween val="between"/>
      </c:valAx>
      <c:valAx>
        <c:axId val="412977024"/>
        <c:scaling>
          <c:orientation val="minMax"/>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effectLst/>
                  </a:rPr>
                  <a:t>% change comapred to 1991</a:t>
                </a:r>
                <a:endParaRPr lang="en-US" sz="900">
                  <a:effectLst/>
                </a:endParaRPr>
              </a:p>
            </c:rich>
          </c:tx>
          <c:layout>
            <c:manualLayout>
              <c:xMode val="edge"/>
              <c:yMode val="edge"/>
              <c:x val="0.95158333333333334"/>
              <c:y val="7.0489574219889176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991488"/>
        <c:crosses val="max"/>
        <c:crossBetween val="between"/>
      </c:valAx>
      <c:catAx>
        <c:axId val="412991488"/>
        <c:scaling>
          <c:orientation val="minMax"/>
        </c:scaling>
        <c:delete val="1"/>
        <c:axPos val="b"/>
        <c:numFmt formatCode="General" sourceLinked="1"/>
        <c:majorTickMark val="out"/>
        <c:minorTickMark val="none"/>
        <c:tickLblPos val="nextTo"/>
        <c:crossAx val="412977024"/>
        <c:crosses val="autoZero"/>
        <c:auto val="1"/>
        <c:lblAlgn val="ctr"/>
        <c:lblOffset val="100"/>
        <c:noMultiLvlLbl val="0"/>
      </c:catAx>
      <c:spPr>
        <a:noFill/>
        <a:ln>
          <a:noFill/>
        </a:ln>
        <a:effectLst/>
      </c:spPr>
    </c:plotArea>
    <c:legend>
      <c:legendPos val="b"/>
      <c:layout>
        <c:manualLayout>
          <c:xMode val="edge"/>
          <c:yMode val="edge"/>
          <c:x val="9.568002112943428E-3"/>
          <c:y val="0.78624359687381096"/>
          <c:w val="0.98924940986150312"/>
          <c:h val="0.21375640312618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99179900492233"/>
          <c:y val="5.0925925925925923E-2"/>
          <c:w val="0.75460643177178621"/>
          <c:h val="0.73577136191309422"/>
        </c:manualLayout>
      </c:layout>
      <c:barChart>
        <c:barDir val="col"/>
        <c:grouping val="stacked"/>
        <c:varyColors val="0"/>
        <c:ser>
          <c:idx val="0"/>
          <c:order val="0"/>
          <c:tx>
            <c:strRef>
              <c:f>Sheet2!$A$3</c:f>
              <c:strCache>
                <c:ptCount val="1"/>
                <c:pt idx="0">
                  <c:v>EU countries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Sheet2!$B$2:$E$2</c:f>
              <c:numCache>
                <c:formatCode>General</c:formatCode>
                <c:ptCount val="4"/>
                <c:pt idx="0">
                  <c:v>2000</c:v>
                </c:pt>
                <c:pt idx="1">
                  <c:v>2007</c:v>
                </c:pt>
                <c:pt idx="2">
                  <c:v>2010</c:v>
                </c:pt>
                <c:pt idx="3">
                  <c:v>2013</c:v>
                </c:pt>
              </c:numCache>
            </c:numRef>
          </c:cat>
          <c:val>
            <c:numRef>
              <c:f>Sheet2!$B$3:$E$3</c:f>
              <c:numCache>
                <c:formatCode>General</c:formatCode>
                <c:ptCount val="4"/>
                <c:pt idx="0">
                  <c:v>559</c:v>
                </c:pt>
                <c:pt idx="1">
                  <c:v>3654</c:v>
                </c:pt>
                <c:pt idx="2">
                  <c:v>6269</c:v>
                </c:pt>
                <c:pt idx="3">
                  <c:v>10198</c:v>
                </c:pt>
              </c:numCache>
            </c:numRef>
          </c:val>
          <c:extLst>
            <c:ext xmlns:c16="http://schemas.microsoft.com/office/drawing/2014/chart" uri="{C3380CC4-5D6E-409C-BE32-E72D297353CC}">
              <c16:uniqueId val="{00000000-F8A4-4A87-9941-BE8F3040CA4B}"/>
            </c:ext>
          </c:extLst>
        </c:ser>
        <c:ser>
          <c:idx val="1"/>
          <c:order val="1"/>
          <c:tx>
            <c:strRef>
              <c:f>Sheet2!$A$4</c:f>
              <c:strCache>
                <c:ptCount val="1"/>
                <c:pt idx="0">
                  <c:v>Non - EU countries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Sheet2!$B$2:$E$2</c:f>
              <c:numCache>
                <c:formatCode>General</c:formatCode>
                <c:ptCount val="4"/>
                <c:pt idx="0">
                  <c:v>2000</c:v>
                </c:pt>
                <c:pt idx="1">
                  <c:v>2007</c:v>
                </c:pt>
                <c:pt idx="2">
                  <c:v>2010</c:v>
                </c:pt>
                <c:pt idx="3">
                  <c:v>2013</c:v>
                </c:pt>
              </c:numCache>
            </c:numRef>
          </c:cat>
          <c:val>
            <c:numRef>
              <c:f>Sheet2!$B$4:$E$4</c:f>
              <c:numCache>
                <c:formatCode>General</c:formatCode>
                <c:ptCount val="4"/>
                <c:pt idx="0">
                  <c:v>1327</c:v>
                </c:pt>
                <c:pt idx="1">
                  <c:v>3305</c:v>
                </c:pt>
                <c:pt idx="2">
                  <c:v>3661</c:v>
                </c:pt>
                <c:pt idx="3">
                  <c:v>4034</c:v>
                </c:pt>
              </c:numCache>
            </c:numRef>
          </c:val>
          <c:extLst>
            <c:ext xmlns:c16="http://schemas.microsoft.com/office/drawing/2014/chart" uri="{C3380CC4-5D6E-409C-BE32-E72D297353CC}">
              <c16:uniqueId val="{00000001-F8A4-4A87-9941-BE8F3040CA4B}"/>
            </c:ext>
          </c:extLst>
        </c:ser>
        <c:dLbls>
          <c:showLegendKey val="0"/>
          <c:showVal val="0"/>
          <c:showCatName val="0"/>
          <c:showSerName val="0"/>
          <c:showPercent val="0"/>
          <c:showBubbleSize val="0"/>
        </c:dLbls>
        <c:gapWidth val="219"/>
        <c:overlap val="100"/>
        <c:axId val="413144960"/>
        <c:axId val="413146496"/>
      </c:barChart>
      <c:catAx>
        <c:axId val="41314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46496"/>
        <c:crosses val="autoZero"/>
        <c:auto val="1"/>
        <c:lblAlgn val="ctr"/>
        <c:lblOffset val="100"/>
        <c:noMultiLvlLbl val="0"/>
      </c:catAx>
      <c:valAx>
        <c:axId val="413146496"/>
        <c:scaling>
          <c:orientation val="minMax"/>
          <c:max val="15000"/>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a:t>
                </a:r>
                <a:r>
                  <a:rPr lang="en-US" baseline="0"/>
                  <a:t> number of physicians </a:t>
                </a:r>
                <a:endParaRPr lang="en-US"/>
              </a:p>
            </c:rich>
          </c:tx>
          <c:layout>
            <c:manualLayout>
              <c:xMode val="edge"/>
              <c:yMode val="edge"/>
              <c:x val="5.5555555555555558E-3"/>
              <c:y val="0.1280129046369203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44960"/>
        <c:crosses val="autoZero"/>
        <c:crossBetween val="between"/>
      </c:valAx>
      <c:spPr>
        <a:noFill/>
        <a:ln>
          <a:solidFill>
            <a:schemeClr val="bg1"/>
          </a:solidFill>
        </a:ln>
        <a:effectLst/>
      </c:spPr>
    </c:plotArea>
    <c:legend>
      <c:legendPos val="b"/>
      <c:layout>
        <c:manualLayout>
          <c:xMode val="edge"/>
          <c:yMode val="edge"/>
          <c:x val="0.23130305681486787"/>
          <c:y val="0.89409667541557303"/>
          <c:w val="0.72594607492245289"/>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03950467729995"/>
          <c:y val="5.0925925925925923E-2"/>
          <c:w val="0.79240493976714454"/>
          <c:h val="0.73577136191309422"/>
        </c:manualLayout>
      </c:layout>
      <c:barChart>
        <c:barDir val="col"/>
        <c:grouping val="stacked"/>
        <c:varyColors val="0"/>
        <c:ser>
          <c:idx val="0"/>
          <c:order val="0"/>
          <c:tx>
            <c:strRef>
              <c:f>Sheet2!$A$7</c:f>
              <c:strCache>
                <c:ptCount val="1"/>
                <c:pt idx="0">
                  <c:v>EU countries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Sheet2!$B$6:$E$6</c:f>
              <c:numCache>
                <c:formatCode>General</c:formatCode>
                <c:ptCount val="4"/>
                <c:pt idx="0">
                  <c:v>2000</c:v>
                </c:pt>
                <c:pt idx="1">
                  <c:v>2007</c:v>
                </c:pt>
                <c:pt idx="2">
                  <c:v>2010</c:v>
                </c:pt>
                <c:pt idx="3">
                  <c:v>2013</c:v>
                </c:pt>
              </c:numCache>
            </c:numRef>
          </c:cat>
          <c:val>
            <c:numRef>
              <c:f>Sheet2!$B$7:$E$7</c:f>
              <c:numCache>
                <c:formatCode>0.0</c:formatCode>
                <c:ptCount val="4"/>
                <c:pt idx="0">
                  <c:v>29.639448568398731</c:v>
                </c:pt>
                <c:pt idx="1">
                  <c:v>52.507544187383246</c:v>
                </c:pt>
                <c:pt idx="2">
                  <c:v>63.131923464249752</c:v>
                </c:pt>
                <c:pt idx="3">
                  <c:v>71.655424395727934</c:v>
                </c:pt>
              </c:numCache>
            </c:numRef>
          </c:val>
          <c:extLst>
            <c:ext xmlns:c16="http://schemas.microsoft.com/office/drawing/2014/chart" uri="{C3380CC4-5D6E-409C-BE32-E72D297353CC}">
              <c16:uniqueId val="{00000000-40F1-4E8D-BC19-954613D63E29}"/>
            </c:ext>
          </c:extLst>
        </c:ser>
        <c:ser>
          <c:idx val="1"/>
          <c:order val="1"/>
          <c:tx>
            <c:strRef>
              <c:f>Sheet2!$A$8</c:f>
              <c:strCache>
                <c:ptCount val="1"/>
                <c:pt idx="0">
                  <c:v>Non - EU countries</c:v>
                </c:pt>
              </c:strCache>
            </c:strRef>
          </c:tx>
          <c:spPr>
            <a:solidFill>
              <a:schemeClr val="accent2">
                <a:lumMod val="60000"/>
                <a:lumOff val="40000"/>
              </a:schemeClr>
            </a:solidFill>
            <a:ln>
              <a:solidFill>
                <a:schemeClr val="accent2">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Sheet2!$B$6:$E$6</c:f>
              <c:numCache>
                <c:formatCode>General</c:formatCode>
                <c:ptCount val="4"/>
                <c:pt idx="0">
                  <c:v>2000</c:v>
                </c:pt>
                <c:pt idx="1">
                  <c:v>2007</c:v>
                </c:pt>
                <c:pt idx="2">
                  <c:v>2010</c:v>
                </c:pt>
                <c:pt idx="3">
                  <c:v>2013</c:v>
                </c:pt>
              </c:numCache>
            </c:numRef>
          </c:cat>
          <c:val>
            <c:numRef>
              <c:f>Sheet2!$B$8:$E$8</c:f>
              <c:numCache>
                <c:formatCode>0.0</c:formatCode>
                <c:ptCount val="4"/>
                <c:pt idx="0">
                  <c:v>70.360551431601266</c:v>
                </c:pt>
                <c:pt idx="1">
                  <c:v>47.492455812616754</c:v>
                </c:pt>
                <c:pt idx="2">
                  <c:v>36.868076535750248</c:v>
                </c:pt>
                <c:pt idx="3">
                  <c:v>28.344575604272066</c:v>
                </c:pt>
              </c:numCache>
            </c:numRef>
          </c:val>
          <c:extLst>
            <c:ext xmlns:c16="http://schemas.microsoft.com/office/drawing/2014/chart" uri="{C3380CC4-5D6E-409C-BE32-E72D297353CC}">
              <c16:uniqueId val="{00000001-40F1-4E8D-BC19-954613D63E29}"/>
            </c:ext>
          </c:extLst>
        </c:ser>
        <c:dLbls>
          <c:dLblPos val="ctr"/>
          <c:showLegendKey val="0"/>
          <c:showVal val="1"/>
          <c:showCatName val="0"/>
          <c:showSerName val="0"/>
          <c:showPercent val="0"/>
          <c:showBubbleSize val="0"/>
        </c:dLbls>
        <c:gapWidth val="219"/>
        <c:overlap val="100"/>
        <c:axId val="413177728"/>
        <c:axId val="413179264"/>
      </c:barChart>
      <c:catAx>
        <c:axId val="41317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79264"/>
        <c:crosses val="autoZero"/>
        <c:auto val="1"/>
        <c:lblAlgn val="ctr"/>
        <c:lblOffset val="100"/>
        <c:noMultiLvlLbl val="0"/>
      </c:catAx>
      <c:valAx>
        <c:axId val="413179264"/>
        <c:scaling>
          <c:orientation val="minMax"/>
          <c:max val="100"/>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Total</a:t>
                </a:r>
              </a:p>
            </c:rich>
          </c:tx>
          <c:layout>
            <c:manualLayout>
              <c:xMode val="edge"/>
              <c:yMode val="edge"/>
              <c:x val="1.3888888888888888E-2"/>
              <c:y val="0.2693208661417322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77728"/>
        <c:crosses val="autoZero"/>
        <c:crossBetween val="between"/>
      </c:valAx>
      <c:spPr>
        <a:noFill/>
        <a:ln>
          <a:noFill/>
        </a:ln>
        <a:effectLst/>
      </c:spPr>
    </c:plotArea>
    <c:legend>
      <c:legendPos val="b"/>
      <c:layout>
        <c:manualLayout>
          <c:xMode val="edge"/>
          <c:yMode val="edge"/>
          <c:x val="0.21430648092065416"/>
          <c:y val="0.8734433299571992"/>
          <c:w val="0.6910448213204119"/>
          <c:h val="9.336164929591270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08457276173814"/>
          <c:y val="5.0925925925925923E-2"/>
          <c:w val="0.81935970966592142"/>
          <c:h val="0.71262321376494608"/>
        </c:manualLayout>
      </c:layout>
      <c:barChart>
        <c:barDir val="col"/>
        <c:grouping val="stacked"/>
        <c:varyColors val="0"/>
        <c:ser>
          <c:idx val="0"/>
          <c:order val="0"/>
          <c:tx>
            <c:strRef>
              <c:f>Sheet3!$A$2</c:f>
              <c:strCache>
                <c:ptCount val="1"/>
                <c:pt idx="0">
                  <c:v>20-39</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Sheet3!$B$1:$D$1</c:f>
              <c:numCache>
                <c:formatCode>General</c:formatCode>
                <c:ptCount val="3"/>
                <c:pt idx="0">
                  <c:v>2007</c:v>
                </c:pt>
                <c:pt idx="1">
                  <c:v>2010</c:v>
                </c:pt>
                <c:pt idx="2">
                  <c:v>2012</c:v>
                </c:pt>
              </c:numCache>
            </c:numRef>
          </c:cat>
          <c:val>
            <c:numRef>
              <c:f>Sheet3!$B$2:$D$2</c:f>
              <c:numCache>
                <c:formatCode>0.0</c:formatCode>
                <c:ptCount val="3"/>
                <c:pt idx="0">
                  <c:v>68.989999999999995</c:v>
                </c:pt>
                <c:pt idx="1">
                  <c:v>59.58</c:v>
                </c:pt>
                <c:pt idx="2">
                  <c:v>52.05</c:v>
                </c:pt>
              </c:numCache>
            </c:numRef>
          </c:val>
          <c:extLst>
            <c:ext xmlns:c16="http://schemas.microsoft.com/office/drawing/2014/chart" uri="{C3380CC4-5D6E-409C-BE32-E72D297353CC}">
              <c16:uniqueId val="{00000000-4853-49FE-A9D6-5A8542AAF584}"/>
            </c:ext>
          </c:extLst>
        </c:ser>
        <c:ser>
          <c:idx val="1"/>
          <c:order val="1"/>
          <c:tx>
            <c:strRef>
              <c:f>Sheet3!$A$3</c:f>
              <c:strCache>
                <c:ptCount val="1"/>
                <c:pt idx="0">
                  <c:v>40 - 65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Sheet3!$B$1:$D$1</c:f>
              <c:numCache>
                <c:formatCode>General</c:formatCode>
                <c:ptCount val="3"/>
                <c:pt idx="0">
                  <c:v>2007</c:v>
                </c:pt>
                <c:pt idx="1">
                  <c:v>2010</c:v>
                </c:pt>
                <c:pt idx="2">
                  <c:v>2012</c:v>
                </c:pt>
              </c:numCache>
            </c:numRef>
          </c:cat>
          <c:val>
            <c:numRef>
              <c:f>Sheet3!$B$3:$D$3</c:f>
              <c:numCache>
                <c:formatCode>0.0</c:formatCode>
                <c:ptCount val="3"/>
                <c:pt idx="0">
                  <c:v>26.640000000000004</c:v>
                </c:pt>
                <c:pt idx="1">
                  <c:v>34.9</c:v>
                </c:pt>
                <c:pt idx="2">
                  <c:v>34.06</c:v>
                </c:pt>
              </c:numCache>
            </c:numRef>
          </c:val>
          <c:extLst>
            <c:ext xmlns:c16="http://schemas.microsoft.com/office/drawing/2014/chart" uri="{C3380CC4-5D6E-409C-BE32-E72D297353CC}">
              <c16:uniqueId val="{00000001-4853-49FE-A9D6-5A8542AAF584}"/>
            </c:ext>
          </c:extLst>
        </c:ser>
        <c:ser>
          <c:idx val="2"/>
          <c:order val="2"/>
          <c:tx>
            <c:strRef>
              <c:f>Sheet3!$A$4</c:f>
              <c:strCache>
                <c:ptCount val="1"/>
                <c:pt idx="0">
                  <c:v>65+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Sheet3!$B$1:$D$1</c:f>
              <c:numCache>
                <c:formatCode>General</c:formatCode>
                <c:ptCount val="3"/>
                <c:pt idx="0">
                  <c:v>2007</c:v>
                </c:pt>
                <c:pt idx="1">
                  <c:v>2010</c:v>
                </c:pt>
                <c:pt idx="2">
                  <c:v>2012</c:v>
                </c:pt>
              </c:numCache>
            </c:numRef>
          </c:cat>
          <c:val>
            <c:numRef>
              <c:f>Sheet3!$B$4:$D$4</c:f>
              <c:numCache>
                <c:formatCode>0.0</c:formatCode>
                <c:ptCount val="3"/>
                <c:pt idx="0">
                  <c:v>4.3700000000000045</c:v>
                </c:pt>
                <c:pt idx="1">
                  <c:v>5.519999999999996</c:v>
                </c:pt>
                <c:pt idx="2">
                  <c:v>13.89</c:v>
                </c:pt>
              </c:numCache>
            </c:numRef>
          </c:val>
          <c:extLst>
            <c:ext xmlns:c16="http://schemas.microsoft.com/office/drawing/2014/chart" uri="{C3380CC4-5D6E-409C-BE32-E72D297353CC}">
              <c16:uniqueId val="{00000002-4853-49FE-A9D6-5A8542AAF584}"/>
            </c:ext>
          </c:extLst>
        </c:ser>
        <c:dLbls>
          <c:dLblPos val="ctr"/>
          <c:showLegendKey val="0"/>
          <c:showVal val="1"/>
          <c:showCatName val="0"/>
          <c:showSerName val="0"/>
          <c:showPercent val="0"/>
          <c:showBubbleSize val="0"/>
        </c:dLbls>
        <c:gapWidth val="150"/>
        <c:overlap val="100"/>
        <c:axId val="413224320"/>
        <c:axId val="413238400"/>
      </c:barChart>
      <c:catAx>
        <c:axId val="41322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238400"/>
        <c:crosses val="autoZero"/>
        <c:auto val="1"/>
        <c:lblAlgn val="ctr"/>
        <c:lblOffset val="100"/>
        <c:noMultiLvlLbl val="0"/>
      </c:catAx>
      <c:valAx>
        <c:axId val="413238400"/>
        <c:scaling>
          <c:orientation val="minMax"/>
          <c:max val="100"/>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Total</a:t>
                </a:r>
              </a:p>
            </c:rich>
          </c:tx>
          <c:layout>
            <c:manualLayout>
              <c:xMode val="edge"/>
              <c:yMode val="edge"/>
              <c:x val="2.7777777777777779E-3"/>
              <c:y val="0.3063579031787693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224320"/>
        <c:crosses val="autoZero"/>
        <c:crossBetween val="between"/>
      </c:valAx>
      <c:spPr>
        <a:noFill/>
        <a:ln>
          <a:noFill/>
        </a:ln>
        <a:effectLst/>
      </c:spPr>
    </c:plotArea>
    <c:legend>
      <c:legendPos val="b"/>
      <c:layout>
        <c:manualLayout>
          <c:xMode val="edge"/>
          <c:yMode val="edge"/>
          <c:x val="0.35113379346100254"/>
          <c:y val="0.87094852726742478"/>
          <c:w val="0.4664566929133858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37490081181713"/>
          <c:y val="5.0925925925925923E-2"/>
          <c:w val="0.82489863185706436"/>
          <c:h val="0.71470649502145567"/>
        </c:manualLayout>
      </c:layout>
      <c:barChart>
        <c:barDir val="col"/>
        <c:grouping val="stacked"/>
        <c:varyColors val="0"/>
        <c:ser>
          <c:idx val="1"/>
          <c:order val="0"/>
          <c:tx>
            <c:strRef>
              <c:f>Sheet3!$A$9</c:f>
              <c:strCache>
                <c:ptCount val="1"/>
                <c:pt idx="0">
                  <c:v>Resident physician</c:v>
                </c:pt>
              </c:strCache>
            </c:strRef>
          </c:tx>
          <c:spPr>
            <a:solidFill>
              <a:schemeClr val="accent2">
                <a:lumMod val="60000"/>
                <a:lumOff val="40000"/>
              </a:schemeClr>
            </a:solidFill>
            <a:ln>
              <a:noFill/>
            </a:ln>
            <a:effectLst/>
          </c:spPr>
          <c:invertIfNegative val="0"/>
          <c:dLbls>
            <c:dLbl>
              <c:idx val="0"/>
              <c:layout>
                <c:manualLayout>
                  <c:x val="-4.0604920371093665E-17"/>
                  <c:y val="1.65289256198347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4E-4AE0-8340-AE3BEA2827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Sheet3!$B$7:$D$7</c:f>
              <c:numCache>
                <c:formatCode>General</c:formatCode>
                <c:ptCount val="3"/>
                <c:pt idx="0">
                  <c:v>2007</c:v>
                </c:pt>
                <c:pt idx="1">
                  <c:v>2010</c:v>
                </c:pt>
                <c:pt idx="2">
                  <c:v>2012</c:v>
                </c:pt>
              </c:numCache>
            </c:numRef>
          </c:cat>
          <c:val>
            <c:numRef>
              <c:f>Sheet3!$B$9:$D$9</c:f>
              <c:numCache>
                <c:formatCode>General</c:formatCode>
                <c:ptCount val="3"/>
                <c:pt idx="0">
                  <c:v>45</c:v>
                </c:pt>
                <c:pt idx="1">
                  <c:v>214</c:v>
                </c:pt>
                <c:pt idx="2">
                  <c:v>115</c:v>
                </c:pt>
              </c:numCache>
            </c:numRef>
          </c:val>
          <c:extLst>
            <c:ext xmlns:c16="http://schemas.microsoft.com/office/drawing/2014/chart" uri="{C3380CC4-5D6E-409C-BE32-E72D297353CC}">
              <c16:uniqueId val="{00000000-1E64-4EF3-BA69-D33B78D91216}"/>
            </c:ext>
          </c:extLst>
        </c:ser>
        <c:ser>
          <c:idx val="0"/>
          <c:order val="1"/>
          <c:tx>
            <c:strRef>
              <c:f>Sheet3!$A$8</c:f>
              <c:strCache>
                <c:ptCount val="1"/>
                <c:pt idx="0">
                  <c:v>Physician</c:v>
                </c:pt>
              </c:strCache>
            </c:strRef>
          </c:tx>
          <c:spPr>
            <a:solidFill>
              <a:schemeClr val="accent1"/>
            </a:solidFill>
            <a:ln>
              <a:noFill/>
            </a:ln>
            <a:effectLst/>
          </c:spPr>
          <c:invertIfNegative val="0"/>
          <c:dLbls>
            <c:delete val="1"/>
          </c:dLbls>
          <c:cat>
            <c:numRef>
              <c:f>Sheet3!$B$7:$D$7</c:f>
              <c:numCache>
                <c:formatCode>General</c:formatCode>
                <c:ptCount val="3"/>
                <c:pt idx="0">
                  <c:v>2007</c:v>
                </c:pt>
                <c:pt idx="1">
                  <c:v>2010</c:v>
                </c:pt>
                <c:pt idx="2">
                  <c:v>2012</c:v>
                </c:pt>
              </c:numCache>
            </c:numRef>
          </c:cat>
          <c:val>
            <c:numRef>
              <c:f>Sheet3!$B$8:$D$8</c:f>
              <c:numCache>
                <c:formatCode>General</c:formatCode>
                <c:ptCount val="3"/>
                <c:pt idx="0">
                  <c:v>0</c:v>
                </c:pt>
                <c:pt idx="1">
                  <c:v>63</c:v>
                </c:pt>
                <c:pt idx="2">
                  <c:v>123</c:v>
                </c:pt>
              </c:numCache>
            </c:numRef>
          </c:val>
          <c:extLst>
            <c:ext xmlns:c16="http://schemas.microsoft.com/office/drawing/2014/chart" uri="{C3380CC4-5D6E-409C-BE32-E72D297353CC}">
              <c16:uniqueId val="{00000001-1E64-4EF3-BA69-D33B78D91216}"/>
            </c:ext>
          </c:extLst>
        </c:ser>
        <c:ser>
          <c:idx val="2"/>
          <c:order val="2"/>
          <c:tx>
            <c:strRef>
              <c:f>Sheet3!$A$10</c:f>
              <c:strCache>
                <c:ptCount val="1"/>
                <c:pt idx="0">
                  <c:v>Specialist</c:v>
                </c:pt>
              </c:strCache>
            </c:strRef>
          </c:tx>
          <c:spPr>
            <a:solidFill>
              <a:schemeClr val="accent3"/>
            </a:solidFill>
            <a:ln>
              <a:noFill/>
            </a:ln>
            <a:effectLst/>
          </c:spPr>
          <c:invertIfNegative val="0"/>
          <c:dLbls>
            <c:dLbl>
              <c:idx val="0"/>
              <c:layout>
                <c:manualLayout>
                  <c:x val="-4.0604920371093665E-17"/>
                  <c:y val="1.65289256198347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4E-4AE0-8340-AE3BEA2827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Sheet3!$B$7:$D$7</c:f>
              <c:numCache>
                <c:formatCode>General</c:formatCode>
                <c:ptCount val="3"/>
                <c:pt idx="0">
                  <c:v>2007</c:v>
                </c:pt>
                <c:pt idx="1">
                  <c:v>2010</c:v>
                </c:pt>
                <c:pt idx="2">
                  <c:v>2012</c:v>
                </c:pt>
              </c:numCache>
            </c:numRef>
          </c:cat>
          <c:val>
            <c:numRef>
              <c:f>Sheet3!$B$10:$D$10</c:f>
              <c:numCache>
                <c:formatCode>General</c:formatCode>
                <c:ptCount val="3"/>
                <c:pt idx="0">
                  <c:v>19</c:v>
                </c:pt>
                <c:pt idx="1">
                  <c:v>78</c:v>
                </c:pt>
                <c:pt idx="2">
                  <c:v>67</c:v>
                </c:pt>
              </c:numCache>
            </c:numRef>
          </c:val>
          <c:extLst>
            <c:ext xmlns:c16="http://schemas.microsoft.com/office/drawing/2014/chart" uri="{C3380CC4-5D6E-409C-BE32-E72D297353CC}">
              <c16:uniqueId val="{00000002-1E64-4EF3-BA69-D33B78D91216}"/>
            </c:ext>
          </c:extLst>
        </c:ser>
        <c:ser>
          <c:idx val="3"/>
          <c:order val="3"/>
          <c:tx>
            <c:strRef>
              <c:f>Sheet3!$A$11</c:f>
              <c:strCache>
                <c:ptCount val="1"/>
                <c:pt idx="0">
                  <c:v>Primary care physician</c:v>
                </c:pt>
              </c:strCache>
            </c:strRef>
          </c:tx>
          <c:spPr>
            <a:solidFill>
              <a:schemeClr val="accent4"/>
            </a:solidFill>
            <a:ln>
              <a:noFill/>
            </a:ln>
            <a:effectLst/>
          </c:spPr>
          <c:invertIfNegative val="0"/>
          <c:dLbls>
            <c:dLbl>
              <c:idx val="0"/>
              <c:layout>
                <c:manualLayout>
                  <c:x val="4.4296788482834585E-3"/>
                  <c:y val="-6.619379189171601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64-4EF3-BA69-D33B78D91216}"/>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601B-46DD-B6E0-2A71B42F70E2}"/>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601B-46DD-B6E0-2A71B42F70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Sheet3!$B$7:$D$7</c:f>
              <c:numCache>
                <c:formatCode>General</c:formatCode>
                <c:ptCount val="3"/>
                <c:pt idx="0">
                  <c:v>2007</c:v>
                </c:pt>
                <c:pt idx="1">
                  <c:v>2010</c:v>
                </c:pt>
                <c:pt idx="2">
                  <c:v>2012</c:v>
                </c:pt>
              </c:numCache>
            </c:numRef>
          </c:cat>
          <c:val>
            <c:numRef>
              <c:f>Sheet3!$B$11:$D$11</c:f>
              <c:numCache>
                <c:formatCode>General</c:formatCode>
                <c:ptCount val="3"/>
                <c:pt idx="0">
                  <c:v>4</c:v>
                </c:pt>
                <c:pt idx="1">
                  <c:v>65</c:v>
                </c:pt>
                <c:pt idx="2">
                  <c:v>23</c:v>
                </c:pt>
              </c:numCache>
            </c:numRef>
          </c:val>
          <c:extLst>
            <c:ext xmlns:c16="http://schemas.microsoft.com/office/drawing/2014/chart" uri="{C3380CC4-5D6E-409C-BE32-E72D297353CC}">
              <c16:uniqueId val="{00000006-1E64-4EF3-BA69-D33B78D91216}"/>
            </c:ext>
          </c:extLst>
        </c:ser>
        <c:dLbls>
          <c:dLblPos val="ctr"/>
          <c:showLegendKey val="0"/>
          <c:showVal val="1"/>
          <c:showCatName val="0"/>
          <c:showSerName val="0"/>
          <c:showPercent val="0"/>
          <c:showBubbleSize val="0"/>
        </c:dLbls>
        <c:gapWidth val="150"/>
        <c:overlap val="100"/>
        <c:axId val="415265536"/>
        <c:axId val="415267072"/>
      </c:barChart>
      <c:catAx>
        <c:axId val="41526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67072"/>
        <c:crosses val="autoZero"/>
        <c:auto val="1"/>
        <c:lblAlgn val="ctr"/>
        <c:lblOffset val="100"/>
        <c:noMultiLvlLbl val="0"/>
      </c:catAx>
      <c:valAx>
        <c:axId val="415267072"/>
        <c:scaling>
          <c:orientation val="minMax"/>
          <c:max val="420"/>
          <c:min val="0"/>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65536"/>
        <c:crosses val="autoZero"/>
        <c:crossBetween val="between"/>
      </c:valAx>
      <c:spPr>
        <a:noFill/>
        <a:ln>
          <a:noFill/>
        </a:ln>
        <a:effectLst/>
      </c:spPr>
    </c:plotArea>
    <c:legend>
      <c:legendPos val="b"/>
      <c:layout>
        <c:manualLayout>
          <c:xMode val="edge"/>
          <c:yMode val="edge"/>
          <c:x val="9.5606072496751862E-2"/>
          <c:y val="0.86458223972003501"/>
          <c:w val="0.88409204663370566"/>
          <c:h val="0.126158501020705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Leah Laboy</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7/6/2018</DateSubmission>
    <IsIduRevised xmlns="ee363e03-ffe3-4ea8-891f-7c22e1e48952" xsi:nil="true"/>
    <ReportNumber xmlns="d6267e6a-bf3f-4308-983a-8e32ad3cd070" xsi:nil="true"/>
    <Comment1 xmlns="d6267e6a-bf3f-4308-983a-8e32ad3cd070" xsi:nil="true"/>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RomaniaSCDBackgroundNoteMigration.docx</DocumentName>
    <PublicClassificationApprover xmlns="ee363e03-ffe3-4ea8-891f-7c22e1e48952" xsi:nil="true"/>
    <SendMail xmlns="d6267e6a-bf3f-4308-983a-8e32ad3cd070">llaboy@worldbank.org</SendMail>
    <ProjectIDNumber xmlns="d6267e6a-bf3f-4308-983a-8e32ad3cd070" xsi:nil="true"/>
    <UserSubmittedAbstract xmlns="d6267e6a-bf3f-4308-983a-8e32ad3c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CA08-4D4C-4245-A610-16A3972BD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4246A-6882-4DDC-8B2E-D96CCD00F778}">
  <ds:schemaRefs>
    <ds:schemaRef ds:uri="http://schemas.microsoft.com/sharepoint/v3/contenttype/forms"/>
  </ds:schemaRefs>
</ds:datastoreItem>
</file>

<file path=customXml/itemProps3.xml><?xml version="1.0" encoding="utf-8"?>
<ds:datastoreItem xmlns:ds="http://schemas.openxmlformats.org/officeDocument/2006/customXml" ds:itemID="{D6DEBBAA-CAA7-435B-98D1-AD03B087AFE2}">
  <ds:schemaRefs>
    <ds:schemaRef ds:uri="http://schemas.openxmlformats.org/package/2006/metadata/core-properties"/>
    <ds:schemaRef ds:uri="d6267e6a-bf3f-4308-983a-8e32ad3cd070"/>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ee363e03-ffe3-4ea8-891f-7c22e1e48952"/>
    <ds:schemaRef ds:uri="http://purl.org/dc/terms/"/>
  </ds:schemaRefs>
</ds:datastoreItem>
</file>

<file path=customXml/itemProps4.xml><?xml version="1.0" encoding="utf-8"?>
<ds:datastoreItem xmlns:ds="http://schemas.openxmlformats.org/officeDocument/2006/customXml" ds:itemID="{898604FF-C692-48C7-B780-720B980C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7085</Words>
  <Characters>40390</Characters>
  <Application>Microsoft Office Word</Application>
  <DocSecurity>0</DocSecurity>
  <Lines>336</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6_7_2018_11_52_17_RomaniaSCDBackgroundNoteMigration.docx</vt:lpstr>
      <vt:lpstr/>
    </vt:vector>
  </TitlesOfParts>
  <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6_7_2018_11_52_17_RomaniaSCDBackgroundNoteMigration.docx</dc:title>
  <dc:subject/>
  <dc:creator>User</dc:creator>
  <cp:keywords/>
  <dc:description/>
  <cp:lastModifiedBy>Bobbie Sauer</cp:lastModifiedBy>
  <cp:revision>2</cp:revision>
  <cp:lastPrinted>2018-06-15T20:26:00Z</cp:lastPrinted>
  <dcterms:created xsi:type="dcterms:W3CDTF">2018-07-06T20:07:00Z</dcterms:created>
  <dcterms:modified xsi:type="dcterms:W3CDTF">2018-07-06T20:07:00Z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